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溆浦县商务局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溆浦县商务局</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溆浦县商务局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贯彻执行国家国内外贸易、国际经济合作和区域经济合作的发展战略、政策，起草我县国内外贸易、招商引资、承接产业转移、对外援助、对外投资和对外经济合作的政策措施和实施办法，研究经济全球化、区域经济合作、现代流通方式的发展趋势和流通体制改革并提出建议。</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负责推进流通产业结构调整，指导流通企业改革，促进商贸服务业和社区商业发展，提出促进中小商贸企业发展的政策建议，推动流通标准化和连锁经营、商业特许经营、物流配送、电子商务等现代流通方式的发展。</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（四）承担牵头协调整顿和规范市场经济秩序工作的责任，拟订规范市场秩序的政策；推动商务领域信用建设，指导商业信用销售，建立市场诚信公共服务平台；按有关规定对特殊流通行业进行监督管理。</w:t>
      </w:r>
    </w:p>
    <w:p>
      <w:pPr>
        <w:ind w:firstLine="800" w:firstLineChars="250"/>
        <w:jc w:val="left"/>
        <w:rPr>
          <w:rFonts w:hint="eastAsia" w:ascii="仿宋" w:hAnsi="仿宋" w:eastAsia="仿宋" w:cs="宋体"/>
          <w:snapToGrid w:val="0"/>
          <w:sz w:val="32"/>
          <w:szCs w:val="32"/>
          <w:lang w:eastAsia="zh-CN"/>
        </w:rPr>
      </w:pPr>
      <w:r>
        <w:rPr>
          <w:rFonts w:hint="eastAsia" w:ascii="Times New Roman" w:hAnsi="Times New Roman" w:eastAsia="仿宋_GB2312" w:cs="仿宋_GB2312"/>
          <w:sz w:val="32"/>
          <w:szCs w:val="32"/>
          <w:lang w:eastAsia="zh-CN"/>
        </w:rPr>
        <w:t>（五）承担组织实施重要消费品市场调控和重要生产资料（成品油）；流通管理的责任。监测分析重要消费品否的市场运行、商品供求状况，调查分析重要消费品价格信息，进行预测预警和信息引导；</w:t>
      </w:r>
      <w:r>
        <w:rPr>
          <w:rFonts w:hint="eastAsia" w:ascii="仿宋" w:hAnsi="仿宋" w:eastAsia="仿宋" w:cs="宋体"/>
          <w:snapToGrid w:val="0"/>
          <w:sz w:val="32"/>
          <w:szCs w:val="32"/>
        </w:rPr>
        <w:t>按分工负责重要消费品备管理和市场调控工作；按有关规定对成品油流通进行监督管理</w:t>
      </w:r>
      <w:r>
        <w:rPr>
          <w:rFonts w:hint="eastAsia" w:ascii="仿宋" w:hAnsi="仿宋" w:eastAsia="仿宋" w:cs="宋体"/>
          <w:snapToGrid w:val="0"/>
          <w:sz w:val="32"/>
          <w:szCs w:val="32"/>
          <w:lang w:eastAsia="zh-CN"/>
        </w:rPr>
        <w:t>。</w:t>
      </w:r>
    </w:p>
    <w:p>
      <w:pPr>
        <w:ind w:firstLine="800" w:firstLineChars="250"/>
        <w:jc w:val="left"/>
        <w:rPr>
          <w:rFonts w:hint="eastAsia" w:ascii="仿宋" w:hAnsi="仿宋" w:eastAsia="仿宋" w:cs="宋体"/>
          <w:snapToGrid w:val="0"/>
          <w:sz w:val="32"/>
          <w:szCs w:val="32"/>
          <w:lang w:eastAsia="zh-CN"/>
        </w:rPr>
      </w:pPr>
      <w:r>
        <w:rPr>
          <w:rFonts w:hint="eastAsia" w:ascii="仿宋" w:hAnsi="仿宋" w:eastAsia="仿宋" w:cs="宋体"/>
          <w:snapToGrid w:val="0"/>
          <w:sz w:val="32"/>
          <w:szCs w:val="32"/>
          <w:lang w:eastAsia="zh-CN"/>
        </w:rPr>
        <w:t>（六）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p>
    <w:p>
      <w:pPr>
        <w:spacing w:line="600" w:lineRule="exact"/>
        <w:ind w:firstLine="640" w:firstLineChars="20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（七）</w:t>
      </w:r>
      <w:r>
        <w:rPr>
          <w:rFonts w:hint="eastAsia" w:ascii="仿宋" w:hAnsi="仿宋" w:eastAsia="仿宋" w:cs="宋体"/>
          <w:snapToGrid w:val="0"/>
          <w:sz w:val="32"/>
          <w:szCs w:val="32"/>
        </w:rPr>
        <w:t>贯彻执行国家对外技术贸易、出口管制以及鼓励技术和成套设备进出口的贸易政策，推进进出口贸易标准化工作；依法监督技术引进、设备进口、国家限制出口技术的工作。</w:t>
      </w:r>
    </w:p>
    <w:p>
      <w:pPr>
        <w:spacing w:line="600" w:lineRule="exact"/>
        <w:ind w:firstLine="640" w:firstLineChars="20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（八）</w:t>
      </w:r>
      <w:r>
        <w:rPr>
          <w:rFonts w:hint="eastAsia" w:ascii="仿宋" w:hAnsi="仿宋" w:eastAsia="仿宋" w:cs="宋体"/>
          <w:snapToGrid w:val="0"/>
          <w:sz w:val="32"/>
          <w:szCs w:val="32"/>
        </w:rPr>
        <w:t>牵头拟订服务贸易发展规划并开展相关工作；会同有关部门制定促进服务出口、服务外包的规划、政策并组织实施，推动服务外包平台建设。</w:t>
      </w:r>
    </w:p>
    <w:p>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（九）</w:t>
      </w:r>
      <w:r>
        <w:rPr>
          <w:rFonts w:hint="eastAsia" w:ascii="仿宋" w:hAnsi="仿宋" w:eastAsia="仿宋" w:cs="宋体"/>
          <w:snapToGrid w:val="0"/>
          <w:sz w:val="32"/>
          <w:szCs w:val="32"/>
        </w:rPr>
        <w:t>贯彻执行我国多双边(含区域、自由贸易区)经贸合作战略和政策，推进我县与其他国家(地区)的经贸往来与投资贸易合作；牵头承担全县商务领域涉及世界贸易组织事务的相关工作，负责对外经济贸易协调工作。</w:t>
      </w:r>
      <w:r>
        <w:rPr>
          <w:rFonts w:hint="eastAsia" w:ascii="宋体" w:hAnsi="宋体" w:eastAsia="宋体" w:cs="宋体"/>
          <w:snapToGrid w:val="0"/>
          <w:sz w:val="32"/>
          <w:szCs w:val="32"/>
        </w:rPr>
        <w:t> </w:t>
      </w:r>
    </w:p>
    <w:p>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（十）</w:t>
      </w:r>
      <w:r>
        <w:rPr>
          <w:rFonts w:hint="eastAsia" w:ascii="仿宋" w:hAnsi="仿宋" w:eastAsia="仿宋" w:cs="宋体"/>
          <w:snapToGrid w:val="0"/>
          <w:sz w:val="32"/>
          <w:szCs w:val="32"/>
        </w:rPr>
        <w:t>负责组织协调反倾销、反补贴、保障措施及其他与进出口公平贸易相关的工作，协助开展对外贸易调查和产业损害调查，指导协调产业安全应对工作。</w:t>
      </w:r>
    </w:p>
    <w:p>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（十一）</w:t>
      </w:r>
      <w:r>
        <w:rPr>
          <w:rFonts w:hint="eastAsia" w:ascii="仿宋" w:hAnsi="仿宋" w:eastAsia="仿宋" w:cs="宋体"/>
          <w:snapToGrid w:val="0"/>
          <w:sz w:val="32"/>
          <w:szCs w:val="32"/>
        </w:rPr>
        <w:t>指导和管理全县招商引资、投资促进和承接产业转移工作，拟订并组织实施招商引资和承接产业转移政策；指导投资促进及全县外商投资企业审批备案工作，规范招商引资活动。</w:t>
      </w:r>
    </w:p>
    <w:p>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（十二）</w:t>
      </w:r>
      <w:r>
        <w:rPr>
          <w:rFonts w:hint="eastAsia" w:ascii="仿宋" w:hAnsi="仿宋" w:eastAsia="仿宋" w:cs="宋体"/>
          <w:snapToGrid w:val="0"/>
          <w:sz w:val="32"/>
          <w:szCs w:val="32"/>
        </w:rPr>
        <w:t>拟订并组织实施对外经济合作政策；依法管理和监督对外承包工程、对外劳务合作等；拟订县内人员出境就业管理政策并组织实施，负责牵头外派劳务和境外就业人员的权益保护工作；拟订境外投资的管理办法和具体政策，对县内企业对外投资开办企业(金融企业除外)按程序报批。</w:t>
      </w:r>
    </w:p>
    <w:p>
      <w:pPr>
        <w:spacing w:line="600" w:lineRule="exact"/>
        <w:ind w:firstLine="800" w:firstLineChars="250"/>
        <w:rPr>
          <w:rFonts w:hint="eastAsia" w:ascii="宋体" w:hAnsi="宋体" w:eastAsia="宋体" w:cs="宋体"/>
          <w:snapToGrid w:val="0"/>
          <w:sz w:val="32"/>
          <w:szCs w:val="32"/>
        </w:rPr>
      </w:pPr>
      <w:r>
        <w:rPr>
          <w:rFonts w:hint="eastAsia" w:ascii="仿宋" w:hAnsi="仿宋" w:eastAsia="仿宋" w:cs="宋体"/>
          <w:snapToGrid w:val="0"/>
          <w:sz w:val="32"/>
          <w:szCs w:val="32"/>
          <w:lang w:eastAsia="zh-CN"/>
        </w:rPr>
        <w:t>（十三）</w:t>
      </w:r>
      <w:r>
        <w:rPr>
          <w:rFonts w:hint="eastAsia" w:ascii="仿宋" w:hAnsi="仿宋" w:eastAsia="仿宋" w:cs="宋体"/>
          <w:snapToGrid w:val="0"/>
          <w:sz w:val="32"/>
          <w:szCs w:val="32"/>
        </w:rPr>
        <w:t>负责全县对外开放口岸的规划、申报及有关审批工作；协调管理县口岸工作，推动建立大通关机制。</w:t>
      </w:r>
      <w:r>
        <w:rPr>
          <w:rFonts w:hint="eastAsia" w:ascii="宋体" w:hAnsi="宋体" w:eastAsia="宋体" w:cs="宋体"/>
          <w:snapToGrid w:val="0"/>
          <w:sz w:val="32"/>
          <w:szCs w:val="32"/>
        </w:rPr>
        <w:t> </w:t>
      </w:r>
    </w:p>
    <w:p>
      <w:pPr>
        <w:spacing w:line="600" w:lineRule="exact"/>
        <w:ind w:firstLine="800" w:firstLineChars="25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（十四）负责商贸行业安全生产监督管理工作</w:t>
      </w:r>
      <w:r>
        <w:rPr>
          <w:rFonts w:hint="eastAsia" w:ascii="仿宋" w:hAnsi="仿宋" w:eastAsia="仿宋" w:cs="宋体"/>
          <w:snapToGrid w:val="0"/>
          <w:sz w:val="32"/>
          <w:szCs w:val="32"/>
        </w:rPr>
        <w:t>。</w:t>
      </w:r>
    </w:p>
    <w:p>
      <w:pPr>
        <w:spacing w:line="600" w:lineRule="exact"/>
        <w:ind w:firstLine="800" w:firstLineChars="250"/>
        <w:rPr>
          <w:rFonts w:ascii="仿宋" w:hAnsi="仿宋" w:eastAsia="仿宋"/>
          <w:sz w:val="32"/>
          <w:szCs w:val="32"/>
        </w:rPr>
      </w:pPr>
      <w:r>
        <w:rPr>
          <w:rFonts w:hint="eastAsia" w:ascii="仿宋" w:hAnsi="仿宋" w:eastAsia="仿宋" w:cs="宋体"/>
          <w:snapToGrid w:val="0"/>
          <w:sz w:val="32"/>
          <w:szCs w:val="32"/>
          <w:lang w:eastAsia="zh-CN"/>
        </w:rPr>
        <w:t>（十五）</w:t>
      </w:r>
      <w:r>
        <w:rPr>
          <w:rFonts w:hint="eastAsia" w:ascii="仿宋" w:hAnsi="仿宋" w:eastAsia="仿宋" w:cs="宋体"/>
          <w:snapToGrid w:val="0"/>
          <w:sz w:val="32"/>
          <w:szCs w:val="32"/>
        </w:rPr>
        <w:t>完成县委</w:t>
      </w:r>
      <w:r>
        <w:rPr>
          <w:rFonts w:hint="eastAsia" w:ascii="仿宋" w:hAnsi="仿宋" w:eastAsia="仿宋" w:cs="宋体"/>
          <w:snapToGrid w:val="0"/>
          <w:sz w:val="32"/>
          <w:szCs w:val="32"/>
          <w:lang w:eastAsia="zh-CN"/>
        </w:rPr>
        <w:t>、</w:t>
      </w:r>
      <w:r>
        <w:rPr>
          <w:rFonts w:hint="eastAsia" w:ascii="仿宋" w:hAnsi="仿宋" w:eastAsia="仿宋" w:cs="宋体"/>
          <w:snapToGrid w:val="0"/>
          <w:sz w:val="32"/>
          <w:szCs w:val="32"/>
        </w:rPr>
        <w:t>县政府交办的其他任务。</w:t>
      </w:r>
    </w:p>
    <w:p>
      <w:pPr>
        <w:spacing w:line="600" w:lineRule="exact"/>
        <w:ind w:firstLine="640" w:firstLineChars="200"/>
        <w:rPr>
          <w:rFonts w:hint="eastAsia" w:ascii="仿宋" w:hAnsi="仿宋" w:eastAsia="仿宋" w:cs="宋体"/>
          <w:snapToGrid w:val="0"/>
          <w:sz w:val="32"/>
          <w:szCs w:val="32"/>
          <w:lang w:eastAsia="zh-CN"/>
        </w:rPr>
      </w:pPr>
    </w:p>
    <w:p>
      <w:pPr>
        <w:ind w:firstLine="800" w:firstLineChars="250"/>
        <w:jc w:val="left"/>
        <w:rPr>
          <w:rFonts w:hint="eastAsia" w:ascii="仿宋" w:hAnsi="仿宋" w:eastAsia="仿宋" w:cs="宋体"/>
          <w:snapToGrid w:val="0"/>
          <w:sz w:val="32"/>
          <w:szCs w:val="32"/>
          <w:lang w:val="en-US" w:eastAsia="zh-CN"/>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溆浦县商务局</w:t>
      </w:r>
      <w:r>
        <w:rPr>
          <w:rFonts w:hint="eastAsia" w:ascii="Times New Roman" w:hAnsi="Times New Roman" w:eastAsia="仿宋_GB2312" w:cs="仿宋_GB2312"/>
          <w:bCs/>
          <w:kern w:val="0"/>
          <w:sz w:val="32"/>
          <w:szCs w:val="32"/>
        </w:rPr>
        <w:t>内设机构</w:t>
      </w:r>
      <w:r>
        <w:rPr>
          <w:rFonts w:hint="eastAsia" w:ascii="Times New Roman" w:hAnsi="Times New Roman" w:eastAsia="仿宋_GB2312" w:cs="仿宋_GB2312"/>
          <w:bCs/>
          <w:kern w:val="0"/>
          <w:sz w:val="32"/>
          <w:szCs w:val="32"/>
          <w:lang w:val="en-US" w:eastAsia="zh-CN"/>
        </w:rPr>
        <w:t>7个，</w:t>
      </w:r>
      <w:r>
        <w:rPr>
          <w:rFonts w:hint="eastAsia" w:ascii="Times New Roman" w:hAnsi="Times New Roman" w:eastAsia="仿宋_GB2312" w:cs="仿宋_GB2312"/>
          <w:bCs/>
          <w:kern w:val="0"/>
          <w:sz w:val="32"/>
          <w:szCs w:val="32"/>
        </w:rPr>
        <w:t>包括：</w:t>
      </w:r>
      <w:r>
        <w:rPr>
          <w:rFonts w:hint="eastAsia" w:ascii="Times New Roman" w:hAnsi="Times New Roman" w:eastAsia="仿宋_GB2312" w:cs="仿宋_GB2312"/>
          <w:bCs/>
          <w:kern w:val="0"/>
          <w:sz w:val="32"/>
          <w:szCs w:val="32"/>
          <w:lang w:eastAsia="zh-CN"/>
        </w:rPr>
        <w:t>办公室、财务审计股、行政审批服务股（政策法规股）、市场运行和消费促进股（市场秩序股）、市场体系建设股（流通业发展股、电子商务股）、投资管理和对外经济合作股（对外贸易股、服务贸易和商贸服务业股）、人事股。</w:t>
      </w:r>
      <w:r>
        <w:rPr>
          <w:rFonts w:hint="eastAsia" w:ascii="仿宋" w:hAnsi="仿宋" w:eastAsia="仿宋"/>
          <w:bCs/>
          <w:kern w:val="0"/>
          <w:sz w:val="32"/>
          <w:szCs w:val="32"/>
        </w:rPr>
        <w:t>二级机构2 个，分别是：溆浦县市场服务中心和溆浦县商业企业改制服务办公室。</w:t>
      </w:r>
    </w:p>
    <w:p>
      <w:pPr>
        <w:spacing w:line="600" w:lineRule="exact"/>
        <w:ind w:firstLine="636"/>
        <w:jc w:val="left"/>
        <w:rPr>
          <w:rFonts w:ascii="仿宋" w:hAnsi="仿宋" w:eastAsia="仿宋"/>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商务局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w:t>
      </w:r>
      <w:r>
        <w:rPr>
          <w:rFonts w:hint="eastAsia" w:ascii="仿宋" w:hAnsi="仿宋" w:eastAsia="仿宋"/>
          <w:bCs/>
          <w:kern w:val="0"/>
          <w:sz w:val="32"/>
          <w:szCs w:val="32"/>
        </w:rPr>
        <w:t>溆浦县商务局本级，不含独立核算的2个二级机构 ，无汇总决算报表。</w:t>
      </w: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5000" w:type="pct"/>
        <w:tblInd w:w="0" w:type="dxa"/>
        <w:tblLayout w:type="fixed"/>
        <w:tblCellMar>
          <w:top w:w="0" w:type="dxa"/>
          <w:left w:w="0" w:type="dxa"/>
          <w:bottom w:w="0" w:type="dxa"/>
          <w:right w:w="0" w:type="dxa"/>
        </w:tblCellMar>
      </w:tblPr>
      <w:tblGrid>
        <w:gridCol w:w="950"/>
        <w:gridCol w:w="4949"/>
        <w:gridCol w:w="1114"/>
        <w:gridCol w:w="1281"/>
        <w:gridCol w:w="1518"/>
        <w:gridCol w:w="1296"/>
        <w:gridCol w:w="1605"/>
        <w:gridCol w:w="1512"/>
        <w:gridCol w:w="1203"/>
      </w:tblGrid>
      <w:tr>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4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0"/>
              <w:gridCol w:w="1545"/>
              <w:gridCol w:w="2100"/>
              <w:gridCol w:w="3212"/>
              <w:gridCol w:w="1738"/>
              <w:gridCol w:w="292"/>
              <w:gridCol w:w="1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404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154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21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3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43"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487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404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21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3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404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部门：溆浦县商务局</w:t>
                  </w:r>
                </w:p>
              </w:tc>
              <w:tc>
                <w:tcPr>
                  <w:tcW w:w="15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0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21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3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68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618.07</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6,166.34</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14.92</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6,166.34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6,799.33</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6,799.33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6,799.33</w:t>
                  </w:r>
                </w:p>
              </w:tc>
              <w:tc>
                <w:tcPr>
                  <w:tcW w:w="3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6,799.33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487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911"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2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2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911"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w:t>
            </w:r>
            <w:r>
              <w:rPr>
                <w:rFonts w:hint="eastAsia" w:ascii="宋体" w:hAnsi="宋体" w:eastAsia="宋体" w:cs="宋体"/>
                <w:i w:val="0"/>
                <w:color w:val="000000"/>
                <w:kern w:val="0"/>
                <w:sz w:val="20"/>
                <w:szCs w:val="20"/>
                <w:u w:val="none"/>
                <w:lang w:val="en-US" w:eastAsia="zh-CN" w:bidi="ar"/>
              </w:rPr>
              <w:t>溆浦县商务局</w:t>
            </w:r>
          </w:p>
        </w:tc>
        <w:tc>
          <w:tcPr>
            <w:tcW w:w="36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1"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42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2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1911"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36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4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49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42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52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49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38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30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03"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361"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1"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2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8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7"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3"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1"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2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8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1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41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49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42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52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49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38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191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6,799.33</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6,784.41</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14.92</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255.42</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255.42</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20113</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商贸事务</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255.42</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255.42</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2011301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209.11</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209.11</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2011308</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46.32</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46.32</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29.08</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29.08</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26.08</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26.08</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26.08</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26.08</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1.72</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1.72</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退役安置</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2080905</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1603"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61"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415"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491"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603"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361"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12.90</w:t>
            </w:r>
          </w:p>
        </w:tc>
        <w:tc>
          <w:tcPr>
            <w:tcW w:w="415"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12.90</w:t>
            </w:r>
          </w:p>
        </w:tc>
        <w:tc>
          <w:tcPr>
            <w:tcW w:w="491"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216</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商业服务业等支出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324.29</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309.38</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14.92</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21602</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商业流通事务</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304.29</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289.38</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14.92</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2160201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170.43</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155.51</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14.92</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2160299</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133.86</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133.86</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21606</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涉外发展服务支出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2160699</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11.29</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11.29</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11.29</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11.29</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6,166.34</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6,166.34</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6,166.34</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6,166.34</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30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160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36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6,166.34</w:t>
            </w:r>
          </w:p>
        </w:tc>
        <w:tc>
          <w:tcPr>
            <w:tcW w:w="41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6,166.34</w:t>
            </w:r>
          </w:p>
        </w:tc>
        <w:tc>
          <w:tcPr>
            <w:tcW w:w="49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52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4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4999" w:type="pct"/>
        <w:tblInd w:w="0" w:type="dxa"/>
        <w:tblLayout w:type="fixed"/>
        <w:tblCellMar>
          <w:top w:w="0" w:type="dxa"/>
          <w:left w:w="108" w:type="dxa"/>
          <w:bottom w:w="0" w:type="dxa"/>
          <w:right w:w="108" w:type="dxa"/>
        </w:tblCellMar>
      </w:tblPr>
      <w:tblGrid>
        <w:gridCol w:w="1051"/>
        <w:gridCol w:w="15"/>
        <w:gridCol w:w="5412"/>
        <w:gridCol w:w="2345"/>
        <w:gridCol w:w="1387"/>
        <w:gridCol w:w="1177"/>
        <w:gridCol w:w="1505"/>
        <w:gridCol w:w="1387"/>
        <w:gridCol w:w="1333"/>
      </w:tblGrid>
      <w:tr>
        <w:tblPrEx>
          <w:tblCellMar>
            <w:top w:w="0" w:type="dxa"/>
            <w:left w:w="108" w:type="dxa"/>
            <w:bottom w:w="0" w:type="dxa"/>
            <w:right w:w="108" w:type="dxa"/>
          </w:tblCellMar>
        </w:tblPrEx>
        <w:trPr>
          <w:trHeight w:val="807" w:hRule="atLeast"/>
        </w:trPr>
        <w:tc>
          <w:tcPr>
            <w:tcW w:w="5000" w:type="pct"/>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2074"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5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6"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074" w:type="pct"/>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：溆浦县商务局</w:t>
            </w:r>
          </w:p>
        </w:tc>
        <w:tc>
          <w:tcPr>
            <w:tcW w:w="75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6"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8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6"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074"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44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48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44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42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341"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3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4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074"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75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8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4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074"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6,799.33</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396.66</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6,402.67</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255.42</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209.11</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46.32</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商贸事务</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255.42</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209.11</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46.32</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2011301</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209.11</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209.11</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46.32</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46.32</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29.08</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29.08</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26.08</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26.08</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26.08</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26.08</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3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738"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733"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0.76</w:t>
            </w:r>
          </w:p>
        </w:tc>
        <w:tc>
          <w:tcPr>
            <w:tcW w:w="37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733"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37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退役安置</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2080905</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商业服务业等支出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324.29</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134.29</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190.01</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商业流通事务</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304.29</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134.29</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170.01</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2160201</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170.43</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109.75</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60.68</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2160299</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133.86</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24.54</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109.33</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21606</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涉外发展服务支出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2160699</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733"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11.29</w:t>
            </w:r>
          </w:p>
        </w:tc>
        <w:tc>
          <w:tcPr>
            <w:tcW w:w="37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1733"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6,166.34</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7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6,166.34</w:t>
            </w:r>
          </w:p>
        </w:tc>
        <w:tc>
          <w:tcPr>
            <w:tcW w:w="4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6,166.34</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6,166.34</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3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1733"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其他地方自行试点项目收益专项债券收入安排的支出</w:t>
            </w:r>
          </w:p>
        </w:tc>
        <w:tc>
          <w:tcPr>
            <w:tcW w:w="7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6,166.34</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6,166.34</w:t>
            </w:r>
          </w:p>
        </w:tc>
        <w:tc>
          <w:tcPr>
            <w:tcW w:w="4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5000" w:type="pct"/>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溆浦县商务局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618.07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255.42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255.42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6166.34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lang w:eastAsia="zh-CN"/>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29.08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29.08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12.90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12.90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309.38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309.38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11.29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11.29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6,166.34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6,166.34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6784.41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6,784.41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618.07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6,166.34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6784.41</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6,784.41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618.07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6,166.34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一般公共预算财政拨款支出决算表</w:t>
      </w:r>
      <w:bookmarkEnd w:id="1"/>
    </w:p>
    <w:p>
      <w:pPr>
        <w:widowControl/>
        <w:spacing w:before="156" w:beforeLines="50"/>
        <w:jc w:val="left"/>
        <w:rPr>
          <w:rFonts w:hint="eastAsia" w:asciiTheme="minorEastAsia" w:hAnsiTheme="minorEastAsia" w:eastAsiaTheme="minorEastAsia" w:cstheme="minorEastAsia"/>
          <w:color w:val="000000"/>
          <w:kern w:val="0"/>
          <w:sz w:val="20"/>
          <w:szCs w:val="20"/>
        </w:rPr>
      </w:pPr>
      <w:r>
        <w:rPr>
          <w:rFonts w:hint="eastAsia" w:ascii="Times New Roman" w:hAnsi="Times New Roman" w:eastAsia="仿宋_GB2312" w:cs="Times New Roman"/>
          <w:color w:val="000000"/>
          <w:kern w:val="0"/>
          <w:szCs w:val="21"/>
        </w:rPr>
        <w:t xml:space="preserve">    </w:t>
      </w:r>
      <w:r>
        <w:rPr>
          <w:rFonts w:hint="eastAsia" w:asciiTheme="minorEastAsia" w:hAnsiTheme="minorEastAsia" w:eastAsiaTheme="minorEastAsia" w:cstheme="minorEastAsia"/>
          <w:color w:val="000000"/>
          <w:kern w:val="0"/>
          <w:szCs w:val="21"/>
        </w:rPr>
        <w:t xml:space="preserve">                                                                                                           </w:t>
      </w:r>
      <w:r>
        <w:rPr>
          <w:rFonts w:hint="eastAsia" w:asciiTheme="minorEastAsia" w:hAnsiTheme="minorEastAsia" w:eastAsiaTheme="minorEastAsia" w:cstheme="minorEastAsia"/>
          <w:color w:val="000000"/>
          <w:kern w:val="0"/>
          <w:szCs w:val="21"/>
          <w:lang w:val="en-US" w:eastAsia="zh-CN"/>
        </w:rPr>
        <w:t xml:space="preserve">        </w:t>
      </w:r>
      <w:r>
        <w:rPr>
          <w:rFonts w:hint="eastAsia" w:asciiTheme="minorEastAsia" w:hAnsiTheme="minorEastAsia" w:eastAsiaTheme="minorEastAsia" w:cstheme="minorEastAsia"/>
          <w:color w:val="000000"/>
          <w:kern w:val="0"/>
          <w:szCs w:val="21"/>
        </w:rPr>
        <w:t xml:space="preserve">    </w:t>
      </w:r>
      <w:r>
        <w:rPr>
          <w:rFonts w:hint="eastAsia" w:asciiTheme="minorEastAsia" w:hAnsiTheme="minorEastAsia" w:cstheme="minorEastAsia"/>
          <w:color w:val="000000"/>
          <w:kern w:val="0"/>
          <w:szCs w:val="21"/>
          <w:lang w:val="en-US" w:eastAsia="zh-CN"/>
        </w:rPr>
        <w:t xml:space="preserve">      </w:t>
      </w:r>
      <w:r>
        <w:rPr>
          <w:rFonts w:hint="eastAsia" w:asciiTheme="minorEastAsia" w:hAnsiTheme="minorEastAsia" w:cstheme="minorEastAsia"/>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0"/>
          <w:szCs w:val="20"/>
        </w:rPr>
        <w:t>公开05表</w:t>
      </w:r>
    </w:p>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部门：</w:t>
      </w:r>
      <w:r>
        <w:rPr>
          <w:rFonts w:hint="eastAsia" w:asciiTheme="minorEastAsia" w:hAnsiTheme="minorEastAsia" w:cstheme="minorEastAsia"/>
          <w:color w:val="000000"/>
          <w:kern w:val="0"/>
          <w:sz w:val="20"/>
          <w:szCs w:val="20"/>
          <w:lang w:eastAsia="zh-CN"/>
        </w:rPr>
        <w:t>溆浦县商务局</w:t>
      </w:r>
      <w:r>
        <w:rPr>
          <w:rFonts w:hint="eastAsia" w:asciiTheme="minorEastAsia" w:hAnsiTheme="minorEastAsia" w:eastAsiaTheme="minorEastAsia" w:cstheme="minorEastAsia"/>
          <w:color w:val="000000"/>
          <w:kern w:val="0"/>
          <w:sz w:val="20"/>
          <w:szCs w:val="20"/>
        </w:rPr>
        <w:t xml:space="preserve">                                                                                                              </w:t>
      </w:r>
      <w:r>
        <w:rPr>
          <w:rFonts w:hint="eastAsia" w:asciiTheme="minorEastAsia" w:hAnsiTheme="minorEastAsia" w:cstheme="minorEastAsia"/>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0"/>
          <w:szCs w:val="20"/>
        </w:rPr>
        <w:t>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 xml:space="preserve">项 </w:t>
            </w:r>
            <w:r>
              <w:rPr>
                <w:rFonts w:hint="eastAsia" w:asciiTheme="minorEastAsia" w:hAnsiTheme="minorEastAsia" w:eastAsiaTheme="minorEastAsia" w:cstheme="minorEastAsia"/>
                <w:b/>
                <w:color w:val="000000"/>
                <w:kern w:val="0"/>
                <w:sz w:val="22"/>
                <w:szCs w:val="22"/>
              </w:rPr>
              <w:t xml:space="preserve">   </w:t>
            </w:r>
            <w:r>
              <w:rPr>
                <w:rFonts w:hint="eastAsia" w:asciiTheme="minorEastAsia" w:hAnsiTheme="minorEastAsia" w:eastAsiaTheme="minorEastAsia" w:cstheme="minorEastAsia"/>
                <w:b/>
                <w:kern w:val="0"/>
                <w:sz w:val="22"/>
                <w:szCs w:val="22"/>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2"/>
                <w:szCs w:val="22"/>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Theme="minorEastAsia" w:hAnsiTheme="minorEastAsia" w:eastAsiaTheme="minorEastAsia" w:cstheme="minorEastAsia"/>
                <w:kern w:val="0"/>
                <w:sz w:val="22"/>
                <w:szCs w:val="22"/>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b/>
                <w:bCs/>
                <w:i w:val="0"/>
                <w:iCs w:val="0"/>
                <w:color w:val="000000"/>
                <w:kern w:val="0"/>
                <w:sz w:val="22"/>
                <w:szCs w:val="22"/>
                <w:u w:val="none"/>
                <w:lang w:val="en-US" w:eastAsia="zh-CN" w:bidi="ar"/>
              </w:rPr>
              <w:t>618.07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b/>
                <w:bCs/>
                <w:i w:val="0"/>
                <w:iCs w:val="0"/>
                <w:color w:val="000000"/>
                <w:kern w:val="0"/>
                <w:sz w:val="22"/>
                <w:szCs w:val="22"/>
                <w:u w:val="none"/>
                <w:lang w:val="en-US" w:eastAsia="zh-CN" w:bidi="ar"/>
              </w:rPr>
              <w:t>381.74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b/>
                <w:bCs/>
                <w:i w:val="0"/>
                <w:iCs w:val="0"/>
                <w:color w:val="000000"/>
                <w:kern w:val="0"/>
                <w:sz w:val="22"/>
                <w:szCs w:val="22"/>
                <w:u w:val="none"/>
                <w:lang w:val="en-US" w:eastAsia="zh-CN" w:bidi="ar"/>
              </w:rPr>
              <w:t>236.32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255.42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209.11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46.32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商贸事务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255.42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209.11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46.32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209.11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209.11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2011308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46.32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46.32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29.08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29.08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26.08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26.08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26.08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26.08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0.76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0.76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0.96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0.96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退役安置</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0.96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0.96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2080905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0.96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0.96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0.32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00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0.32</w:t>
            </w:r>
          </w:p>
        </w:tc>
        <w:tc>
          <w:tcPr>
            <w:tcW w:w="3492"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0.32</w:t>
            </w:r>
          </w:p>
        </w:tc>
        <w:tc>
          <w:tcPr>
            <w:tcW w:w="300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12.90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12.90</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12.90</w:t>
            </w:r>
          </w:p>
        </w:tc>
        <w:tc>
          <w:tcPr>
            <w:tcW w:w="3492"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12.90</w:t>
            </w:r>
          </w:p>
        </w:tc>
        <w:tc>
          <w:tcPr>
            <w:tcW w:w="3000"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12.90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12.90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商业服务业等支出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309.38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119.37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190.01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21602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商业流通事务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289.38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119.37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170.01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2160201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155.51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94.83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60.68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2160299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133.86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24.54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109.33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21606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涉外发展服务支出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2160699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11.29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11.29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11.29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11.29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11.29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11.29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5000" w:type="pct"/>
        <w:tblInd w:w="0" w:type="dxa"/>
        <w:tblLayout w:type="fixed"/>
        <w:tblCellMar>
          <w:top w:w="0" w:type="dxa"/>
          <w:left w:w="108" w:type="dxa"/>
          <w:bottom w:w="0" w:type="dxa"/>
          <w:right w:w="108" w:type="dxa"/>
        </w:tblCellMar>
      </w:tblPr>
      <w:tblGrid>
        <w:gridCol w:w="983"/>
        <w:gridCol w:w="16"/>
        <w:gridCol w:w="225"/>
        <w:gridCol w:w="2064"/>
        <w:gridCol w:w="1824"/>
        <w:gridCol w:w="1054"/>
        <w:gridCol w:w="514"/>
        <w:gridCol w:w="309"/>
        <w:gridCol w:w="1911"/>
        <w:gridCol w:w="190"/>
        <w:gridCol w:w="781"/>
        <w:gridCol w:w="943"/>
        <w:gridCol w:w="359"/>
        <w:gridCol w:w="2083"/>
        <w:gridCol w:w="1430"/>
        <w:gridCol w:w="681"/>
        <w:gridCol w:w="247"/>
      </w:tblGrid>
      <w:tr>
        <w:tblPrEx>
          <w:tblCellMar>
            <w:top w:w="0" w:type="dxa"/>
            <w:left w:w="108" w:type="dxa"/>
            <w:bottom w:w="0" w:type="dxa"/>
            <w:right w:w="108" w:type="dxa"/>
          </w:tblCellMar>
        </w:tblPrEx>
        <w:trPr>
          <w:trHeight w:val="448" w:hRule="atLeast"/>
        </w:trPr>
        <w:tc>
          <w:tcPr>
            <w:tcW w:w="5000" w:type="pct"/>
            <w:gridSpan w:val="17"/>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p>
            <w:pPr>
              <w:widowControl/>
              <w:wordWrap w:val="0"/>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公开06表</w:t>
            </w:r>
          </w:p>
          <w:p>
            <w:pPr>
              <w:widowControl/>
              <w:jc w:val="left"/>
              <w:rPr>
                <w:rFonts w:ascii="华文中宋" w:hAnsi="华文中宋" w:eastAsia="华文中宋" w:cs="宋体"/>
                <w:color w:val="000000"/>
                <w:kern w:val="0"/>
                <w:szCs w:val="32"/>
              </w:rPr>
            </w:pPr>
            <w:r>
              <w:rPr>
                <w:rFonts w:hint="eastAsia" w:asciiTheme="minorEastAsia" w:hAnsiTheme="minorEastAsia" w:eastAsiaTheme="minorEastAsia" w:cstheme="minorEastAsia"/>
                <w:color w:val="000000"/>
                <w:kern w:val="0"/>
                <w:sz w:val="20"/>
                <w:szCs w:val="20"/>
              </w:rPr>
              <w:t>部门：</w:t>
            </w:r>
            <w:r>
              <w:rPr>
                <w:rFonts w:hint="eastAsia" w:asciiTheme="minorEastAsia" w:hAnsiTheme="minorEastAsia" w:cstheme="minorEastAsia"/>
                <w:color w:val="000000"/>
                <w:kern w:val="0"/>
                <w:sz w:val="20"/>
                <w:szCs w:val="20"/>
                <w:lang w:eastAsia="zh-CN"/>
              </w:rPr>
              <w:t>溆浦县商务局</w:t>
            </w:r>
            <w:r>
              <w:rPr>
                <w:rFonts w:hint="eastAsia" w:asciiTheme="minorEastAsia" w:hAnsiTheme="minorEastAsia" w:cstheme="minorEastAsia"/>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0"/>
                <w:szCs w:val="20"/>
              </w:rPr>
              <w:t>单位：万元</w:t>
            </w:r>
          </w:p>
        </w:tc>
      </w:tr>
      <w:tr>
        <w:tblPrEx>
          <w:tblCellMar>
            <w:top w:w="0" w:type="dxa"/>
            <w:left w:w="108" w:type="dxa"/>
            <w:bottom w:w="0" w:type="dxa"/>
            <w:right w:w="108" w:type="dxa"/>
          </w:tblCellMar>
        </w:tblPrEx>
        <w:trPr>
          <w:trHeight w:val="448" w:hRule="atLeast"/>
        </w:trPr>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经济分类科目编码</w:t>
            </w:r>
          </w:p>
        </w:tc>
        <w:tc>
          <w:tcPr>
            <w:tcW w:w="1317"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c>
          <w:tcPr>
            <w:tcW w:w="1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经济分类科目编码</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31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c>
          <w:tcPr>
            <w:tcW w:w="3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经济分类科目编码</w:t>
            </w:r>
          </w:p>
        </w:tc>
        <w:tc>
          <w:tcPr>
            <w:tcW w:w="123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2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工资福利支出</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259.65</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2"/>
                <w:szCs w:val="22"/>
              </w:rPr>
              <w:t>302</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商品和服务支出</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114.47</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307</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债务利息及费用支出</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30101</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基本工资</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112.80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30201</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办公费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3.62</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30701</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国内债务付息</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30102</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津贴补贴</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51.11</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30202</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印刷费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11.54</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30702</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国外债务付息</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30103</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奖金</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9.51</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30203</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咨询费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资本性支出</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3.24</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30106</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伙食补助费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6.33</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30204</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手续费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31001</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房屋建筑物购建</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30107</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绩效工资</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28.20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30205</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水费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0.24</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31002</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办公设备购置</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3.24</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30108</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21"/>
                <w:szCs w:val="21"/>
              </w:rPr>
              <w:t>机关事业单位基本养老保险缴费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26.03</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30206</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电费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1.16</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31003</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专用设备购置</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30109</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职业年金缴费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30207</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邮电费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0.45</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31005</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基础设施建设</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30110</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职工基本医疗保险缴费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12.91</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30208</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取暖费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31006</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大型修缮</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30111</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公务员医疗补助缴费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30209</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物业管理费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0.60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31007</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信息网络及软件购置更新</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30112</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其他社会保障缴费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0.29</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30211</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差旅费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10.79</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31008</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物资储备</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30113</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住房公积金</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12.47</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30212</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20"/>
                <w:szCs w:val="20"/>
              </w:rPr>
              <w:t xml:space="preserve"> 因公出国（境）费用</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31009</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土地补偿</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30114</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医疗费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30213</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维修（护）费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19.09</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31010</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安置补助</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30199</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其他工资福利支出</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30214</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租赁费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31011</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地上附着物和青苗补偿</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对个人和家庭的补助</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4.37</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30215</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会议费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0.16</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31012</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拆迁补偿</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30301</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离休费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30216</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培训费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0.20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31013</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公务用车购置</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30302</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退休费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30217</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公务接待费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3.81</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31019</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其他交通工具购置</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30303</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退职（役）费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30218</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专用材料费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31021</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文物和陈列品购置</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30304</w:t>
            </w:r>
          </w:p>
        </w:tc>
        <w:tc>
          <w:tcPr>
            <w:tcW w:w="131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抚恤金</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0.76</w:t>
            </w:r>
          </w:p>
        </w:tc>
        <w:tc>
          <w:tcPr>
            <w:tcW w:w="1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30224</w:t>
            </w:r>
          </w:p>
        </w:tc>
        <w:tc>
          <w:tcPr>
            <w:tcW w:w="71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被装购置费</w:t>
            </w:r>
          </w:p>
        </w:tc>
        <w:tc>
          <w:tcPr>
            <w:tcW w:w="310"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31022</w:t>
            </w:r>
          </w:p>
        </w:tc>
        <w:tc>
          <w:tcPr>
            <w:tcW w:w="123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无形资产购置</w:t>
            </w:r>
          </w:p>
        </w:tc>
        <w:tc>
          <w:tcPr>
            <w:tcW w:w="297"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30305</w:t>
            </w:r>
          </w:p>
        </w:tc>
        <w:tc>
          <w:tcPr>
            <w:tcW w:w="131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生活补助</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1.04</w:t>
            </w:r>
          </w:p>
        </w:tc>
        <w:tc>
          <w:tcPr>
            <w:tcW w:w="1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30225</w:t>
            </w:r>
          </w:p>
        </w:tc>
        <w:tc>
          <w:tcPr>
            <w:tcW w:w="71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专用燃料费</w:t>
            </w:r>
          </w:p>
        </w:tc>
        <w:tc>
          <w:tcPr>
            <w:tcW w:w="310"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31099</w:t>
            </w:r>
          </w:p>
        </w:tc>
        <w:tc>
          <w:tcPr>
            <w:tcW w:w="1239"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其他资本性支出</w:t>
            </w:r>
          </w:p>
        </w:tc>
        <w:tc>
          <w:tcPr>
            <w:tcW w:w="297"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30306</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救济费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30226</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劳务费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399</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30307</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医疗费补助</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30227</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委托业务费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39906</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赠与</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30308</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助学金</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30228</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工会经费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8.71</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39907</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国家赔偿费用支出</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30309</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奖励金</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0.34</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30229</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福利费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0.17</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39908</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18"/>
                <w:szCs w:val="18"/>
              </w:rPr>
              <w:t>对民间非营利组织和群众性自治组织补贴</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30310</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个人农业生产补贴</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30231</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公务用车运行维护费</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39999</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其他支出</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30311</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代缴社会保险费</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30239</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其他交通费用</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18.78</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30399</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其他对个人和家庭的补助</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30240</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税金及附加费用</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 w:type="pct"/>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48" w:hRule="exact"/>
        </w:trPr>
        <w:tc>
          <w:tcPr>
            <w:tcW w:w="319"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17"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30299</w:t>
            </w:r>
          </w:p>
        </w:tc>
        <w:tc>
          <w:tcPr>
            <w:tcW w:w="71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18"/>
                <w:szCs w:val="18"/>
              </w:rPr>
              <w:t>其他商品和服务支出</w:t>
            </w:r>
          </w:p>
        </w:tc>
        <w:tc>
          <w:tcPr>
            <w:tcW w:w="31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35.15</w:t>
            </w:r>
          </w:p>
        </w:tc>
        <w:tc>
          <w:tcPr>
            <w:tcW w:w="30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39"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7" w:type="pct"/>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48" w:hRule="exact"/>
        </w:trPr>
        <w:tc>
          <w:tcPr>
            <w:tcW w:w="1636"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人员经费合计</w:t>
            </w:r>
          </w:p>
        </w:tc>
        <w:tc>
          <w:tcPr>
            <w:tcW w:w="33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264.03</w:t>
            </w:r>
          </w:p>
        </w:tc>
        <w:tc>
          <w:tcPr>
            <w:tcW w:w="2728" w:type="pct"/>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公用经费合计</w:t>
            </w:r>
          </w:p>
        </w:tc>
        <w:tc>
          <w:tcPr>
            <w:tcW w:w="297"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117.71</w:t>
            </w:r>
          </w:p>
        </w:tc>
      </w:tr>
      <w:tr>
        <w:tblPrEx>
          <w:tblCellMar>
            <w:top w:w="0" w:type="dxa"/>
            <w:left w:w="108" w:type="dxa"/>
            <w:bottom w:w="0" w:type="dxa"/>
            <w:right w:w="108" w:type="dxa"/>
          </w:tblCellMar>
        </w:tblPrEx>
        <w:trPr>
          <w:trHeight w:val="448" w:hRule="exact"/>
        </w:trPr>
        <w:tc>
          <w:tcPr>
            <w:tcW w:w="5000" w:type="pct"/>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4920" w:type="pct"/>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14"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7" w:type="pct"/>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60" w:type="pct"/>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584"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01" w:type="pct"/>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72" w:type="pct"/>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67" w:type="pct"/>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67"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75" w:type="pct"/>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1052" w:type="pct"/>
            <w:gridSpan w:val="4"/>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部门：溆浦县商务局</w:t>
            </w:r>
          </w:p>
        </w:tc>
        <w:tc>
          <w:tcPr>
            <w:tcW w:w="584"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01" w:type="pct"/>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72" w:type="pct"/>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67" w:type="pct"/>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67" w:type="pct"/>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75" w:type="pct"/>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10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项 </w:t>
            </w:r>
            <w:r>
              <w:rPr>
                <w:rStyle w:val="13"/>
                <w:rFonts w:hint="eastAsia" w:asciiTheme="minorEastAsia" w:hAnsiTheme="minorEastAsia" w:eastAsiaTheme="minorEastAsia" w:cstheme="minorEastAsia"/>
                <w:sz w:val="22"/>
                <w:szCs w:val="22"/>
                <w:lang w:val="en-US" w:eastAsia="zh-CN" w:bidi="ar"/>
              </w:rPr>
              <w:t xml:space="preserve">   </w:t>
            </w:r>
            <w:r>
              <w:rPr>
                <w:rStyle w:val="14"/>
                <w:rFonts w:hint="eastAsia" w:asciiTheme="minorEastAsia" w:hAnsiTheme="minorEastAsia" w:eastAsiaTheme="minorEastAsia" w:cstheme="minorEastAsia"/>
                <w:sz w:val="22"/>
                <w:szCs w:val="22"/>
                <w:lang w:val="en-US" w:eastAsia="zh-CN" w:bidi="ar"/>
              </w:rPr>
              <w:t>目</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年初结转和结余</w:t>
            </w:r>
          </w:p>
        </w:tc>
        <w:tc>
          <w:tcPr>
            <w:tcW w:w="60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本年收入</w:t>
            </w:r>
          </w:p>
        </w:tc>
        <w:tc>
          <w:tcPr>
            <w:tcW w:w="200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本年支出</w:t>
            </w:r>
          </w:p>
        </w:tc>
        <w:tc>
          <w:tcPr>
            <w:tcW w:w="6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科目代码</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科目名称</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0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小计</w:t>
            </w:r>
          </w:p>
        </w:tc>
        <w:tc>
          <w:tcPr>
            <w:tcW w:w="6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基本支出  </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项目支出</w:t>
            </w:r>
          </w:p>
        </w:tc>
        <w:tc>
          <w:tcPr>
            <w:tcW w:w="6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0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0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10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栏次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10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6,166.34</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6,166.34</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6,166.34</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6,166.34</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9" w:type="pct"/>
          <w:trHeight w:val="448" w:hRule="atLeast"/>
        </w:trPr>
        <w:tc>
          <w:tcPr>
            <w:tcW w:w="4920" w:type="pct"/>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27" w:type="dxa"/>
            <w:gridSpan w:val="2"/>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部门：溆浦县商务局</w:t>
            </w: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部门：溆浦县商务局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6799.33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5781.71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568.15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2022年度一般公共预算财政拨款收入减少了333.21万元，</w:t>
      </w:r>
      <w:r>
        <w:rPr>
          <w:rFonts w:hint="eastAsia" w:ascii="Times New Roman" w:hAnsi="Times New Roman" w:eastAsia="仿宋_GB2312"/>
          <w:sz w:val="32"/>
          <w:szCs w:val="32"/>
        </w:rPr>
        <w:t>政府性基金预算财政拨款收入</w:t>
      </w:r>
      <w:r>
        <w:rPr>
          <w:rFonts w:hint="eastAsia" w:ascii="Times New Roman" w:hAnsi="Times New Roman" w:eastAsia="仿宋_GB2312"/>
          <w:sz w:val="32"/>
          <w:szCs w:val="32"/>
          <w:lang w:eastAsia="zh-CN"/>
        </w:rPr>
        <w:t>增加了6166.34万元，其他收入增加了</w:t>
      </w:r>
      <w:r>
        <w:rPr>
          <w:rFonts w:hint="eastAsia" w:ascii="Times New Roman" w:hAnsi="Times New Roman" w:eastAsia="仿宋_GB2312"/>
          <w:sz w:val="32"/>
          <w:szCs w:val="32"/>
          <w:lang w:val="en-US" w:eastAsia="zh-CN"/>
        </w:rPr>
        <w:t>13.49万元。2022年度一般公共服务支出增加了66.3万元，社会保障和就业支出增加0.91万元，卫生健康支出增加了0.77万元，农林水支出减少了42.25万元，商业服务业等支出减少了361.68万元，住房保障支出增加了1.37万元，粮油物资储备支出减少了5.01万元，其他支出增加了6166.34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6799.33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6784.41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99.78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14.92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6799.33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396.66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6402.67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94.17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6784.41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5771.06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569.5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度一般公共预算财政拨款减少了333.21万元，政府性基金预算财政拨款增加了6166.34万元，年初财政拨款结转结余减少了62.08万元；2022年度一般公共预算财政拨款支出主要是一般公共服务支出增加了66.3万元，社会保障和就业支出增加了1.29万元，卫生健康支出增加了0.77万元，农林水支出减少了42.25万元，商业服务业等支出减少了373.54万元，住房保障支出增加了1.37万元，粮油物资储备支出减少了4.14万元，其他支出增加了6166.34万元，年末财政拨款结转和结余减少了45.06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FF0000"/>
          <w:sz w:val="32"/>
          <w:szCs w:val="32"/>
        </w:rPr>
      </w:pPr>
      <w:r>
        <w:rPr>
          <w:rFonts w:hint="eastAsia" w:ascii="楷体" w:hAnsi="楷体" w:eastAsia="楷体" w:cs="楷体"/>
          <w:b w:val="0"/>
          <w:bCs/>
          <w:sz w:val="32"/>
          <w:szCs w:val="32"/>
        </w:rPr>
        <w:t>（一）财政拨款支出决</w:t>
      </w:r>
      <w:r>
        <w:rPr>
          <w:rFonts w:hint="eastAsia" w:ascii="楷体" w:hAnsi="楷体" w:eastAsia="楷体" w:cs="楷体"/>
          <w:b w:val="0"/>
          <w:bCs/>
          <w:color w:val="auto"/>
          <w:sz w:val="32"/>
          <w:szCs w:val="32"/>
        </w:rPr>
        <w:t>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618.07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9.11</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350.22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36.17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本年度一般公共服务支出增加了</w:t>
      </w:r>
      <w:r>
        <w:rPr>
          <w:rFonts w:hint="eastAsia" w:ascii="Times New Roman" w:hAnsi="Times New Roman" w:eastAsia="仿宋_GB2312"/>
          <w:sz w:val="32"/>
          <w:szCs w:val="32"/>
          <w:lang w:val="en-US" w:eastAsia="zh-CN"/>
        </w:rPr>
        <w:t>66.3万元，社会保障和就业支出增加了1.29万元，卫生健康支出增加了0.77万元，农林水支出减少了42.25万元，商业服务业等支出减少了373.54万元，住房保障支出增加了1.37万元，粮油物资储备支出4.14万元。</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FF0000"/>
          <w:sz w:val="32"/>
          <w:szCs w:val="32"/>
        </w:rPr>
      </w:pPr>
      <w:r>
        <w:rPr>
          <w:rFonts w:hint="eastAsia" w:ascii="楷体" w:hAnsi="楷体" w:eastAsia="楷体" w:cs="楷体"/>
          <w:b w:val="0"/>
          <w:bCs/>
          <w:sz w:val="32"/>
          <w:szCs w:val="32"/>
        </w:rPr>
        <w:t>（二）财政拨款支出</w:t>
      </w:r>
      <w:r>
        <w:rPr>
          <w:rFonts w:hint="eastAsia" w:ascii="楷体" w:hAnsi="楷体" w:eastAsia="楷体" w:cs="楷体"/>
          <w:b w:val="0"/>
          <w:bCs/>
          <w:color w:val="auto"/>
          <w:sz w:val="32"/>
          <w:szCs w:val="32"/>
        </w:rPr>
        <w:t>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618.07</w:t>
      </w:r>
      <w:r>
        <w:rPr>
          <w:rFonts w:hint="eastAsia" w:ascii="Times New Roman" w:hAnsi="Times New Roman" w:eastAsia="仿宋_GB2312"/>
          <w:sz w:val="32"/>
          <w:szCs w:val="32"/>
        </w:rPr>
        <w:t>万元，主要用于以下方面：一般公共服务</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255.42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41.33</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29.08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lang w:eastAsia="zh-CN"/>
        </w:rPr>
        <w:t>%；卫生健康支出12.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2.09</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%；商业服务业等支出</w:t>
      </w:r>
      <w:r>
        <w:rPr>
          <w:rFonts w:hint="eastAsia" w:ascii="Times New Roman" w:hAnsi="Times New Roman" w:eastAsia="仿宋_GB2312"/>
          <w:sz w:val="32"/>
          <w:szCs w:val="32"/>
          <w:lang w:val="en-US" w:eastAsia="zh-CN"/>
        </w:rPr>
        <w:t>309.38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50.06</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11.29，</w:t>
      </w:r>
      <w:r>
        <w:rPr>
          <w:rFonts w:hint="eastAsia" w:ascii="Times New Roman" w:hAnsi="Times New Roman" w:eastAsia="仿宋_GB2312"/>
          <w:sz w:val="32"/>
          <w:szCs w:val="32"/>
          <w:lang w:eastAsia="zh-CN"/>
        </w:rPr>
        <w:t>占</w:t>
      </w:r>
      <w:r>
        <w:rPr>
          <w:rFonts w:hint="eastAsia" w:ascii="Times New Roman" w:hAnsi="Times New Roman" w:eastAsia="仿宋_GB2312"/>
          <w:sz w:val="32"/>
          <w:szCs w:val="32"/>
          <w:lang w:val="en-US" w:eastAsia="zh-CN"/>
        </w:rPr>
        <w:t>1.82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粮油物资储备支出0万元，占0%。</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val="en-US" w:eastAsia="zh-CN"/>
        </w:rPr>
        <w:t>746.68</w:t>
      </w:r>
      <w:r>
        <w:rPr>
          <w:rFonts w:hint="eastAsia" w:ascii="Times New Roman" w:hAnsi="Times New Roman" w:eastAsia="仿宋_GB2312"/>
          <w:color w:val="auto"/>
          <w:sz w:val="32"/>
          <w:szCs w:val="32"/>
        </w:rPr>
        <w:t>万</w:t>
      </w:r>
      <w:r>
        <w:rPr>
          <w:rFonts w:hint="eastAsia" w:ascii="Times New Roman" w:hAnsi="Times New Roman" w:eastAsia="仿宋_GB2312"/>
          <w:sz w:val="32"/>
          <w:szCs w:val="32"/>
        </w:rPr>
        <w:t>元，支出决算数为</w:t>
      </w:r>
      <w:r>
        <w:rPr>
          <w:rFonts w:hint="eastAsia" w:ascii="Times New Roman" w:hAnsi="Times New Roman" w:eastAsia="仿宋_GB2312"/>
          <w:sz w:val="32"/>
          <w:szCs w:val="32"/>
          <w:lang w:val="en-US" w:eastAsia="zh-CN"/>
        </w:rPr>
        <w:t>618.07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82.78</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商贸事务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210.93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209.11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99.14</w:t>
      </w:r>
      <w:r>
        <w:rPr>
          <w:rFonts w:hint="eastAsia" w:ascii="Times New Roman" w:hAnsi="Times New Roman" w:eastAsia="仿宋_GB2312"/>
          <w:sz w:val="32"/>
          <w:szCs w:val="32"/>
        </w:rPr>
        <w:t>%，决算数与年初预算数基本持平</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商贸事务</w:t>
      </w:r>
      <w:r>
        <w:rPr>
          <w:rFonts w:hint="eastAsia" w:ascii="Times New Roman" w:hAnsi="Times New Roman" w:eastAsia="仿宋_GB2312"/>
          <w:sz w:val="32"/>
          <w:szCs w:val="32"/>
        </w:rPr>
        <w:t>（款）</w:t>
      </w:r>
      <w:r>
        <w:rPr>
          <w:rFonts w:hint="eastAsia" w:ascii="Times New Roman" w:hAnsi="Times New Roman" w:eastAsia="仿宋_GB2312"/>
          <w:color w:val="auto"/>
          <w:sz w:val="32"/>
          <w:szCs w:val="32"/>
          <w:lang w:eastAsia="zh-CN"/>
        </w:rPr>
        <w:t>招商引资</w:t>
      </w:r>
      <w:r>
        <w:rPr>
          <w:rFonts w:hint="eastAsia" w:ascii="Times New Roman" w:hAnsi="Times New Roman" w:eastAsia="仿宋_GB2312"/>
          <w:color w:val="auto"/>
          <w:sz w:val="32"/>
          <w:szCs w:val="32"/>
        </w:rPr>
        <w:t>（项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17.16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受疫情影响，招商引资工作难以按时开展。</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heme="minorEastAsia" w:hAnsiTheme="minorEastAsia" w:eastAsiaTheme="minorEastAsia"/>
          <w:color w:val="auto"/>
          <w:sz w:val="32"/>
          <w:szCs w:val="32"/>
        </w:rPr>
      </w:pPr>
      <w:r>
        <w:rPr>
          <w:rFonts w:hint="eastAsia" w:ascii="Times New Roman" w:hAnsi="Times New Roman" w:eastAsia="仿宋_GB2312"/>
          <w:sz w:val="32"/>
          <w:szCs w:val="32"/>
          <w:lang w:val="en-US" w:eastAsia="zh-CN"/>
        </w:rPr>
        <w:t>社会保障和就业支出（类）行政事业单位养老支出（款）</w:t>
      </w:r>
      <w:r>
        <w:rPr>
          <w:rFonts w:hint="eastAsia" w:ascii="Times New Roman" w:hAnsi="Times New Roman" w:eastAsia="仿宋_GB2312"/>
          <w:color w:val="auto"/>
          <w:sz w:val="32"/>
          <w:szCs w:val="32"/>
          <w:lang w:val="en-US" w:eastAsia="zh-CN"/>
        </w:rPr>
        <w:t>机关事业单位基本养老保险缴费（项）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heme="minorEastAsia" w:hAnsiTheme="minorEastAsia" w:eastAsiaTheme="minorEastAsia"/>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103.99</w:t>
      </w:r>
      <w:r>
        <w:rPr>
          <w:rFonts w:hint="eastAsia" w:ascii="Times New Roman" w:hAnsi="Times New Roman" w:eastAsia="仿宋_GB2312"/>
          <w:sz w:val="32"/>
          <w:szCs w:val="32"/>
        </w:rPr>
        <w:t>%，决算数与年初预算数基本持平</w:t>
      </w:r>
      <w:r>
        <w:rPr>
          <w:rFonts w:hint="eastAsia" w:ascii="Times New Roman" w:hAnsi="Times New Roman" w:eastAsia="仿宋_GB2312"/>
          <w:sz w:val="32"/>
          <w:szCs w:val="32"/>
          <w:lang w:eastAsia="zh-CN"/>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heme="minorEastAsia" w:hAnsiTheme="minorEastAsia" w:eastAsiaTheme="minorEastAsia"/>
          <w:sz w:val="32"/>
          <w:szCs w:val="32"/>
        </w:rPr>
      </w:pPr>
      <w:r>
        <w:rPr>
          <w:rFonts w:hint="eastAsia" w:ascii="Times New Roman" w:hAnsi="Times New Roman" w:eastAsia="仿宋_GB2312"/>
          <w:sz w:val="32"/>
          <w:szCs w:val="32"/>
          <w:lang w:val="en-US" w:eastAsia="zh-CN"/>
        </w:rPr>
        <w:t>社会保障和就业支出（类）抚恤（款）</w:t>
      </w:r>
      <w:r>
        <w:rPr>
          <w:rFonts w:hint="eastAsia" w:ascii="Times New Roman" w:hAnsi="Times New Roman" w:eastAsia="仿宋_GB2312"/>
          <w:color w:val="auto"/>
          <w:sz w:val="32"/>
          <w:szCs w:val="32"/>
          <w:lang w:val="en-US" w:eastAsia="zh-CN"/>
        </w:rPr>
        <w:t>死亡抚恤</w:t>
      </w:r>
      <w:r>
        <w:rPr>
          <w:rFonts w:hint="eastAsia" w:ascii="Times New Roman" w:hAnsi="Times New Roman" w:eastAsia="仿宋_GB2312"/>
          <w:sz w:val="32"/>
          <w:szCs w:val="32"/>
          <w:lang w:val="en-US" w:eastAsia="zh-CN"/>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eastAsia="仿宋_GB2312" w:asciiTheme="minorEastAsia" w:hAnsi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%，决算数与年初预算数持平</w:t>
      </w:r>
      <w:r>
        <w:rPr>
          <w:rFonts w:hint="eastAsia" w:ascii="Times New Roman" w:hAnsi="Times New Roman" w:eastAsia="仿宋_GB2312"/>
          <w:sz w:val="32"/>
          <w:szCs w:val="32"/>
          <w:lang w:eastAsia="zh-CN"/>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heme="minorEastAsia" w:hAnsiTheme="minorEastAsia" w:eastAsiaTheme="minorEastAsia"/>
          <w:sz w:val="32"/>
          <w:szCs w:val="32"/>
        </w:rPr>
      </w:pPr>
      <w:r>
        <w:rPr>
          <w:rFonts w:hint="eastAsia" w:ascii="Times New Roman" w:hAnsi="Times New Roman" w:eastAsia="仿宋_GB2312"/>
          <w:sz w:val="32"/>
          <w:szCs w:val="32"/>
          <w:lang w:val="en-US" w:eastAsia="zh-CN"/>
        </w:rPr>
        <w:t>社会保障和就业支出（类）抚恤（款）</w:t>
      </w:r>
      <w:r>
        <w:rPr>
          <w:rFonts w:hint="eastAsia" w:ascii="Times New Roman" w:hAnsi="Times New Roman" w:eastAsia="仿宋_GB2312"/>
          <w:color w:val="auto"/>
          <w:sz w:val="32"/>
          <w:szCs w:val="32"/>
          <w:lang w:val="en-US" w:eastAsia="zh-CN"/>
        </w:rPr>
        <w:t>其他优抚支出</w:t>
      </w:r>
      <w:r>
        <w:rPr>
          <w:rFonts w:hint="eastAsia" w:ascii="Times New Roman" w:hAnsi="Times New Roman" w:eastAsia="仿宋_GB2312"/>
          <w:sz w:val="32"/>
          <w:szCs w:val="32"/>
          <w:lang w:val="en-US" w:eastAsia="zh-CN"/>
        </w:rPr>
        <w:t>（项）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eastAsia="仿宋_GB2312" w:asciiTheme="minorEastAsia" w:hAnsi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临时性付商业企业军转干部双拥慰问费。</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heme="minorEastAsia" w:hAnsiTheme="minorEastAsia" w:eastAsiaTheme="minorEastAsia"/>
          <w:sz w:val="32"/>
          <w:szCs w:val="32"/>
        </w:rPr>
      </w:pPr>
      <w:r>
        <w:rPr>
          <w:rFonts w:hint="eastAsia" w:ascii="Times New Roman" w:hAnsi="Times New Roman" w:eastAsia="仿宋_GB2312"/>
          <w:sz w:val="32"/>
          <w:szCs w:val="32"/>
          <w:lang w:val="en-US" w:eastAsia="zh-CN"/>
        </w:rPr>
        <w:t>社会保障和就业支出（类）退役安置（</w:t>
      </w:r>
      <w:r>
        <w:rPr>
          <w:rFonts w:hint="eastAsia" w:ascii="Times New Roman" w:hAnsi="Times New Roman" w:eastAsia="仿宋_GB2312"/>
          <w:color w:val="auto"/>
          <w:sz w:val="32"/>
          <w:szCs w:val="32"/>
          <w:lang w:val="en-US" w:eastAsia="zh-CN"/>
        </w:rPr>
        <w:t>款）军队转业干部安置（项</w:t>
      </w:r>
      <w:r>
        <w:rPr>
          <w:rFonts w:hint="eastAsia" w:ascii="Times New Roman" w:hAnsi="Times New Roman" w:eastAsia="仿宋_GB2312"/>
          <w:sz w:val="32"/>
          <w:szCs w:val="32"/>
          <w:lang w:val="en-US"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eastAsia="仿宋_GB2312" w:asciiTheme="minorEastAsia" w:hAnsiTheme="minorEastAsia"/>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临时性转付商务企业军转干部春节慰问费</w:t>
      </w:r>
      <w:r>
        <w:rPr>
          <w:rFonts w:hint="eastAsia" w:ascii="Times New Roman" w:hAnsi="Times New Roman" w:eastAsia="仿宋_GB2312"/>
          <w:color w:val="auto"/>
          <w:sz w:val="32"/>
          <w:szCs w:val="32"/>
          <w:lang w:eastAsia="zh-CN"/>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heme="minorEastAsia" w:hAnsiTheme="minorEastAsia" w:eastAsiaTheme="minorEastAsia"/>
          <w:color w:val="auto"/>
          <w:sz w:val="32"/>
          <w:szCs w:val="32"/>
        </w:rPr>
      </w:pPr>
      <w:r>
        <w:rPr>
          <w:rFonts w:hint="eastAsia" w:ascii="Times New Roman" w:hAnsi="Times New Roman" w:eastAsia="仿宋_GB2312"/>
          <w:color w:val="auto"/>
          <w:sz w:val="32"/>
          <w:szCs w:val="32"/>
          <w:lang w:val="en-US" w:eastAsia="zh-CN"/>
        </w:rPr>
        <w:t>社会保障和就业支出（类）退役军人管理事务（款）其他退役军人事务管理支出（项）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eastAsia="仿宋_GB2312" w:asciiTheme="minorEastAsia" w:hAnsiTheme="minorEastAsia"/>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0.32</w:t>
      </w:r>
      <w:r>
        <w:rPr>
          <w:rFonts w:hint="eastAsia" w:ascii="Times New Roman" w:hAnsi="Times New Roman" w:eastAsia="仿宋_GB2312"/>
          <w:color w:val="auto"/>
          <w:sz w:val="32"/>
          <w:szCs w:val="32"/>
        </w:rPr>
        <w:t>万元，决算数大于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临时性付退役军人重阳慰问费。</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卫生健康支出（类）行政事业单位医疗（款</w:t>
      </w:r>
      <w:r>
        <w:rPr>
          <w:rFonts w:hint="eastAsia" w:ascii="Times New Roman" w:hAnsi="Times New Roman" w:eastAsia="仿宋_GB2312"/>
          <w:color w:val="auto"/>
          <w:sz w:val="32"/>
          <w:szCs w:val="32"/>
          <w:lang w:val="en-US" w:eastAsia="zh-CN"/>
        </w:rPr>
        <w:t>）行政单位医疗（</w:t>
      </w:r>
      <w:r>
        <w:rPr>
          <w:rFonts w:hint="eastAsia" w:ascii="Times New Roman" w:hAnsi="Times New Roman" w:eastAsia="仿宋_GB2312"/>
          <w:sz w:val="32"/>
          <w:szCs w:val="32"/>
          <w:lang w:val="en-US" w:eastAsia="zh-CN"/>
        </w:rPr>
        <w:t>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107.14</w:t>
      </w:r>
      <w:r>
        <w:rPr>
          <w:rFonts w:hint="eastAsia" w:ascii="Times New Roman" w:hAnsi="Times New Roman" w:eastAsia="仿宋_GB2312"/>
          <w:sz w:val="32"/>
          <w:szCs w:val="32"/>
        </w:rPr>
        <w:t>%，决算数与年初预算数基本持平</w:t>
      </w:r>
      <w:r>
        <w:rPr>
          <w:rFonts w:hint="eastAsia" w:ascii="Times New Roman" w:hAnsi="Times New Roman" w:eastAsia="仿宋_GB2312"/>
          <w:sz w:val="32"/>
          <w:szCs w:val="32"/>
          <w:lang w:eastAsia="zh-CN"/>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商业服务业等支出（类）商业流</w:t>
      </w:r>
      <w:r>
        <w:rPr>
          <w:rFonts w:hint="eastAsia" w:ascii="Times New Roman" w:hAnsi="Times New Roman" w:eastAsia="仿宋_GB2312"/>
          <w:color w:val="auto"/>
          <w:sz w:val="32"/>
          <w:szCs w:val="32"/>
          <w:lang w:val="en-US" w:eastAsia="zh-CN"/>
        </w:rPr>
        <w:t>通事务（款）行政运行（项）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210.93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155.51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73.73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受疫情影响，部分外出工作难以按时开展。</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商业服务业等支出（类）商业流通</w:t>
      </w:r>
      <w:r>
        <w:rPr>
          <w:rFonts w:hint="eastAsia" w:ascii="Times New Roman" w:hAnsi="Times New Roman" w:eastAsia="仿宋_GB2312"/>
          <w:color w:val="auto"/>
          <w:sz w:val="32"/>
          <w:szCs w:val="32"/>
          <w:lang w:val="en-US" w:eastAsia="zh-CN"/>
        </w:rPr>
        <w:t>事务（款）其他商业流通事务支出（项）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187.94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133.86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sz w:val="32"/>
          <w:szCs w:val="32"/>
          <w:lang w:val="en-US" w:eastAsia="zh-CN"/>
        </w:rPr>
        <w:t>71.22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受疫情影响，部分外出工作工作难以按时开展。</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商业服务业等支出（类）涉外发展服务支出</w:t>
      </w:r>
      <w:r>
        <w:rPr>
          <w:rFonts w:hint="eastAsia" w:ascii="Times New Roman" w:hAnsi="Times New Roman" w:eastAsia="仿宋_GB2312"/>
          <w:color w:val="auto"/>
          <w:sz w:val="32"/>
          <w:szCs w:val="32"/>
          <w:lang w:val="en-US" w:eastAsia="zh-CN"/>
        </w:rPr>
        <w:t>（款）其他涉外发展服务支出（项）</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万元，决算数大于年初预算数</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支付了农贸市场标准化建设项目工程监理费。</w:t>
      </w:r>
    </w:p>
    <w:p>
      <w:pPr>
        <w:pStyle w:val="10"/>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住房保障支出（类）住房改革支出（款）</w:t>
      </w:r>
      <w:r>
        <w:rPr>
          <w:rFonts w:hint="eastAsia" w:ascii="Times New Roman" w:hAnsi="Times New Roman" w:eastAsia="仿宋_GB2312"/>
          <w:color w:val="auto"/>
          <w:sz w:val="32"/>
          <w:szCs w:val="32"/>
          <w:lang w:val="en-US" w:eastAsia="zh-CN"/>
        </w:rPr>
        <w:t>住房公积金</w:t>
      </w:r>
      <w:r>
        <w:rPr>
          <w:rFonts w:hint="eastAsia" w:ascii="Times New Roman" w:hAnsi="Times New Roman" w:eastAsia="仿宋_GB2312"/>
          <w:sz w:val="32"/>
          <w:szCs w:val="32"/>
          <w:lang w:val="en-US" w:eastAsia="zh-CN"/>
        </w:rPr>
        <w:t>（项）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113.81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年底补提了</w:t>
      </w:r>
      <w:r>
        <w:rPr>
          <w:rFonts w:hint="eastAsia" w:ascii="Times New Roman" w:hAnsi="Times New Roman" w:eastAsia="仿宋_GB2312"/>
          <w:sz w:val="32"/>
          <w:szCs w:val="32"/>
          <w:lang w:val="en-US" w:eastAsia="zh-CN"/>
        </w:rPr>
        <w:t>5%的住房公积金。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w:t>
      </w:r>
      <w:r>
        <w:rPr>
          <w:rFonts w:hint="eastAsia" w:ascii="黑体" w:hAnsi="黑体" w:eastAsia="黑体" w:cs="黑体"/>
          <w:b w:val="0"/>
          <w:bCs/>
          <w:color w:val="auto"/>
          <w:sz w:val="32"/>
          <w:szCs w:val="32"/>
        </w:rPr>
        <w:t>款基本支出决</w:t>
      </w:r>
      <w:r>
        <w:rPr>
          <w:rFonts w:hint="eastAsia" w:ascii="黑体" w:hAnsi="黑体" w:eastAsia="黑体" w:cs="黑体"/>
          <w:b w:val="0"/>
          <w:bCs/>
          <w:sz w:val="32"/>
          <w:szCs w:val="32"/>
        </w:rPr>
        <w:t>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381.74</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264.03万元，占基本支出的</w:t>
      </w:r>
      <w:r>
        <w:rPr>
          <w:rFonts w:hint="eastAsia" w:ascii="Times New Roman" w:hAnsi="Times New Roman" w:eastAsia="仿宋_GB2312"/>
          <w:sz w:val="32"/>
          <w:szCs w:val="32"/>
          <w:lang w:val="en-US" w:eastAsia="zh-CN"/>
        </w:rPr>
        <w:t>69.16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112.8万元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51.11万元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9.51万元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6.33万元、绩效工资28.20万元、机关事业单位基本养老保险缴费26.03万元、职工基本医疗保险缴费12.91万元、其他社会保障缴费0.29万元、住房公积金12.47万元、退职（役）费2.24万元、抚恤金0.76万元、生活补助1.04万元、奖励金0.34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117.71万元，占基本支出的</w:t>
      </w:r>
      <w:r>
        <w:rPr>
          <w:rFonts w:hint="eastAsia" w:ascii="Times New Roman" w:hAnsi="Times New Roman" w:eastAsia="仿宋_GB2312"/>
          <w:sz w:val="32"/>
          <w:szCs w:val="32"/>
          <w:lang w:val="en-US" w:eastAsia="zh-CN"/>
        </w:rPr>
        <w:t>30.84</w:t>
      </w:r>
      <w:r>
        <w:rPr>
          <w:rFonts w:hint="eastAsia" w:ascii="Times New Roman" w:hAnsi="Times New Roman" w:eastAsia="仿宋_GB2312"/>
          <w:sz w:val="32"/>
          <w:szCs w:val="32"/>
        </w:rPr>
        <w:t>%，主要包括办公费3.62</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、印刷费11.54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、水费0.24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、电费1.16</w:t>
      </w:r>
      <w:r>
        <w:rPr>
          <w:rFonts w:hint="eastAsia" w:ascii="Times New Roman" w:hAnsi="Times New Roman" w:eastAsia="仿宋_GB2312"/>
          <w:sz w:val="32"/>
          <w:szCs w:val="32"/>
          <w:lang w:eastAsia="zh-CN"/>
        </w:rPr>
        <w:t>万元、邮电费0.45万元、物业管理费0.6</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万元、差旅费10.79万元、维修（护）费19.09万元、会议费0.16万元、培训费0.2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万元、公务接待费3.81万元、工会经费8.71万元、福利费0.17万元、其他交通费用18.78万元、其他商品和服务支出35.15万元、办公设备购置3.24万元</w:t>
      </w:r>
      <w:r>
        <w:rPr>
          <w:rFonts w:hint="eastAsia" w:ascii="Times New Roman" w:hAnsi="Times New Roman" w:eastAsia="仿宋_GB2312"/>
          <w:sz w:val="32"/>
          <w:szCs w:val="32"/>
        </w:rPr>
        <w:t>。</w:t>
      </w:r>
    </w:p>
    <w:p>
      <w:pPr>
        <w:pStyle w:val="10"/>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，决算数等于预算数，</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6.87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6.87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322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招商引资</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6166.34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万元；支出6166.34万元，其中基本支出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万元，项目支出6166.34万元；年末结转和结余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1、其他支出（类）其他政府性基金及对应专项债务收入安排的支出（款）  其他地方自行试点项目收益专项债券收入安排的支出（项）。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万元，支出决算为6166.34万元，完成年初预算的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新增了农贸市场项目专项债券资金。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117.71</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129.59</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年度差旅费减少了</w:t>
      </w:r>
      <w:r>
        <w:rPr>
          <w:rFonts w:hint="eastAsia" w:ascii="Times New Roman" w:hAnsi="Times New Roman" w:eastAsia="仿宋_GB2312"/>
          <w:sz w:val="32"/>
          <w:szCs w:val="32"/>
          <w:lang w:val="en-US" w:eastAsia="zh-CN"/>
        </w:rPr>
        <w:t>23.96万元，其他商品和服务支出减少了87.92万元</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0.16</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全市商务和工信工作电视电话</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，内容主要围绕大力实施“三高四新”战略，全面辩证认识和把握发展大势，为“十四五”开好局、起好步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全省商务工作电视电话会议，人数</w:t>
      </w:r>
      <w:r>
        <w:rPr>
          <w:rFonts w:hint="eastAsia" w:ascii="Times New Roman" w:hAnsi="Times New Roman" w:eastAsia="仿宋_GB2312"/>
          <w:sz w:val="32"/>
          <w:szCs w:val="32"/>
          <w:lang w:val="en-US" w:eastAsia="zh-CN"/>
        </w:rPr>
        <w:t>21人，内容为全面落实“三高四新”战略定位和使命任务；招商引资座谈会，人数为69人，内容为招商引资考察座谈。</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0.20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事业单位工作人员网络</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事业单位人事管理条例解读等课程</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批零住餐企业统计培训，人数</w:t>
      </w:r>
      <w:r>
        <w:rPr>
          <w:rFonts w:hint="eastAsia" w:ascii="Times New Roman" w:hAnsi="Times New Roman" w:eastAsia="仿宋_GB2312"/>
          <w:sz w:val="32"/>
          <w:szCs w:val="32"/>
          <w:lang w:val="en-US" w:eastAsia="zh-CN"/>
        </w:rPr>
        <w:t>111人，内容为社零企业统计培训；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十三、关于202</w:t>
      </w:r>
      <w:r>
        <w:rPr>
          <w:rFonts w:hint="eastAsia" w:ascii="Times New Roman" w:hAnsi="Times New Roman" w:eastAsia="仿宋_GB2312"/>
          <w:b/>
          <w:sz w:val="32"/>
          <w:szCs w:val="32"/>
          <w:lang w:val="en-US" w:eastAsia="zh-CN"/>
        </w:rPr>
        <w:t>2</w:t>
      </w:r>
      <w:r>
        <w:rPr>
          <w:rFonts w:hint="eastAsia" w:ascii="Times New Roman" w:hAnsi="Times New Roman" w:eastAsia="仿宋_GB2312"/>
          <w:b/>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5"/>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 w:hAnsi="仿宋" w:eastAsia="仿宋"/>
          <w:sz w:val="32"/>
          <w:szCs w:val="32"/>
        </w:rPr>
        <w:t>2022年，</w:t>
      </w:r>
      <w:r>
        <w:rPr>
          <w:rFonts w:hint="eastAsia" w:ascii="仿宋" w:hAnsi="仿宋" w:eastAsia="仿宋" w:cs="仿宋_GB2312"/>
          <w:sz w:val="32"/>
          <w:szCs w:val="32"/>
        </w:rPr>
        <w:t>在县委县政府精心的部署和领导下，在各部门通力配合和帮助下，围绕全面</w:t>
      </w:r>
      <w:r>
        <w:rPr>
          <w:rFonts w:hint="eastAsia" w:ascii="仿宋" w:hAnsi="仿宋" w:eastAsia="仿宋"/>
          <w:color w:val="000000"/>
          <w:sz w:val="32"/>
          <w:szCs w:val="32"/>
          <w:shd w:val="clear" w:color="auto" w:fill="FFFFFF"/>
        </w:rPr>
        <w:t>推动国内国际双循环相互促进的新格局</w:t>
      </w:r>
      <w:r>
        <w:rPr>
          <w:rFonts w:hint="eastAsia" w:ascii="仿宋" w:hAnsi="仿宋" w:eastAsia="仿宋" w:cs="仿宋_GB2312"/>
          <w:sz w:val="32"/>
          <w:szCs w:val="32"/>
        </w:rPr>
        <w:t>，积极承接产业转移，克服疫情负面影响，抓好各项工作再上新台阶的工作思路，我局全面落实县《政府工作报告》下达的各项目标任务,</w:t>
      </w:r>
      <w:r>
        <w:rPr>
          <w:rFonts w:hint="eastAsia" w:ascii="仿宋" w:hAnsi="仿宋" w:eastAsia="仿宋"/>
          <w:sz w:val="32"/>
          <w:szCs w:val="32"/>
        </w:rPr>
        <w:t>统筹推进疫情防控和商务经济发展，较好地完成了各项工作任务。</w:t>
      </w:r>
    </w:p>
    <w:p>
      <w:pPr>
        <w:autoSpaceDE w:val="0"/>
        <w:spacing w:line="540" w:lineRule="exact"/>
        <w:ind w:firstLine="640" w:firstLineChars="200"/>
        <w:contextualSpacing/>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 xml:space="preserve"> 1.社会消费品零售工作。2022年全县完成社会消费品零售总额70多亿元，同比增速2.41%。社会消费品零售总额在全市排名第三, 高于全市平均水平1.1%, 其中批发业完成17亿多元</w:t>
      </w:r>
      <w:r>
        <w:rPr>
          <w:rFonts w:hint="eastAsia" w:ascii="仿宋" w:hAnsi="仿宋" w:eastAsia="仿宋"/>
          <w:sz w:val="32"/>
          <w:szCs w:val="32"/>
        </w:rPr>
        <w:t>，同比增长0.89%；零售业完成40多亿元，同比增长3.16%；住宿业完成6亿多元，同比增长0.93%；餐饮业完成13亿多元，同比增长2.9%。限额以上批发企业完成1家，零售企</w:t>
      </w:r>
      <w:r>
        <w:rPr>
          <w:rFonts w:hint="eastAsia" w:ascii="仿宋" w:hAnsi="仿宋" w:eastAsia="仿宋" w:cs="仿宋_GB2312"/>
          <w:kern w:val="0"/>
          <w:sz w:val="32"/>
          <w:szCs w:val="32"/>
          <w:lang w:val="en-US" w:eastAsia="zh-CN" w:bidi="ar-SA"/>
        </w:rPr>
        <w:t>业完成4家，限额以上住宿企业完成1家，100%完成全年目标任务。目前在统计库的企业有35家，批发业4家，零售业24家，住宿业6家，餐饮业1家。</w:t>
      </w:r>
    </w:p>
    <w:p>
      <w:pPr>
        <w:autoSpaceDE w:val="0"/>
        <w:spacing w:line="540" w:lineRule="exact"/>
        <w:ind w:firstLine="640" w:firstLineChars="200"/>
        <w:contextualSpacing/>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2.外经外贸工作。全县完成外贸进出口总额2亿多元，同比增长297%，完成市局任务的135%</w:t>
      </w:r>
      <w:r>
        <w:rPr>
          <w:rFonts w:hint="eastAsia" w:ascii="仿宋" w:hAnsi="仿宋" w:eastAsia="仿宋"/>
          <w:sz w:val="32"/>
          <w:szCs w:val="32"/>
        </w:rPr>
        <w:t>，全市县市区内排名第二</w:t>
      </w:r>
      <w:r>
        <w:rPr>
          <w:rFonts w:hint="eastAsia" w:ascii="仿宋" w:hAnsi="仿宋" w:eastAsia="仿宋" w:cs="仿宋_GB2312"/>
          <w:sz w:val="32"/>
          <w:szCs w:val="32"/>
        </w:rPr>
        <w:t>。2022年全县完成外贸经营备案登记23家，全县全力推进服务贸易深层次改革，多方优化营商环境，鼓励企业加强科研，提升产品市场竞争力，全力开拓市场，扩大业务规模，借助产业推动服务贸易发展。</w:t>
      </w:r>
      <w:r>
        <w:rPr>
          <w:rFonts w:hint="eastAsia" w:ascii="仿宋" w:hAnsi="仿宋" w:eastAsia="仿宋"/>
          <w:sz w:val="32"/>
          <w:szCs w:val="32"/>
        </w:rPr>
        <w:t>怀化市煜江电子科技有限公司、怀化“溆化”进出口贸易有限公司等10家企业主要出口地为美国、越南、韩国、日本、巴西</w:t>
      </w:r>
      <w:r>
        <w:rPr>
          <w:rFonts w:hint="eastAsia" w:ascii="仿宋" w:hAnsi="仿宋" w:eastAsia="仿宋" w:cs="仿宋_GB2312"/>
          <w:kern w:val="0"/>
          <w:sz w:val="32"/>
          <w:szCs w:val="32"/>
          <w:lang w:val="en-US" w:eastAsia="zh-CN" w:bidi="ar-SA"/>
        </w:rPr>
        <w:t>等国家。</w:t>
      </w:r>
    </w:p>
    <w:p>
      <w:pPr>
        <w:autoSpaceDE w:val="0"/>
        <w:spacing w:line="540" w:lineRule="exact"/>
        <w:ind w:firstLine="640" w:firstLineChars="200"/>
        <w:contextualSpacing/>
        <w:rPr>
          <w:rFonts w:ascii="仿宋" w:hAnsi="仿宋" w:eastAsia="仿宋" w:cs="仿宋_GB2312"/>
          <w:sz w:val="32"/>
          <w:szCs w:val="32"/>
        </w:rPr>
      </w:pPr>
      <w:r>
        <w:rPr>
          <w:rFonts w:hint="eastAsia" w:ascii="仿宋" w:hAnsi="仿宋" w:eastAsia="仿宋" w:cs="仿宋_GB2312"/>
          <w:kern w:val="0"/>
          <w:sz w:val="32"/>
          <w:szCs w:val="32"/>
          <w:lang w:val="en-US" w:eastAsia="zh-CN" w:bidi="ar-SA"/>
        </w:rPr>
        <w:t>3.招商引资工作。2022年，领导带头外出招商，加快推进项目落地。县委、县政府主要领导先后13次带队赴贵州贵阳、安顺、浙江省嘉兴市、浦江市、义乌市、广东东莞、中山、内蒙古乌海、江西及长沙等地开展专题招商活动，先后引进项目24个，7月22日，在雨花区举办了“聚力产业协作、赋能乡村振兴”招</w:t>
      </w:r>
      <w:r>
        <w:rPr>
          <w:rFonts w:hint="eastAsia" w:ascii="仿宋" w:hAnsi="仿宋" w:eastAsia="仿宋" w:cs="仿宋_GB2312"/>
          <w:sz w:val="32"/>
          <w:szCs w:val="32"/>
        </w:rPr>
        <w:t>商活动，现场与7个项目完成签约，引资20多亿元。我县招商引资工作先后4次在省市招商引资工作推进会上作典型发言。</w:t>
      </w:r>
    </w:p>
    <w:p>
      <w:pPr>
        <w:autoSpaceDE w:val="0"/>
        <w:spacing w:line="540" w:lineRule="exact"/>
        <w:ind w:firstLine="640" w:firstLineChars="200"/>
        <w:contextualSpacing/>
        <w:rPr>
          <w:rFonts w:hint="eastAsia" w:ascii="仿宋" w:hAnsi="仿宋" w:eastAsia="仿宋" w:cs="仿宋_GB2312"/>
          <w:kern w:val="0"/>
          <w:sz w:val="32"/>
          <w:szCs w:val="32"/>
          <w:lang w:val="en-US" w:eastAsia="zh-CN" w:bidi="ar-SA"/>
        </w:rPr>
      </w:pPr>
      <w:r>
        <w:rPr>
          <w:rFonts w:hint="eastAsia" w:ascii="仿宋" w:hAnsi="仿宋" w:eastAsia="仿宋" w:cs="仿宋_GB2312"/>
          <w:sz w:val="32"/>
          <w:szCs w:val="32"/>
        </w:rPr>
        <w:t>2022年</w:t>
      </w:r>
      <w:r>
        <w:rPr>
          <w:rFonts w:hint="eastAsia" w:ascii="仿宋" w:hAnsi="仿宋" w:eastAsia="仿宋"/>
          <w:sz w:val="32"/>
          <w:szCs w:val="32"/>
        </w:rPr>
        <w:t>全县共实施境内省外招商引资项目43个（含续建项目22个），合同引进资金60多亿元，到位资金50多亿元，完成年度任务的101.16</w:t>
      </w:r>
      <w:r>
        <w:rPr>
          <w:rFonts w:ascii="仿宋" w:hAnsi="仿宋" w:eastAsia="仿宋"/>
          <w:sz w:val="32"/>
          <w:szCs w:val="32"/>
        </w:rPr>
        <w:t>%</w:t>
      </w:r>
      <w:r>
        <w:rPr>
          <w:rFonts w:hint="eastAsia" w:ascii="仿宋" w:hAnsi="仿宋" w:eastAsia="仿宋"/>
          <w:sz w:val="32"/>
          <w:szCs w:val="32"/>
        </w:rPr>
        <w:t>。新引进重大项目21个，其中合同引资额</w:t>
      </w:r>
      <w:r>
        <w:rPr>
          <w:rFonts w:ascii="仿宋" w:hAnsi="仿宋" w:eastAsia="仿宋"/>
          <w:sz w:val="32"/>
          <w:szCs w:val="32"/>
        </w:rPr>
        <w:t>2</w:t>
      </w:r>
      <w:r>
        <w:rPr>
          <w:rFonts w:hint="eastAsia" w:ascii="仿宋" w:hAnsi="仿宋" w:eastAsia="仿宋"/>
          <w:sz w:val="32"/>
          <w:szCs w:val="32"/>
        </w:rPr>
        <w:t>至10亿元的7个，完成全年任务的175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亿元以上的4个，完成全年任务的200</w:t>
      </w:r>
      <w:r>
        <w:rPr>
          <w:rFonts w:ascii="仿宋" w:hAnsi="仿宋" w:eastAsia="仿宋"/>
          <w:sz w:val="32"/>
          <w:szCs w:val="32"/>
        </w:rPr>
        <w:t>%</w:t>
      </w:r>
      <w:r>
        <w:rPr>
          <w:rFonts w:hint="eastAsia" w:ascii="仿宋" w:hAnsi="仿宋" w:eastAsia="仿宋"/>
          <w:sz w:val="32"/>
          <w:szCs w:val="32"/>
        </w:rPr>
        <w:t>，新引进三类500强项目5个，完成年度任务的166.67%,实现了引进项目和资金的持续增长。同时积极融入怀化国际陆港建设。</w:t>
      </w:r>
      <w:r>
        <w:rPr>
          <w:rFonts w:hint="eastAsia" w:ascii="仿宋" w:hAnsi="仿宋" w:eastAsia="仿宋" w:cs="仿宋_GB2312"/>
          <w:sz w:val="32"/>
          <w:szCs w:val="32"/>
        </w:rPr>
        <w:t>为开展好集货工作，我局先后10余次同怀化市商务局、怀化国际陆港、广铁集团怀化西货运站等主动汇报对接，并经深入走访企业和查找资料，先后形成《中国—东盟贸易现状》、《溆浦县货源调查表》，并起草出台了《溆浦县商务局关于积极融入对接怀化国际陆港建设加快推动高水平开放高质量发展的实施方案》。</w:t>
      </w:r>
      <w:r>
        <w:rPr>
          <w:rFonts w:hint="eastAsia" w:ascii="仿宋" w:hAnsi="仿宋" w:eastAsia="仿宋" w:cs="仿宋_GB2312"/>
          <w:color w:val="000000"/>
          <w:sz w:val="32"/>
          <w:szCs w:val="32"/>
        </w:rPr>
        <w:t>完成了溆浦化</w:t>
      </w:r>
      <w:r>
        <w:rPr>
          <w:rFonts w:hint="eastAsia" w:ascii="仿宋" w:hAnsi="仿宋" w:eastAsia="仿宋" w:cs="仿宋_GB2312"/>
          <w:kern w:val="0"/>
          <w:sz w:val="32"/>
          <w:szCs w:val="32"/>
          <w:lang w:val="en-US" w:eastAsia="zh-CN" w:bidi="ar-SA"/>
        </w:rPr>
        <w:t>工产品铁海联运班列首发。</w:t>
      </w:r>
    </w:p>
    <w:p>
      <w:pPr>
        <w:autoSpaceDE w:val="0"/>
        <w:spacing w:line="540" w:lineRule="exact"/>
        <w:ind w:firstLine="640" w:firstLineChars="200"/>
        <w:contextualSpacing/>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4.固定资产投资和重点项目入库工作。2022年全年，固定资产投资项目入统任务5亿多元，已完成任务的145.8%。重点项目有市级重点项目恒辉万达商业综合体项目，已于2022年8月18日开业运营;城中、城南农贸市场提质改造项目于2023年春节前顺利完工并投入使用。截止目前，已有滨江酒店、农贸市场标准化改造、龙潭龙泉酒店、</w:t>
      </w:r>
      <w:r>
        <w:rPr>
          <w:rFonts w:hint="eastAsia" w:ascii="仿宋" w:hAnsi="仿宋" w:eastAsia="仿宋"/>
          <w:sz w:val="32"/>
          <w:szCs w:val="32"/>
        </w:rPr>
        <w:t>观音阁加油站、农机加油站5个重点项目入库，溆浦君屿酒店、双井废旧轮胎口圈回收项目已完成</w:t>
      </w:r>
      <w:r>
        <w:rPr>
          <w:rFonts w:hint="eastAsia" w:ascii="仿宋" w:hAnsi="仿宋" w:eastAsia="仿宋" w:cs="仿宋_GB2312"/>
          <w:kern w:val="0"/>
          <w:sz w:val="32"/>
          <w:szCs w:val="32"/>
          <w:lang w:val="en-US" w:eastAsia="zh-CN" w:bidi="ar-SA"/>
        </w:rPr>
        <w:t>资料上报，正在走名录库。</w:t>
      </w:r>
    </w:p>
    <w:p>
      <w:pPr>
        <w:autoSpaceDE w:val="0"/>
        <w:spacing w:line="540" w:lineRule="exact"/>
        <w:ind w:firstLine="640" w:firstLineChars="200"/>
        <w:contextualSpacing/>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5.完善电商基础工作，持续完善商业体系。成立了怀化市首个跨境电商综合服务中心，新培育开展跨境电商业务企业4家。改组成立溆浦县电子商务行业协会，入会电商企业45家。新培育传统企业发展电子商务10家。2022年全县电子商务交易额完成40多亿元，同比增长5%以上。为支持商贸流通产业发展，促进消费，扶持和鼓励商贸流通产业及服务业企业不断做大做强，我局先后出台</w:t>
      </w:r>
      <w:r>
        <w:rPr>
          <w:rFonts w:hint="eastAsia" w:ascii="仿宋" w:hAnsi="仿宋" w:eastAsia="仿宋" w:cs="仿宋_GB2312"/>
          <w:sz w:val="32"/>
          <w:szCs w:val="32"/>
        </w:rPr>
        <w:t>《关于应对新冠肺炎疫情促进商贸流通企业发展的政策措施》《关于扶持现代服务业发展的若干规定》等政策措施。麦当劳、必胜客、国美、富士等知名商贸企业先后入驻；万达广场、穗鑫汽贸城、城北一号商业广场等一批重点商贸物流项目相继建成营业；溆浦国际大酒店、中通（湘西）智能科技物流产业园、醇香果业仓储冷链等一批重点商贸物流项目建设顺利推进。县城农贸市场标准化建设项目正在进行，12月份可以投入使用。9月9日-11日，雨花区和溆浦两地商务局分别在雨花区德思勤广场和溆浦万达广场开展中秋特别活动，得到国务院督查组高度肯定。“‘溆’势待发</w:t>
      </w:r>
      <w:r>
        <w:rPr>
          <w:rFonts w:hint="eastAsia" w:ascii="仿宋" w:hAnsi="仿宋" w:eastAsia="仿宋" w:cs="新宋体"/>
          <w:sz w:val="32"/>
          <w:szCs w:val="32"/>
        </w:rPr>
        <w:t>·‘</w:t>
      </w:r>
      <w:r>
        <w:rPr>
          <w:rFonts w:hint="eastAsia" w:ascii="仿宋" w:hAnsi="仿宋" w:eastAsia="仿宋" w:cs="仿宋_GB2312"/>
          <w:sz w:val="32"/>
          <w:szCs w:val="32"/>
        </w:rPr>
        <w:t>浦’面而来”2022年嗨购消费季暨万达广场开业为主题的促消费活动作为消费创新典型案例被推荐至国家商务部。同时</w:t>
      </w:r>
      <w:r>
        <w:rPr>
          <w:rFonts w:hint="eastAsia" w:ascii="仿宋" w:hAnsi="仿宋" w:eastAsia="仿宋"/>
          <w:sz w:val="32"/>
          <w:szCs w:val="32"/>
        </w:rPr>
        <w:t>深化与电商大平台合作，创新发展电商新业态新模式，</w:t>
      </w:r>
      <w:r>
        <w:rPr>
          <w:rFonts w:hint="eastAsia" w:ascii="仿宋" w:hAnsi="仿宋" w:eastAsia="仿宋" w:cs="仿宋_GB2312"/>
          <w:sz w:val="32"/>
          <w:szCs w:val="32"/>
        </w:rPr>
        <w:t>引导企业加强与淘宝、拼多多等全国知名电商平台合作，利用乡村振兴，积极与雨花去对接电商工作，在高桥自贸区开设了电商直播间，为我县企业及个人提供的平台。为企业做好指导服务工作，宣传“互联网+”的发展形势，传达省市跨境电商扶持政策，鼓励外贸企业积极转型跨境电商，组织企业积极参加市跨境电商业务培训，四家企业与跨境电商培训机构签订合作协议。目</w:t>
      </w:r>
      <w:r>
        <w:rPr>
          <w:rFonts w:hint="eastAsia" w:ascii="仿宋" w:hAnsi="仿宋" w:eastAsia="仿宋" w:cs="仿宋_GB2312"/>
          <w:kern w:val="0"/>
          <w:sz w:val="32"/>
          <w:szCs w:val="32"/>
          <w:lang w:val="en-US" w:eastAsia="zh-CN" w:bidi="ar-SA"/>
        </w:rPr>
        <w:t>前工业园已有4家企业正在转型做跨境电商，2家企业即将开通阿里巴巴国家站直播间。</w:t>
      </w:r>
    </w:p>
    <w:p>
      <w:pPr>
        <w:autoSpaceDE w:val="0"/>
        <w:spacing w:line="540" w:lineRule="exact"/>
        <w:ind w:firstLine="640" w:firstLineChars="200"/>
        <w:contextualSpacing/>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bidi="ar-SA"/>
        </w:rPr>
        <w:t>6.成品油市场和安全生产工作。2022年对本系统管辖的各大市场、商场、成品油加油站（点）超市等人口密集场所，进行多项检查、排查摸底185家次，共排查出各类</w:t>
      </w:r>
      <w:r>
        <w:rPr>
          <w:rFonts w:hint="eastAsia" w:ascii="仿宋" w:hAnsi="仿宋" w:eastAsia="仿宋"/>
          <w:sz w:val="32"/>
          <w:szCs w:val="32"/>
        </w:rPr>
        <w:t>隐患162处，按照“一单四制”的要求，对查出的每条隐患都记录在案，对检查中出现的事故隐患整改情况认真进行“回头看”，通过督促整改，目前发现的162处安全隐患均已整改到位，有效防范了商贸领域安全生产事故的发生。成品油市场方面，5月底前全面完成了43个加油站（点）的年审和申报工作；申报新建加油站3座，更改加油站</w:t>
      </w:r>
      <w:r>
        <w:rPr>
          <w:rFonts w:hint="eastAsia" w:ascii="仿宋" w:hAnsi="仿宋" w:eastAsia="仿宋" w:cs="仿宋_GB2312"/>
          <w:kern w:val="0"/>
          <w:sz w:val="32"/>
          <w:szCs w:val="32"/>
          <w:lang w:val="en-US" w:eastAsia="zh-CN" w:bidi="ar-SA"/>
        </w:rPr>
        <w:t>法人2家；加油站地下油罐更新改造4座。</w:t>
      </w:r>
    </w:p>
    <w:p>
      <w:pPr>
        <w:autoSpaceDE w:val="0"/>
        <w:spacing w:line="540" w:lineRule="exact"/>
        <w:ind w:firstLine="640" w:firstLineChars="200"/>
        <w:contextualSpacing/>
        <w:rPr>
          <w:rFonts w:hint="eastAsia" w:ascii="Times New Roman" w:hAnsi="Times New Roman" w:eastAsia="仿宋_GB2312"/>
          <w:sz w:val="32"/>
          <w:szCs w:val="32"/>
        </w:rPr>
      </w:pPr>
      <w:r>
        <w:rPr>
          <w:rFonts w:hint="eastAsia" w:ascii="仿宋" w:hAnsi="仿宋" w:eastAsia="仿宋" w:cs="仿宋_GB2312"/>
          <w:kern w:val="0"/>
          <w:sz w:val="32"/>
          <w:szCs w:val="32"/>
          <w:lang w:val="en-US" w:eastAsia="zh-CN" w:bidi="ar-SA"/>
        </w:rPr>
        <w:t>7、其他工作齐头并进。2022年在做好本部门主要目标任务的同时，积极做好县直单位基层党建和意识</w:t>
      </w:r>
      <w:r>
        <w:rPr>
          <w:rFonts w:hint="eastAsia" w:ascii="仿宋" w:hAnsi="仿宋" w:eastAsia="仿宋" w:cs="仿宋_GB2312"/>
          <w:sz w:val="32"/>
          <w:szCs w:val="32"/>
        </w:rPr>
        <w:t>形态责任“双述双评”工作。</w:t>
      </w:r>
      <w:r>
        <w:rPr>
          <w:rFonts w:hint="eastAsia" w:ascii="仿宋" w:hAnsi="仿宋" w:eastAsia="仿宋"/>
          <w:sz w:val="32"/>
          <w:szCs w:val="32"/>
        </w:rPr>
        <w:t>同时做好脱贫攻坚与乡村振兴的有效衔接等其他工作。</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bookmarkStart w:id="3" w:name="_GoBack"/>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年本部门预算整体支出虽</w:t>
      </w:r>
      <w:r>
        <w:rPr>
          <w:rFonts w:hint="eastAsia" w:ascii="Times New Roman" w:hAnsi="Times New Roman" w:eastAsia="仿宋_GB2312"/>
          <w:sz w:val="32"/>
          <w:szCs w:val="32"/>
          <w:lang w:eastAsia="zh-CN"/>
        </w:rPr>
        <w:t>然</w:t>
      </w:r>
      <w:r>
        <w:rPr>
          <w:rFonts w:hint="eastAsia" w:ascii="Times New Roman" w:hAnsi="Times New Roman" w:eastAsia="仿宋_GB2312"/>
          <w:sz w:val="32"/>
          <w:szCs w:val="32"/>
        </w:rPr>
        <w:t>基本保证了单位的正常运</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和职能履</w:t>
      </w:r>
      <w:bookmarkEnd w:id="3"/>
      <w:r>
        <w:rPr>
          <w:rFonts w:hint="eastAsia" w:ascii="Times New Roman" w:hAnsi="Times New Roman" w:eastAsia="仿宋_GB2312"/>
          <w:sz w:val="32"/>
          <w:szCs w:val="32"/>
        </w:rPr>
        <w:t>行，但在预算执行</w:t>
      </w:r>
      <w:r>
        <w:rPr>
          <w:rFonts w:hint="eastAsia" w:ascii="Times New Roman" w:hAnsi="Times New Roman" w:eastAsia="仿宋_GB2312"/>
          <w:sz w:val="32"/>
          <w:szCs w:val="32"/>
          <w:lang w:eastAsia="zh-CN"/>
        </w:rPr>
        <w:t>过程</w:t>
      </w:r>
      <w:r>
        <w:rPr>
          <w:rFonts w:hint="eastAsia" w:ascii="Times New Roman" w:hAnsi="Times New Roman" w:eastAsia="仿宋_GB2312"/>
          <w:sz w:val="32"/>
          <w:szCs w:val="32"/>
        </w:rPr>
        <w:t>中还存在一些困难和问题：主要是部分预算编制还需要更</w:t>
      </w:r>
      <w:r>
        <w:rPr>
          <w:rFonts w:hint="eastAsia" w:ascii="Times New Roman" w:hAnsi="Times New Roman" w:eastAsia="仿宋_GB2312"/>
          <w:sz w:val="32"/>
          <w:szCs w:val="32"/>
          <w:lang w:eastAsia="zh-CN"/>
        </w:rPr>
        <w:t>加</w:t>
      </w:r>
      <w:r>
        <w:rPr>
          <w:rFonts w:hint="eastAsia" w:ascii="Times New Roman" w:hAnsi="Times New Roman" w:eastAsia="仿宋_GB2312"/>
          <w:sz w:val="32"/>
          <w:szCs w:val="32"/>
        </w:rPr>
        <w:t>细化精准。目前，单位预算由基本支出和项目支出预算两部分组成，基本支出预算由于人员少，基数低，加之执行减压一般性支出的规定，公用经费缺口大，财政预算严重不足，但工作任务仍然繁重，不利于全县商务工作的推动与发展。</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名词解释</w:t>
      </w:r>
    </w:p>
    <w:p>
      <w:pPr>
        <w:pStyle w:val="10"/>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p>
    <w:p>
      <w:pPr>
        <w:spacing w:line="540" w:lineRule="exact"/>
        <w:ind w:firstLine="640" w:firstLineChars="200"/>
        <w:contextualSpacing/>
        <w:rPr>
          <w:rFonts w:hint="eastAsia" w:ascii="仿宋" w:hAnsi="仿宋" w:eastAsia="仿宋" w:cs="仿宋_GB2312"/>
          <w:sz w:val="32"/>
          <w:szCs w:val="32"/>
          <w:lang w:eastAsia="zh-CN"/>
        </w:rPr>
      </w:pPr>
      <w:r>
        <w:rPr>
          <w:rFonts w:hint="eastAsia" w:ascii="仿宋" w:hAnsi="仿宋" w:eastAsia="仿宋" w:cs="仿宋_GB2312"/>
          <w:sz w:val="32"/>
          <w:szCs w:val="32"/>
        </w:rPr>
        <w:t>一、</w:t>
      </w:r>
      <w:r>
        <w:rPr>
          <w:rFonts w:hint="eastAsia" w:ascii="仿宋" w:hAnsi="仿宋" w:eastAsia="仿宋" w:cs="仿宋_GB2312"/>
          <w:sz w:val="32"/>
          <w:szCs w:val="32"/>
          <w:lang w:eastAsia="zh-CN"/>
        </w:rPr>
        <w:t>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pPr>
        <w:spacing w:line="540" w:lineRule="exact"/>
        <w:ind w:firstLine="640" w:firstLineChars="200"/>
        <w:contextualSpacing/>
        <w:rPr>
          <w:rFonts w:hint="eastAsia" w:ascii="仿宋" w:hAnsi="仿宋" w:eastAsia="仿宋" w:cs="仿宋_GB2312"/>
          <w:sz w:val="32"/>
          <w:szCs w:val="32"/>
          <w:lang w:eastAsia="zh-CN"/>
        </w:rPr>
      </w:pPr>
      <w:r>
        <w:rPr>
          <w:rFonts w:hint="eastAsia" w:ascii="仿宋" w:hAnsi="仿宋" w:eastAsia="仿宋" w:cs="仿宋_GB2312"/>
          <w:sz w:val="32"/>
          <w:szCs w:val="32"/>
        </w:rPr>
        <w:t>二、</w:t>
      </w:r>
      <w:r>
        <w:rPr>
          <w:rFonts w:hint="eastAsia" w:ascii="仿宋" w:hAnsi="仿宋" w:eastAsia="仿宋" w:cs="仿宋_GB2312"/>
          <w:sz w:val="32"/>
          <w:szCs w:val="32"/>
          <w:lang w:eastAsia="zh-CN"/>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三、电子商务：是指利用先进的电子技术从事各种商业活动的方式，是利用国际互联网进行商务活动的一种方式。是以信息网络为手段，以商品交换为中心的商务活动。是传统商业活动各环节的电子化、网络化、信息化。</w:t>
      </w:r>
    </w:p>
    <w:p>
      <w:pPr>
        <w:spacing w:line="540" w:lineRule="exact"/>
        <w:ind w:firstLine="640" w:firstLineChars="200"/>
        <w:contextualSpacing/>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四、招商引资：是指地方政府吸收投资（主要是非本地投资者）的活动，是指地方政府把县外（市外、省外）的企业引进本地进行投资。</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14538"/>
    <w:multiLevelType w:val="singleLevel"/>
    <w:tmpl w:val="09814538"/>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10BD93"/>
    <w:multiLevelType w:val="singleLevel"/>
    <w:tmpl w:val="5410BD93"/>
    <w:lvl w:ilvl="0" w:tentative="0">
      <w:start w:val="7"/>
      <w:numFmt w:val="chineseCounting"/>
      <w:suff w:val="nothing"/>
      <w:lvlText w:val="%1、"/>
      <w:lvlJc w:val="left"/>
      <w:rPr>
        <w:rFonts w:hint="eastAsia"/>
      </w:rPr>
    </w:lvl>
  </w:abstractNum>
  <w:abstractNum w:abstractNumId="3">
    <w:nsid w:val="73ECD668"/>
    <w:multiLevelType w:val="singleLevel"/>
    <w:tmpl w:val="73ECD668"/>
    <w:lvl w:ilvl="0" w:tentative="0">
      <w:start w:val="3"/>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GI3NmIxMjk4MzAzODA3MTMyY2ZmNWVlYzM1OWM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178CE"/>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457762"/>
    <w:rsid w:val="02B7517C"/>
    <w:rsid w:val="06787A83"/>
    <w:rsid w:val="071C7E5F"/>
    <w:rsid w:val="07C35693"/>
    <w:rsid w:val="081B6ECF"/>
    <w:rsid w:val="094C3466"/>
    <w:rsid w:val="09AD42F6"/>
    <w:rsid w:val="0D975C20"/>
    <w:rsid w:val="102E76EB"/>
    <w:rsid w:val="15276732"/>
    <w:rsid w:val="16850FA6"/>
    <w:rsid w:val="16FB2A85"/>
    <w:rsid w:val="19416C61"/>
    <w:rsid w:val="19916D29"/>
    <w:rsid w:val="1C616521"/>
    <w:rsid w:val="1CC14420"/>
    <w:rsid w:val="1D4110DC"/>
    <w:rsid w:val="1EE241F9"/>
    <w:rsid w:val="1F5D6C0B"/>
    <w:rsid w:val="22124DF5"/>
    <w:rsid w:val="25707EF8"/>
    <w:rsid w:val="29151C1E"/>
    <w:rsid w:val="29A509AF"/>
    <w:rsid w:val="30226B4B"/>
    <w:rsid w:val="327D5EC7"/>
    <w:rsid w:val="32E526AF"/>
    <w:rsid w:val="34A6384F"/>
    <w:rsid w:val="36730100"/>
    <w:rsid w:val="372F06AE"/>
    <w:rsid w:val="395570A0"/>
    <w:rsid w:val="39853F9F"/>
    <w:rsid w:val="39D30C95"/>
    <w:rsid w:val="3E921340"/>
    <w:rsid w:val="403429F4"/>
    <w:rsid w:val="42447D60"/>
    <w:rsid w:val="43F72E54"/>
    <w:rsid w:val="44306981"/>
    <w:rsid w:val="44AE5E21"/>
    <w:rsid w:val="450A5674"/>
    <w:rsid w:val="45417AA1"/>
    <w:rsid w:val="45C75F51"/>
    <w:rsid w:val="47845486"/>
    <w:rsid w:val="47D26C51"/>
    <w:rsid w:val="4C736CAC"/>
    <w:rsid w:val="511951D0"/>
    <w:rsid w:val="52216F98"/>
    <w:rsid w:val="524609C5"/>
    <w:rsid w:val="53242F2F"/>
    <w:rsid w:val="53A906D2"/>
    <w:rsid w:val="53F73CC7"/>
    <w:rsid w:val="53FA7313"/>
    <w:rsid w:val="55A90FF1"/>
    <w:rsid w:val="562A2844"/>
    <w:rsid w:val="5777D4F5"/>
    <w:rsid w:val="5B781923"/>
    <w:rsid w:val="5CF05884"/>
    <w:rsid w:val="5F4973A1"/>
    <w:rsid w:val="5FC6BB1E"/>
    <w:rsid w:val="5FF720F1"/>
    <w:rsid w:val="6033585B"/>
    <w:rsid w:val="605C4EB2"/>
    <w:rsid w:val="612D33D0"/>
    <w:rsid w:val="61972646"/>
    <w:rsid w:val="632620AA"/>
    <w:rsid w:val="639C134E"/>
    <w:rsid w:val="665211AE"/>
    <w:rsid w:val="66A62B73"/>
    <w:rsid w:val="6D08089B"/>
    <w:rsid w:val="737D59BA"/>
    <w:rsid w:val="74600FBD"/>
    <w:rsid w:val="756E770A"/>
    <w:rsid w:val="75B50BA2"/>
    <w:rsid w:val="76CD1DA1"/>
    <w:rsid w:val="777736BE"/>
    <w:rsid w:val="77C37683"/>
    <w:rsid w:val="77F42148"/>
    <w:rsid w:val="781E5814"/>
    <w:rsid w:val="79DA7E36"/>
    <w:rsid w:val="79FF515B"/>
    <w:rsid w:val="7C630963"/>
    <w:rsid w:val="7E7010B8"/>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敷衍</cp:lastModifiedBy>
  <cp:lastPrinted>2023-08-15T09:28:00Z</cp:lastPrinted>
  <dcterms:modified xsi:type="dcterms:W3CDTF">2023-10-23T06:32:15Z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AB0A1DC5ABDD4CA79DFA36E1F315ECE3_13</vt:lpwstr>
  </property>
</Properties>
</file>