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40" w:lineRule="exact"/>
        <w:ind w:left="3055" w:leftChars="100" w:hanging="2845" w:hangingChars="650"/>
        <w:jc w:val="left"/>
        <w:rPr>
          <w:rFonts w:hint="eastAsia" w:ascii="仿宋" w:hAnsi="仿宋" w:eastAsia="仿宋"/>
          <w:b/>
          <w:spacing w:val="-2"/>
          <w:sz w:val="44"/>
          <w:szCs w:val="44"/>
        </w:rPr>
      </w:pPr>
    </w:p>
    <w:p>
      <w:pPr>
        <w:shd w:val="clear" w:color="auto" w:fill="FFFFFF"/>
        <w:spacing w:line="640" w:lineRule="exact"/>
        <w:ind w:left="3055" w:leftChars="100" w:hanging="2845" w:hangingChars="650"/>
        <w:jc w:val="left"/>
        <w:rPr>
          <w:rFonts w:hint="eastAsia" w:ascii="仿宋" w:hAnsi="仿宋" w:eastAsia="仿宋"/>
          <w:b/>
          <w:spacing w:val="-2"/>
          <w:sz w:val="44"/>
          <w:szCs w:val="44"/>
        </w:rPr>
      </w:pPr>
      <w:r>
        <w:rPr>
          <w:rFonts w:hint="eastAsia" w:ascii="仿宋" w:hAnsi="仿宋" w:eastAsia="仿宋"/>
          <w:b/>
          <w:spacing w:val="-2"/>
          <w:sz w:val="44"/>
          <w:szCs w:val="44"/>
        </w:rPr>
        <w:t>溆浦县商务局20</w:t>
      </w:r>
      <w:r>
        <w:rPr>
          <w:rFonts w:hint="eastAsia" w:ascii="仿宋" w:hAnsi="仿宋" w:eastAsia="仿宋"/>
          <w:b/>
          <w:spacing w:val="-2"/>
          <w:sz w:val="44"/>
          <w:szCs w:val="44"/>
          <w:lang w:val="en-US" w:eastAsia="zh-CN"/>
        </w:rPr>
        <w:t>22年度</w:t>
      </w:r>
      <w:bookmarkStart w:id="1" w:name="_GoBack"/>
      <w:bookmarkEnd w:id="1"/>
      <w:r>
        <w:rPr>
          <w:rFonts w:hint="eastAsia" w:ascii="仿宋" w:hAnsi="仿宋" w:eastAsia="仿宋"/>
          <w:b/>
          <w:spacing w:val="-2"/>
          <w:sz w:val="44"/>
          <w:szCs w:val="44"/>
          <w:lang w:val="en-US" w:eastAsia="zh-CN"/>
        </w:rPr>
        <w:t>部门</w:t>
      </w:r>
      <w:r>
        <w:rPr>
          <w:rFonts w:hint="eastAsia" w:ascii="仿宋" w:hAnsi="仿宋" w:eastAsia="仿宋"/>
          <w:b/>
          <w:spacing w:val="-2"/>
          <w:sz w:val="44"/>
          <w:szCs w:val="44"/>
        </w:rPr>
        <w:t>整体支出绩效</w:t>
      </w:r>
    </w:p>
    <w:p>
      <w:pPr>
        <w:shd w:val="clear" w:color="auto" w:fill="FFFFFF"/>
        <w:spacing w:line="640" w:lineRule="exact"/>
        <w:ind w:left="3055" w:leftChars="100" w:hanging="2845" w:hangingChars="650"/>
        <w:jc w:val="center"/>
        <w:rPr>
          <w:rFonts w:hint="eastAsia" w:ascii="仿宋" w:hAnsi="仿宋" w:eastAsia="仿宋"/>
          <w:b/>
          <w:spacing w:val="-2"/>
          <w:sz w:val="44"/>
          <w:szCs w:val="44"/>
        </w:rPr>
      </w:pPr>
      <w:r>
        <w:rPr>
          <w:rFonts w:hint="eastAsia" w:ascii="仿宋" w:hAnsi="仿宋" w:eastAsia="仿宋"/>
          <w:b/>
          <w:spacing w:val="-2"/>
          <w:sz w:val="44"/>
          <w:szCs w:val="44"/>
        </w:rPr>
        <w:t>自评报告</w:t>
      </w:r>
    </w:p>
    <w:p>
      <w:pPr>
        <w:shd w:val="clear" w:color="auto" w:fill="FFFFFF"/>
        <w:spacing w:line="640" w:lineRule="exact"/>
        <w:ind w:left="3055" w:leftChars="100" w:hanging="2845" w:hangingChars="650"/>
        <w:jc w:val="center"/>
        <w:rPr>
          <w:rFonts w:hint="eastAsia" w:ascii="仿宋" w:hAnsi="仿宋" w:eastAsia="仿宋"/>
          <w:b/>
          <w:spacing w:val="-2"/>
          <w:sz w:val="44"/>
          <w:szCs w:val="44"/>
        </w:rPr>
      </w:pPr>
    </w:p>
    <w:p>
      <w:pPr>
        <w:spacing w:line="60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为进一步规范财政资金管理，强化绩效和责任意识，切实提财政资金使用效益，根据</w:t>
      </w:r>
      <w:r>
        <w:rPr>
          <w:rFonts w:hint="eastAsia" w:ascii="仿宋" w:hAnsi="仿宋" w:eastAsia="仿宋" w:cs="仿宋_GB2312"/>
          <w:sz w:val="32"/>
          <w:szCs w:val="32"/>
        </w:rPr>
        <w:t>溆浦县财政局《关于开展2022年度部门整体支出绩效评价工作的通知</w:t>
      </w:r>
      <w:r>
        <w:rPr>
          <w:rFonts w:hint="eastAsia" w:ascii="仿宋" w:hAnsi="仿宋" w:eastAsia="仿宋" w:cs="仿宋_GB2312"/>
          <w:color w:val="000000"/>
          <w:sz w:val="32"/>
          <w:szCs w:val="32"/>
        </w:rPr>
        <w:t>》（溆财绩函[2023]          5号）文件的要求，我局对2022年度部门整体支出绩效进行了全面综合评价。经评价，我局2022年度部门整体支出绩效自评得分95分。现将有关情况报告如下：</w:t>
      </w:r>
    </w:p>
    <w:p>
      <w:pPr>
        <w:pStyle w:val="5"/>
        <w:shd w:val="clear" w:color="auto" w:fill="FFFFFF"/>
        <w:spacing w:before="0" w:beforeAutospacing="0" w:after="0" w:afterAutospacing="0" w:line="600" w:lineRule="exact"/>
        <w:jc w:val="both"/>
        <w:rPr>
          <w:rFonts w:ascii="仿宋" w:hAnsi="仿宋" w:eastAsia="仿宋" w:cs="黑体"/>
          <w:b/>
          <w:color w:val="000000"/>
          <w:sz w:val="32"/>
          <w:szCs w:val="32"/>
        </w:rPr>
      </w:pPr>
      <w:r>
        <w:rPr>
          <w:rFonts w:hint="eastAsia" w:ascii="仿宋" w:hAnsi="仿宋" w:eastAsia="仿宋" w:cs="黑体"/>
          <w:b/>
          <w:color w:val="000000"/>
          <w:sz w:val="32"/>
          <w:szCs w:val="32"/>
        </w:rPr>
        <w:t xml:space="preserve">    一、部门概况</w:t>
      </w:r>
    </w:p>
    <w:p>
      <w:pPr>
        <w:spacing w:line="600" w:lineRule="exact"/>
        <w:ind w:firstLine="643" w:firstLineChars="20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（一）部门基本情况</w:t>
      </w:r>
    </w:p>
    <w:p>
      <w:pPr>
        <w:spacing w:line="600" w:lineRule="exact"/>
        <w:ind w:firstLine="643" w:firstLineChars="20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部门主要职能概述</w:t>
      </w:r>
    </w:p>
    <w:p>
      <w:pPr>
        <w:spacing w:line="61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溆浦县商务局</w:t>
      </w:r>
      <w:r>
        <w:rPr>
          <w:rFonts w:hint="eastAsia" w:ascii="仿宋" w:hAnsi="仿宋" w:eastAsia="仿宋" w:cs="仿宋_GB2312"/>
          <w:sz w:val="32"/>
          <w:szCs w:val="32"/>
        </w:rPr>
        <w:t>属溆浦县人民政府工作部门，为行政机关，内设办公室、财务审计股、行政审批服务股、市场运行和消费促进股、市场体系建设股、投资管理和对外经济合作股、人事股等</w:t>
      </w:r>
      <w:r>
        <w:rPr>
          <w:rFonts w:ascii="仿宋" w:hAnsi="仿宋" w:eastAsia="仿宋" w:cs="仿宋_GB2312"/>
          <w:sz w:val="32"/>
          <w:szCs w:val="32"/>
        </w:rPr>
        <w:t>7</w:t>
      </w:r>
      <w:r>
        <w:rPr>
          <w:rFonts w:hint="eastAsia" w:ascii="仿宋" w:hAnsi="仿宋" w:eastAsia="仿宋" w:cs="仿宋_GB2312"/>
          <w:sz w:val="32"/>
          <w:szCs w:val="32"/>
        </w:rPr>
        <w:t>个职能股室。主要负责全县招商引资、市场体系建设、电商产业发展、国内外贸易和国际经济合作、商贸流通领域发展规划等工作职责。</w:t>
      </w:r>
      <w:r>
        <w:rPr>
          <w:rFonts w:ascii="仿宋" w:hAnsi="仿宋" w:eastAsia="仿宋" w:cs="仿宋_GB2312"/>
          <w:sz w:val="32"/>
          <w:szCs w:val="32"/>
        </w:rPr>
        <w:t xml:space="preserve"> </w:t>
      </w:r>
      <w:r>
        <w:rPr>
          <w:rFonts w:hint="eastAsia" w:ascii="仿宋" w:hAnsi="仿宋" w:eastAsia="仿宋"/>
          <w:sz w:val="32"/>
          <w:szCs w:val="32"/>
        </w:rPr>
        <w:t>承担全县商业行业管理、监督检查、统计调查等工作。预算机构为局机关本级行政单位，属财政预算全额拨款，财务核算适用行政单位会计制度。</w:t>
      </w:r>
    </w:p>
    <w:p>
      <w:pPr>
        <w:spacing w:line="610" w:lineRule="exact"/>
        <w:ind w:firstLine="643" w:firstLineChars="200"/>
        <w:rPr>
          <w:rFonts w:ascii="仿宋" w:hAnsi="仿宋" w:eastAsia="仿宋" w:cs="仿宋_GB2312"/>
          <w:b/>
          <w:bCs/>
          <w:color w:val="000000"/>
          <w:sz w:val="32"/>
          <w:szCs w:val="32"/>
        </w:rPr>
      </w:pPr>
    </w:p>
    <w:p>
      <w:pPr>
        <w:pStyle w:val="5"/>
        <w:shd w:val="clear" w:color="auto" w:fill="FFFFFF"/>
        <w:spacing w:before="0" w:beforeAutospacing="0" w:after="0" w:afterAutospacing="0" w:line="620" w:lineRule="exact"/>
        <w:jc w:val="both"/>
        <w:rPr>
          <w:rFonts w:ascii="仿宋" w:hAnsi="仿宋" w:eastAsia="仿宋" w:cs="仿宋_GB2312"/>
          <w:b/>
          <w:bCs/>
          <w:color w:val="000000"/>
          <w:sz w:val="32"/>
          <w:szCs w:val="32"/>
        </w:rPr>
      </w:pPr>
      <w:r>
        <w:rPr>
          <w:rFonts w:hint="eastAsia" w:ascii="仿宋" w:hAnsi="仿宋" w:eastAsia="仿宋" w:cs="仿宋_GB2312"/>
          <w:b/>
          <w:bCs/>
          <w:color w:val="000000"/>
          <w:sz w:val="32"/>
          <w:szCs w:val="32"/>
        </w:rPr>
        <w:t xml:space="preserve">部门组织机构及人员情况 </w:t>
      </w:r>
    </w:p>
    <w:p>
      <w:pPr>
        <w:ind w:firstLine="645"/>
        <w:rPr>
          <w:rFonts w:ascii="仿宋" w:hAnsi="仿宋" w:eastAsia="仿宋"/>
          <w:bCs/>
          <w:kern w:val="0"/>
          <w:sz w:val="32"/>
          <w:szCs w:val="32"/>
        </w:rPr>
      </w:pPr>
      <w:r>
        <w:rPr>
          <w:rFonts w:hint="eastAsia" w:ascii="仿宋" w:hAnsi="仿宋" w:eastAsia="仿宋"/>
          <w:bCs/>
          <w:kern w:val="0"/>
          <w:sz w:val="32"/>
          <w:szCs w:val="32"/>
        </w:rPr>
        <w:t>溆浦县商务局单位内设机构7个，包括：办公室、财务审计股、行政审批股（加挂政策法规股）、市场运行和消费促进股（加挂市场秩序股）、市场体系建设股（加挂流通业发展股、电子商务股）、投资管理和对外经济合作股（加挂对外贸易股、服务贸易和商贸服务业股）、人事股。</w:t>
      </w:r>
    </w:p>
    <w:p>
      <w:pPr>
        <w:ind w:firstLine="645"/>
        <w:rPr>
          <w:rFonts w:ascii="仿宋" w:hAnsi="仿宋" w:eastAsia="仿宋" w:cs="宋体"/>
          <w:bCs/>
          <w:sz w:val="32"/>
          <w:szCs w:val="32"/>
        </w:rPr>
      </w:pPr>
      <w:r>
        <w:rPr>
          <w:rFonts w:hint="eastAsia" w:ascii="仿宋" w:hAnsi="仿宋" w:eastAsia="仿宋"/>
          <w:bCs/>
          <w:kern w:val="0"/>
          <w:sz w:val="32"/>
          <w:szCs w:val="32"/>
        </w:rPr>
        <w:t>溆浦县商务局机关核定编制43个，其中：行政编制11个，事业编制29个，后勤编3个。实有人数25人，其中：行政人员 13人、事业人员 11人、工勤人员1人。</w:t>
      </w:r>
    </w:p>
    <w:p>
      <w:pPr>
        <w:spacing w:line="600" w:lineRule="exact"/>
        <w:ind w:firstLine="643" w:firstLineChars="20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2022年度重点工作计划</w:t>
      </w:r>
    </w:p>
    <w:p>
      <w:pPr>
        <w:autoSpaceDE w:val="0"/>
        <w:spacing w:line="540" w:lineRule="exact"/>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2022年，在县委、县政府精心的部署和领导下，在各部门通力配合和帮助下，围绕全面</w:t>
      </w:r>
      <w:r>
        <w:rPr>
          <w:rFonts w:hint="eastAsia" w:ascii="仿宋" w:hAnsi="仿宋" w:eastAsia="仿宋"/>
          <w:color w:val="000000"/>
          <w:sz w:val="32"/>
          <w:szCs w:val="32"/>
          <w:shd w:val="clear" w:color="auto" w:fill="FFFFFF"/>
        </w:rPr>
        <w:t>推动国内国际双循环相互促进的新格局</w:t>
      </w:r>
      <w:r>
        <w:rPr>
          <w:rFonts w:hint="eastAsia" w:ascii="仿宋" w:hAnsi="仿宋" w:eastAsia="仿宋" w:cs="仿宋_GB2312"/>
          <w:sz w:val="32"/>
          <w:szCs w:val="32"/>
        </w:rPr>
        <w:t>，积极承接产业转移，克服疫情负面影响，抓好各项工作再上新台阶的工作思路，我局全面落实县《政府工作报告》下达的各项目标任务。</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我局主要做好以下几个方面的工作：</w:t>
      </w:r>
    </w:p>
    <w:p>
      <w:pPr>
        <w:spacing w:line="60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1、继续做好</w:t>
      </w:r>
      <w:r>
        <w:rPr>
          <w:rFonts w:hint="eastAsia" w:ascii="仿宋" w:hAnsi="仿宋" w:eastAsia="仿宋"/>
          <w:sz w:val="32"/>
          <w:szCs w:val="32"/>
        </w:rPr>
        <w:t>社会消费品零售工作</w:t>
      </w:r>
      <w:r>
        <w:rPr>
          <w:rFonts w:hint="eastAsia" w:ascii="仿宋" w:hAnsi="仿宋" w:eastAsia="仿宋" w:cs="仿宋_GB2312"/>
          <w:bCs/>
          <w:sz w:val="32"/>
          <w:szCs w:val="32"/>
        </w:rPr>
        <w:t>，</w:t>
      </w:r>
    </w:p>
    <w:p>
      <w:pPr>
        <w:spacing w:line="600" w:lineRule="exact"/>
        <w:ind w:firstLine="640" w:firstLineChars="200"/>
        <w:rPr>
          <w:rFonts w:ascii="仿宋" w:hAnsi="仿宋" w:eastAsia="仿宋" w:cs="仿宋_GB2312"/>
          <w:sz w:val="32"/>
          <w:szCs w:val="32"/>
        </w:rPr>
      </w:pPr>
      <w:r>
        <w:rPr>
          <w:rFonts w:hint="eastAsia" w:ascii="仿宋" w:hAnsi="仿宋" w:eastAsia="仿宋"/>
          <w:sz w:val="32"/>
          <w:szCs w:val="32"/>
        </w:rPr>
        <w:t>2、做好</w:t>
      </w:r>
      <w:r>
        <w:rPr>
          <w:rFonts w:hint="eastAsia" w:ascii="仿宋" w:hAnsi="仿宋" w:eastAsia="仿宋"/>
          <w:bCs/>
          <w:sz w:val="32"/>
          <w:szCs w:val="32"/>
        </w:rPr>
        <w:t>外经</w:t>
      </w:r>
      <w:r>
        <w:rPr>
          <w:rFonts w:hint="eastAsia" w:ascii="仿宋" w:hAnsi="仿宋" w:eastAsia="仿宋"/>
          <w:sz w:val="32"/>
          <w:szCs w:val="32"/>
        </w:rPr>
        <w:t>外贸工作。</w:t>
      </w:r>
    </w:p>
    <w:p>
      <w:pPr>
        <w:spacing w:line="600" w:lineRule="exact"/>
        <w:ind w:firstLine="640" w:firstLineChars="200"/>
        <w:rPr>
          <w:rFonts w:ascii="仿宋" w:hAnsi="仿宋" w:eastAsia="仿宋" w:cs="仿宋_GB2312"/>
          <w:bCs/>
          <w:sz w:val="32"/>
          <w:szCs w:val="32"/>
        </w:rPr>
      </w:pPr>
      <w:r>
        <w:rPr>
          <w:rFonts w:hint="eastAsia" w:ascii="仿宋" w:hAnsi="仿宋" w:eastAsia="仿宋"/>
          <w:sz w:val="32"/>
          <w:szCs w:val="32"/>
        </w:rPr>
        <w:t>3、做好全县招商引资工作。</w:t>
      </w:r>
    </w:p>
    <w:p>
      <w:pPr>
        <w:spacing w:line="600" w:lineRule="exact"/>
        <w:ind w:firstLine="640" w:firstLineChars="200"/>
        <w:rPr>
          <w:rFonts w:ascii="仿宋" w:hAnsi="仿宋" w:eastAsia="仿宋"/>
          <w:kern w:val="0"/>
          <w:sz w:val="32"/>
          <w:szCs w:val="32"/>
        </w:rPr>
      </w:pPr>
      <w:r>
        <w:rPr>
          <w:rFonts w:ascii="仿宋" w:hAnsi="仿宋" w:eastAsia="仿宋"/>
          <w:sz w:val="32"/>
          <w:szCs w:val="32"/>
        </w:rPr>
        <w:t>4.</w:t>
      </w:r>
      <w:r>
        <w:rPr>
          <w:rFonts w:hint="eastAsia" w:ascii="仿宋" w:hAnsi="仿宋" w:eastAsia="仿宋"/>
          <w:sz w:val="32"/>
          <w:szCs w:val="32"/>
        </w:rPr>
        <w:t xml:space="preserve"> 做好固定资产投资和重点项目入库工作。</w:t>
      </w:r>
    </w:p>
    <w:p>
      <w:pPr>
        <w:spacing w:line="600" w:lineRule="exact"/>
        <w:ind w:firstLine="640" w:firstLineChars="200"/>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继续完善电子商务基础工作，</w:t>
      </w:r>
      <w:r>
        <w:rPr>
          <w:rFonts w:hint="eastAsia" w:ascii="仿宋" w:hAnsi="仿宋" w:eastAsia="仿宋" w:cs="仿宋_GB2312"/>
          <w:sz w:val="32"/>
          <w:szCs w:val="32"/>
        </w:rPr>
        <w:t>加快我县电子商务产业发展。</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6、做好</w:t>
      </w:r>
      <w:r>
        <w:rPr>
          <w:rFonts w:hint="eastAsia" w:ascii="仿宋" w:hAnsi="仿宋" w:eastAsia="仿宋"/>
          <w:sz w:val="32"/>
          <w:szCs w:val="32"/>
        </w:rPr>
        <w:t>成品油市场专项整治和安全生产工作。</w:t>
      </w:r>
    </w:p>
    <w:p>
      <w:pPr>
        <w:spacing w:line="600" w:lineRule="exact"/>
        <w:ind w:firstLine="640" w:firstLineChars="200"/>
        <w:rPr>
          <w:rFonts w:ascii="仿宋" w:hAnsi="仿宋" w:eastAsia="仿宋" w:cs="仿宋_GB2312"/>
          <w:bCs/>
          <w:sz w:val="32"/>
          <w:szCs w:val="32"/>
        </w:rPr>
      </w:pPr>
      <w:r>
        <w:rPr>
          <w:rFonts w:hint="eastAsia" w:ascii="仿宋" w:hAnsi="仿宋" w:eastAsia="仿宋" w:cs="仿宋_GB2312"/>
          <w:sz w:val="32"/>
          <w:szCs w:val="32"/>
        </w:rPr>
        <w:t>7、全面做好县委县政府及上级业务主管部门交办的其他各项工作任务。</w:t>
      </w:r>
    </w:p>
    <w:p>
      <w:pPr>
        <w:pStyle w:val="5"/>
        <w:shd w:val="clear" w:color="auto" w:fill="FFFFFF"/>
        <w:spacing w:before="0" w:beforeAutospacing="0" w:after="0" w:afterAutospacing="0" w:line="600" w:lineRule="exact"/>
        <w:ind w:firstLine="482" w:firstLineChars="150"/>
        <w:jc w:val="both"/>
        <w:rPr>
          <w:rFonts w:ascii="仿宋" w:hAnsi="仿宋" w:eastAsia="仿宋" w:cs="黑体"/>
          <w:b/>
          <w:color w:val="000000"/>
          <w:sz w:val="32"/>
          <w:szCs w:val="32"/>
        </w:rPr>
      </w:pPr>
      <w:r>
        <w:rPr>
          <w:rFonts w:hint="eastAsia" w:ascii="仿宋" w:hAnsi="仿宋" w:eastAsia="仿宋" w:cs="黑体"/>
          <w:b/>
          <w:color w:val="000000"/>
          <w:sz w:val="32"/>
          <w:szCs w:val="32"/>
        </w:rPr>
        <w:t>（二）部门整体支出规模、使用方向及主要内容</w:t>
      </w:r>
    </w:p>
    <w:p>
      <w:pPr>
        <w:pStyle w:val="5"/>
        <w:shd w:val="clear" w:color="auto" w:fill="FFFFFF"/>
        <w:spacing w:before="0" w:beforeAutospacing="0" w:after="0" w:afterAutospacing="0" w:line="600" w:lineRule="exact"/>
        <w:ind w:firstLine="645"/>
        <w:jc w:val="both"/>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2022年</w:t>
      </w:r>
      <w:r>
        <w:rPr>
          <w:rFonts w:hint="eastAsia" w:ascii="仿宋" w:hAnsi="仿宋" w:eastAsia="仿宋" w:cs="黑体"/>
          <w:b/>
          <w:color w:val="000000" w:themeColor="text1"/>
          <w:sz w:val="32"/>
          <w:szCs w:val="32"/>
        </w:rPr>
        <w:t>部门整体支出</w:t>
      </w:r>
      <w:r>
        <w:rPr>
          <w:rFonts w:hint="eastAsia" w:ascii="仿宋" w:hAnsi="仿宋" w:eastAsia="仿宋"/>
          <w:color w:val="000000" w:themeColor="text1"/>
          <w:sz w:val="32"/>
          <w:szCs w:val="32"/>
          <w:shd w:val="clear" w:color="auto" w:fill="FFFFFF"/>
        </w:rPr>
        <w:t>初预算数6725.8万元，决算数6799.33万元，较上年增加568.15%，其中：一般公共预算财政拨款年初预算数611.8万元，决算数618.07万元，较上年减少 35.03%；政府性基金年初预算数6100万元，决算数6166.34万元，主要为专项债券财政预算支出项目资金（农贸市场标准化建设项目）6166.34万元；其他收入年初预算数14万元，决算数14.92万元，本年度增加了公益性岗位人员工资2.19万元、真抓实干奖励金3万元、单位往来结算资金8.3万元。其中：基本支出 396.66万元,项目支出6402.67万元，2022年项目支出较上年增加5934.65万元，主要是增加了专项债券财政预算支出项目资金及国际陆港建设项目资金。</w:t>
      </w:r>
    </w:p>
    <w:p>
      <w:pPr>
        <w:pStyle w:val="5"/>
        <w:shd w:val="clear" w:color="auto" w:fill="FFFFFF"/>
        <w:spacing w:before="0" w:beforeAutospacing="0" w:after="0" w:afterAutospacing="0" w:line="600" w:lineRule="exact"/>
        <w:ind w:firstLine="645"/>
        <w:jc w:val="both"/>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资金的使用方向为预算单位日常基本支出及拨付2022年所属商业流通企业招商引资和国际陆港建设、电子商务及电商扶贫、健康产业博览会及限上企业统计补助等专项支出。</w:t>
      </w:r>
    </w:p>
    <w:p>
      <w:pPr>
        <w:pStyle w:val="5"/>
        <w:shd w:val="clear" w:color="auto" w:fill="FFFFFF"/>
        <w:spacing w:before="0" w:beforeAutospacing="0" w:after="0" w:afterAutospacing="0" w:line="600" w:lineRule="exact"/>
        <w:jc w:val="both"/>
        <w:rPr>
          <w:rFonts w:ascii="仿宋" w:hAnsi="仿宋" w:eastAsia="仿宋"/>
          <w:color w:val="333333"/>
          <w:sz w:val="32"/>
          <w:szCs w:val="32"/>
          <w:shd w:val="clear" w:color="auto" w:fill="FFFFFF"/>
        </w:rPr>
      </w:pPr>
      <w:r>
        <w:rPr>
          <w:rFonts w:hint="eastAsia" w:ascii="仿宋" w:hAnsi="仿宋" w:eastAsia="仿宋" w:cs="黑体"/>
          <w:b/>
          <w:sz w:val="32"/>
          <w:szCs w:val="32"/>
        </w:rPr>
        <w:t xml:space="preserve">    </w:t>
      </w:r>
      <w:r>
        <w:rPr>
          <w:rFonts w:hint="eastAsia" w:ascii="仿宋" w:hAnsi="仿宋" w:eastAsia="仿宋" w:cs="仿宋_GB2312"/>
          <w:b/>
          <w:bCs/>
          <w:color w:val="000000"/>
          <w:sz w:val="32"/>
          <w:szCs w:val="32"/>
        </w:rPr>
        <w:t>二、</w:t>
      </w:r>
      <w:r>
        <w:rPr>
          <w:rFonts w:hint="eastAsia" w:ascii="仿宋" w:hAnsi="仿宋" w:eastAsia="仿宋" w:cs="仿宋_GB2312"/>
          <w:b/>
          <w:color w:val="000000"/>
          <w:sz w:val="32"/>
          <w:szCs w:val="32"/>
        </w:rPr>
        <w:t>部门整体支出管理及使用情况。</w:t>
      </w:r>
    </w:p>
    <w:p>
      <w:pPr>
        <w:pStyle w:val="5"/>
        <w:shd w:val="clear" w:color="auto" w:fill="FFFFFF"/>
        <w:spacing w:before="0" w:beforeAutospacing="0" w:after="0" w:afterAutospacing="0" w:line="60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收入</w:t>
      </w:r>
      <w:r>
        <w:rPr>
          <w:rFonts w:hint="eastAsia" w:ascii="仿宋" w:hAnsi="仿宋" w:eastAsia="仿宋"/>
          <w:b/>
          <w:color w:val="333333"/>
          <w:sz w:val="32"/>
          <w:szCs w:val="32"/>
          <w:shd w:val="clear" w:color="auto" w:fill="FFFFFF"/>
        </w:rPr>
        <w:t>支出预算执行情况：</w:t>
      </w:r>
    </w:p>
    <w:p>
      <w:pPr>
        <w:pStyle w:val="5"/>
        <w:shd w:val="clear" w:color="auto" w:fill="FFFFFF"/>
        <w:spacing w:before="0" w:beforeAutospacing="0" w:after="0" w:afterAutospacing="0" w:line="600" w:lineRule="exact"/>
        <w:ind w:firstLine="800" w:firstLineChars="250"/>
        <w:jc w:val="both"/>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2022年度收入决算数6799.33万元，其中一般公共预算财政拨款收入618.07万元，占总收入的9.09%，政府性基金财政拨款预算收入6166.34万元，占总收入的90.69%，其他收入14.92万元，占总收入的0.22%，年初结转结余0万元，收入总计6799.33万元；支出决算数为6799.33万元，其中：基本支出决算数396.66万元，占支出的5.83%，项目支出决算数6402.67万元，占支出的94.17%，年末结转和结余0万元，支出总计6799.33万元。</w:t>
      </w:r>
    </w:p>
    <w:p>
      <w:pPr>
        <w:pStyle w:val="5"/>
        <w:shd w:val="clear" w:color="auto" w:fill="FFFFFF"/>
        <w:spacing w:before="0" w:beforeAutospacing="0" w:after="0" w:afterAutospacing="0" w:line="600" w:lineRule="exact"/>
        <w:ind w:firstLine="482" w:firstLineChars="150"/>
        <w:jc w:val="both"/>
        <w:rPr>
          <w:rFonts w:ascii="仿宋" w:hAnsi="仿宋" w:eastAsia="仿宋" w:cs="Arial"/>
          <w:b/>
          <w:color w:val="333333"/>
          <w:sz w:val="32"/>
          <w:szCs w:val="32"/>
        </w:rPr>
      </w:pPr>
      <w:r>
        <w:rPr>
          <w:rFonts w:hint="eastAsia" w:ascii="仿宋" w:hAnsi="仿宋" w:eastAsia="仿宋" w:cs="Arial"/>
          <w:b/>
          <w:color w:val="333333"/>
          <w:sz w:val="32"/>
          <w:szCs w:val="32"/>
        </w:rPr>
        <w:t>（1）基本支出：</w:t>
      </w:r>
    </w:p>
    <w:p>
      <w:pPr>
        <w:pStyle w:val="5"/>
        <w:shd w:val="clear" w:color="auto" w:fill="FFFFFF"/>
        <w:spacing w:before="0" w:beforeAutospacing="0" w:after="0" w:afterAutospacing="0" w:line="600" w:lineRule="exact"/>
        <w:ind w:firstLine="640" w:firstLineChars="200"/>
        <w:jc w:val="both"/>
        <w:rPr>
          <w:rFonts w:ascii="仿宋" w:hAnsi="仿宋" w:eastAsia="仿宋" w:cs="Arial"/>
          <w:b/>
          <w:color w:val="333333"/>
          <w:sz w:val="32"/>
          <w:szCs w:val="32"/>
        </w:rPr>
      </w:pPr>
      <w:r>
        <w:rPr>
          <w:rFonts w:hint="eastAsia" w:ascii="仿宋" w:hAnsi="仿宋" w:eastAsia="仿宋" w:cs="Arial"/>
          <w:color w:val="333333"/>
          <w:sz w:val="32"/>
          <w:szCs w:val="32"/>
        </w:rPr>
        <w:t>2022年度基本支出决算数396.66万元，占支出总额的5.83%，主要包括2022年度人员工资福利支出271.21万元、办公经费支出等商品服务费支出117.84万元，对个人和家庭补助支出4.37万元及资本性支出（办公设备购置）3.24万元。</w:t>
      </w:r>
    </w:p>
    <w:p>
      <w:pPr>
        <w:pStyle w:val="5"/>
        <w:shd w:val="clear" w:color="auto" w:fill="FFFFFF"/>
        <w:ind w:firstLine="480" w:firstLineChars="150"/>
        <w:rPr>
          <w:rFonts w:ascii="仿宋" w:hAnsi="仿宋" w:eastAsia="仿宋" w:cs="Arial"/>
          <w:b/>
          <w:color w:val="333333"/>
          <w:sz w:val="32"/>
          <w:szCs w:val="32"/>
        </w:rPr>
      </w:pPr>
      <w:r>
        <w:rPr>
          <w:rFonts w:hint="eastAsia" w:ascii="仿宋" w:hAnsi="仿宋" w:eastAsia="仿宋"/>
          <w:color w:val="333333"/>
          <w:sz w:val="32"/>
          <w:szCs w:val="32"/>
          <w:shd w:val="clear" w:color="auto" w:fill="FFFFFF"/>
        </w:rPr>
        <w:t>“</w:t>
      </w:r>
      <w:r>
        <w:rPr>
          <w:rFonts w:hint="eastAsia" w:ascii="仿宋" w:hAnsi="仿宋" w:eastAsia="仿宋" w:cs="Arial"/>
          <w:b/>
          <w:color w:val="333333"/>
          <w:sz w:val="32"/>
          <w:szCs w:val="32"/>
        </w:rPr>
        <w:t>三公”经费支出使用和管理情况</w:t>
      </w:r>
    </w:p>
    <w:p>
      <w:pPr>
        <w:pStyle w:val="5"/>
        <w:shd w:val="clear" w:color="auto" w:fill="FFFFFF"/>
        <w:ind w:firstLine="480"/>
        <w:rPr>
          <w:rFonts w:ascii="仿宋" w:hAnsi="仿宋" w:eastAsia="仿宋" w:cs="Arial"/>
          <w:color w:val="333333"/>
          <w:sz w:val="32"/>
          <w:szCs w:val="32"/>
        </w:rPr>
      </w:pPr>
      <w:r>
        <w:rPr>
          <w:rFonts w:hint="eastAsia" w:ascii="仿宋" w:hAnsi="仿宋" w:eastAsia="仿宋" w:cs="Arial"/>
          <w:color w:val="333333"/>
          <w:sz w:val="32"/>
          <w:szCs w:val="32"/>
        </w:rPr>
        <w:t>2022年“三公”经费支出 6.87万元，比年初预算 3.94万元增加2.93万元，增加74.36%%，比上年决算数3.81万元增加3.06万元,增加80.31%。其中：因公出国（境）费0万元，比年初预算数0万元减少0万元；比上年决算数0万元减少0万元；公务用车购置及运行维护费0万元，比年初预算数0万元减少0万元，比上年决算数0万元减少0万元；公务接待费支出6.87万元，比年初预算3.94万元增加2.93万元，增加74.36%，比上年决算数3.81万元, 增加3.06万元,增加80.31%，主要是本年度商务局增加了招商引资等专项商务接待费用。</w:t>
      </w:r>
      <w:r>
        <w:rPr>
          <w:rFonts w:hint="eastAsia" w:ascii="仿宋" w:hAnsi="仿宋" w:eastAsia="仿宋"/>
          <w:sz w:val="32"/>
          <w:szCs w:val="32"/>
        </w:rPr>
        <w:t>为全面提升我县招商引资工作水平和积极融入怀化国际陆港建设，加快推动我县高水平开放和高质量发展，加快溆浦经济社会发展，经县委县政府研究同意，财政局、商务局联合下文《溆浦县招商引资客商接待管理办法》，（溆商联[2022]2号），明确了商务接待费用开支标准。按照“厉行节约、专款专用”的原则，在全县招商引资专项经费中列支，实行预算管理，总额控制。</w:t>
      </w:r>
    </w:p>
    <w:p>
      <w:pPr>
        <w:pStyle w:val="5"/>
        <w:shd w:val="clear" w:color="auto" w:fill="FFFFFF"/>
        <w:ind w:firstLine="482" w:firstLineChars="150"/>
        <w:rPr>
          <w:rFonts w:ascii="仿宋" w:hAnsi="仿宋" w:eastAsia="仿宋" w:cs="Arial"/>
          <w:b/>
          <w:color w:val="333333"/>
          <w:sz w:val="32"/>
          <w:szCs w:val="32"/>
        </w:rPr>
      </w:pPr>
      <w:r>
        <w:rPr>
          <w:rFonts w:hint="eastAsia" w:ascii="仿宋" w:hAnsi="仿宋" w:eastAsia="仿宋" w:cs="Arial"/>
          <w:b/>
          <w:color w:val="333333"/>
          <w:sz w:val="32"/>
          <w:szCs w:val="32"/>
        </w:rPr>
        <w:t>（2）专项支出：</w:t>
      </w:r>
    </w:p>
    <w:p>
      <w:pPr>
        <w:pStyle w:val="5"/>
        <w:shd w:val="clear" w:color="auto" w:fill="FFFFFF"/>
        <w:ind w:firstLine="640" w:firstLineChars="200"/>
        <w:rPr>
          <w:rFonts w:ascii="仿宋" w:hAnsi="仿宋" w:eastAsia="仿宋" w:cs="Arial"/>
          <w:b/>
          <w:color w:val="333333"/>
          <w:sz w:val="32"/>
          <w:szCs w:val="32"/>
        </w:rPr>
      </w:pPr>
      <w:r>
        <w:rPr>
          <w:rFonts w:hint="eastAsia" w:ascii="仿宋" w:hAnsi="仿宋" w:eastAsia="仿宋" w:cs="Arial"/>
          <w:color w:val="333333"/>
          <w:sz w:val="32"/>
          <w:szCs w:val="32"/>
        </w:rPr>
        <w:t>项目支出决算数6402.67万元，总支出的94.17%，是单位为完成特定行政工作任务或事业发展目标而发生的支出，包括招商引资产业发展专项资金年初预算300万元，调整预算270万元，实际到位211.6万元万元（2023年1月份拨付111.6万元），主要用于全县招商引资工作经费；电子商务发展资金年初预算50万元，调整预算35万元，实际到位35万元（2023年1月拨付9.55万元），主要用于网上年货节及跨境电商活动开支；限上企业统计补助专项资金年初预算34万元，实际到位资金22.5万元（2023年1月份拨付13.02万元）；2022年“沪洽周”市级“怀商大会”等招商活动经费年初预算50万元，调整预算25万元，实际到位资金0万元，因疫情影响取消了专项招商活动；健康产业博览会、湖南食品博览会、农产品产销对接会资金年初预算30万元，实际到位29.99万元（2023年1月拨付）。兑现外贸进口奖励专项支出27.62万元（省资金）；成品油市场专项整治工作经费13.5万元；外贸发展专项资金20</w:t>
      </w:r>
      <w:r>
        <w:rPr>
          <w:rFonts w:hint="eastAsia" w:ascii="仿宋" w:hAnsi="仿宋" w:eastAsia="仿宋"/>
          <w:color w:val="333333"/>
          <w:sz w:val="32"/>
          <w:szCs w:val="32"/>
          <w:shd w:val="clear" w:color="auto" w:fill="FFFFFF"/>
        </w:rPr>
        <w:t>万元(</w:t>
      </w:r>
      <w:r>
        <w:rPr>
          <w:rFonts w:hint="eastAsia" w:ascii="仿宋" w:hAnsi="仿宋" w:eastAsia="仿宋" w:cs="Arial"/>
          <w:color w:val="333333"/>
          <w:sz w:val="32"/>
          <w:szCs w:val="32"/>
        </w:rPr>
        <w:t>省资金)</w:t>
      </w:r>
      <w:r>
        <w:rPr>
          <w:rFonts w:hint="eastAsia" w:ascii="仿宋" w:hAnsi="仿宋" w:eastAsia="仿宋"/>
          <w:color w:val="333333"/>
          <w:sz w:val="32"/>
          <w:szCs w:val="32"/>
          <w:shd w:val="clear" w:color="auto" w:fill="FFFFFF"/>
        </w:rPr>
        <w:t>；内贸发展专项资金15万元；农贸市场标准化建设项目政府性基金财政拨款预算资金6166.34万元。</w:t>
      </w:r>
    </w:p>
    <w:p>
      <w:pPr>
        <w:pStyle w:val="5"/>
        <w:spacing w:before="0" w:beforeAutospacing="0" w:after="0" w:afterAutospacing="0" w:line="450" w:lineRule="atLeast"/>
        <w:ind w:firstLine="643" w:firstLineChars="200"/>
        <w:jc w:val="both"/>
        <w:textAlignment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部门资金管理制度建设情况：</w:t>
      </w:r>
    </w:p>
    <w:p>
      <w:pPr>
        <w:pStyle w:val="5"/>
        <w:spacing w:before="0" w:beforeAutospacing="0" w:after="0" w:afterAutospacing="0" w:line="450" w:lineRule="atLeast"/>
        <w:ind w:firstLine="640" w:firstLineChars="200"/>
        <w:jc w:val="both"/>
        <w:textAlignment w:val="center"/>
        <w:rPr>
          <w:rFonts w:ascii="仿宋" w:hAnsi="仿宋" w:eastAsia="仿宋"/>
          <w:color w:val="333333"/>
          <w:sz w:val="32"/>
          <w:szCs w:val="32"/>
        </w:rPr>
      </w:pPr>
      <w:r>
        <w:rPr>
          <w:rFonts w:hint="eastAsia" w:ascii="仿宋" w:hAnsi="仿宋" w:eastAsia="仿宋"/>
          <w:color w:val="333333"/>
          <w:sz w:val="32"/>
          <w:szCs w:val="32"/>
        </w:rPr>
        <w:t>为进一步提高我单位各项支出的规范性和有效性，根据节约型机关建设要求，我单位组织全面梳理了各项财务制度，要求各部门从预算收支管理、资产管理、政府采购管理、合同管理等方面，健全和完善单位财务管理制度，坚定实施内部控制制度。一是强化财务约束，严格控制一般性支出，坚持会议费、培训费、“三公”经费等支出预算管理，杜绝无预算、超预算支出行为；二是提高预算管理水平，强化预算管理意识，增强部门预算编制的科学性；三是推进预算绩效管理，精准编制预算绩效管理目标，按要求实施绩效自评，提高财政资金使用效益；四是强化财务规范化管理，建立落实财务信息定期报送制度，加快预算执行进度，加大对项目支出的监督检查。</w:t>
      </w:r>
    </w:p>
    <w:p>
      <w:pPr>
        <w:pStyle w:val="5"/>
        <w:shd w:val="clear" w:color="auto" w:fill="FFFFFF"/>
        <w:rPr>
          <w:rFonts w:ascii="仿宋" w:hAnsi="仿宋" w:eastAsia="仿宋" w:cs="黑体"/>
          <w:b/>
          <w:bCs/>
          <w:sz w:val="32"/>
          <w:szCs w:val="32"/>
        </w:rPr>
      </w:pPr>
      <w:bookmarkStart w:id="0" w:name="_Toc390113216"/>
      <w:r>
        <w:rPr>
          <w:rFonts w:hint="eastAsia" w:ascii="微软雅黑" w:hAnsi="微软雅黑"/>
          <w:color w:val="333333"/>
        </w:rPr>
        <w:t xml:space="preserve">    </w:t>
      </w:r>
      <w:r>
        <w:rPr>
          <w:rFonts w:hint="eastAsia" w:ascii="微软雅黑" w:hAnsi="微软雅黑"/>
          <w:b/>
          <w:color w:val="333333"/>
        </w:rPr>
        <w:t xml:space="preserve"> 三、</w:t>
      </w:r>
      <w:r>
        <w:rPr>
          <w:rFonts w:hint="eastAsia" w:ascii="仿宋" w:hAnsi="仿宋" w:eastAsia="仿宋" w:cs="黑体"/>
          <w:b/>
          <w:bCs/>
          <w:sz w:val="32"/>
          <w:szCs w:val="32"/>
        </w:rPr>
        <w:t>部门专项组织实施情况</w:t>
      </w:r>
      <w:bookmarkEnd w:id="0"/>
    </w:p>
    <w:p>
      <w:pPr>
        <w:pStyle w:val="5"/>
        <w:shd w:val="clear" w:color="auto" w:fill="FFFFFF"/>
        <w:ind w:firstLine="640" w:firstLineChars="200"/>
        <w:rPr>
          <w:rFonts w:hint="eastAsia" w:ascii="微软雅黑" w:hAnsi="微软雅黑"/>
          <w:b/>
          <w:color w:val="333333"/>
        </w:rPr>
      </w:pPr>
      <w:r>
        <w:rPr>
          <w:rFonts w:hint="eastAsia" w:ascii="仿宋" w:hAnsi="仿宋" w:eastAsia="仿宋" w:cs="仿宋_GB2312"/>
          <w:sz w:val="32"/>
          <w:szCs w:val="32"/>
        </w:rPr>
        <w:t>根据</w:t>
      </w:r>
      <w:r>
        <w:rPr>
          <w:rFonts w:hint="eastAsia" w:ascii="仿宋" w:hAnsi="仿宋" w:eastAsia="仿宋" w:cs="仿宋_GB2312"/>
          <w:color w:val="000000"/>
          <w:sz w:val="32"/>
          <w:szCs w:val="32"/>
        </w:rPr>
        <w:t>《溆浦县财政局关于开展2022年度部门整体支出绩效评价工作的通知》（溆财绩函[2023]5号）及《溆浦县财政局关于开展2022年度部门专项支出绩效评价工作的通知》（溆财绩函[2023]7号）等文件精神</w:t>
      </w:r>
      <w:r>
        <w:rPr>
          <w:rFonts w:hint="eastAsia" w:ascii="仿宋" w:hAnsi="仿宋" w:eastAsia="仿宋" w:cs="仿宋_GB2312"/>
          <w:sz w:val="32"/>
          <w:szCs w:val="32"/>
        </w:rPr>
        <w:t>，我局成立了局长任组长的绩效评价工作小组，对我局2022年度部门预算支出绩效进行了综合评价，形成了评价结论。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2022年本部门专项资金使用均按财政审批相关要求、配送制度进行，对政府采购的项目均按县采购办要求进行办理，专项资金使用均按相关文件进行。</w:t>
      </w:r>
    </w:p>
    <w:p>
      <w:pPr>
        <w:spacing w:line="600" w:lineRule="exact"/>
        <w:ind w:firstLine="640" w:firstLineChars="20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根据</w:t>
      </w:r>
      <w:r>
        <w:rPr>
          <w:rFonts w:hint="eastAsia" w:ascii="仿宋" w:hAnsi="仿宋" w:eastAsia="仿宋"/>
          <w:color w:val="000000" w:themeColor="text1"/>
          <w:sz w:val="32"/>
          <w:szCs w:val="32"/>
        </w:rPr>
        <w:t>文件</w:t>
      </w:r>
      <w:r>
        <w:rPr>
          <w:rFonts w:hint="eastAsia" w:ascii="仿宋" w:hAnsi="仿宋" w:eastAsia="仿宋" w:cs="仿宋_GB2312"/>
          <w:color w:val="333333"/>
          <w:kern w:val="0"/>
          <w:sz w:val="32"/>
          <w:szCs w:val="32"/>
        </w:rPr>
        <w:t>要求，专项资金通过申报、财政审核，报县人民政府领导审核签字，按程序审批。项目实施后，根据项目实施进程中的实际情况及进度进行支付。项目经验收合格</w:t>
      </w:r>
    </w:p>
    <w:p>
      <w:pPr>
        <w:spacing w:line="600" w:lineRule="exact"/>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后方可报账。根据溆浦县财政衔接资金管理办法，制定了项目管理制度、日常检查监督、工作计划、实施方案、合同管理、招投标管理、施工监理等办法。</w:t>
      </w:r>
    </w:p>
    <w:p>
      <w:pPr>
        <w:pStyle w:val="5"/>
        <w:shd w:val="clear" w:color="auto" w:fill="FFFFFF"/>
        <w:rPr>
          <w:rFonts w:ascii="仿宋" w:hAnsi="仿宋" w:eastAsia="仿宋" w:cs="Arial"/>
          <w:color w:val="333333"/>
          <w:sz w:val="32"/>
          <w:szCs w:val="32"/>
        </w:rPr>
      </w:pPr>
      <w:r>
        <w:rPr>
          <w:rFonts w:hint="eastAsia" w:ascii="仿宋" w:hAnsi="仿宋" w:eastAsia="仿宋"/>
          <w:sz w:val="32"/>
          <w:szCs w:val="32"/>
        </w:rPr>
        <w:t xml:space="preserve">    </w:t>
      </w:r>
      <w:r>
        <w:rPr>
          <w:rFonts w:hint="eastAsia" w:ascii="仿宋" w:hAnsi="仿宋" w:eastAsia="仿宋" w:cs="Arial"/>
          <w:color w:val="333333"/>
          <w:sz w:val="32"/>
          <w:szCs w:val="32"/>
        </w:rPr>
        <w:t>根据《溆浦县财政局关于开展2022年度部门整体支出绩效评价工作的通知》（溆财绩函[2023]5号）文件要求，对部门整体支出绩效进行了全面综合评价，本部门2022年度部门整体支出绩效综合得分95分，部门整体支出绩效为“优”</w:t>
      </w:r>
      <w:r>
        <w:rPr>
          <w:rFonts w:hint="eastAsia" w:ascii="仿宋" w:hAnsi="仿宋" w:eastAsia="仿宋" w:cs="仿宋_GB2312"/>
          <w:sz w:val="32"/>
          <w:szCs w:val="32"/>
        </w:rPr>
        <w:t>（详见附表1）</w:t>
      </w:r>
      <w:r>
        <w:rPr>
          <w:rFonts w:hint="eastAsia" w:ascii="仿宋" w:hAnsi="仿宋" w:eastAsia="仿宋" w:cs="Arial"/>
          <w:color w:val="333333"/>
          <w:sz w:val="32"/>
          <w:szCs w:val="32"/>
        </w:rPr>
        <w:t>。</w:t>
      </w:r>
    </w:p>
    <w:p>
      <w:pPr>
        <w:pStyle w:val="5"/>
        <w:shd w:val="clear" w:color="auto" w:fill="FFFFFF"/>
        <w:spacing w:before="0" w:beforeAutospacing="0" w:after="0" w:afterAutospacing="0" w:line="600" w:lineRule="exact"/>
        <w:ind w:firstLine="482" w:firstLineChars="150"/>
        <w:jc w:val="both"/>
        <w:rPr>
          <w:rFonts w:ascii="仿宋" w:hAnsi="仿宋" w:eastAsia="仿宋" w:cs="黑体"/>
          <w:b/>
          <w:color w:val="000000"/>
          <w:sz w:val="32"/>
          <w:szCs w:val="32"/>
        </w:rPr>
      </w:pPr>
      <w:r>
        <w:rPr>
          <w:rFonts w:hint="eastAsia" w:ascii="仿宋" w:hAnsi="仿宋" w:eastAsia="仿宋" w:cs="黑体"/>
          <w:b/>
          <w:color w:val="000000"/>
          <w:sz w:val="32"/>
          <w:szCs w:val="32"/>
        </w:rPr>
        <w:t xml:space="preserve"> 四、资产管理情况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color w:val="000000"/>
          <w:sz w:val="32"/>
          <w:szCs w:val="32"/>
        </w:rPr>
        <w:t>本部门2022年度在资产管理方面严格按照资产管理办法进行，对资产申购、采购、分配、保管、处置及责任赔偿等进行了规定。对</w:t>
      </w:r>
      <w:r>
        <w:rPr>
          <w:rFonts w:hint="eastAsia" w:ascii="仿宋" w:hAnsi="仿宋" w:eastAsia="仿宋" w:cs="仿宋_GB2312"/>
          <w:kern w:val="0"/>
          <w:sz w:val="32"/>
          <w:szCs w:val="32"/>
        </w:rPr>
        <w:t>固定资产实物实行“一物一卡一条码”数据管理</w:t>
      </w:r>
      <w:r>
        <w:rPr>
          <w:rFonts w:hint="eastAsia" w:ascii="仿宋" w:hAnsi="仿宋" w:eastAsia="仿宋" w:cs="仿宋_GB2312"/>
          <w:sz w:val="32"/>
          <w:szCs w:val="32"/>
        </w:rPr>
        <w:t>。资产配置按照“合法依规、保障需要、节约开支、从严控制、调剂优先、共享共用”的原则。本单位资产全部在用，账实相符。对于</w:t>
      </w:r>
      <w:r>
        <w:rPr>
          <w:rFonts w:hint="eastAsia" w:ascii="仿宋" w:hAnsi="仿宋" w:eastAsia="仿宋" w:cs="仿宋_GB2312"/>
          <w:kern w:val="0"/>
          <w:sz w:val="32"/>
          <w:szCs w:val="32"/>
        </w:rPr>
        <w:t>国有资产的处置按照对于资产的管理办法进行，但也存在着处置不及时，人员调动时资产使用人的变更登记不及时、交接手续不全等问题。</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截止2022年12月31日，本部门固定资产账面价值83.87万元，本部门共有公务用车0 辆，其中，机要通信用车0辆，应急保障用0 辆，执法执勤用车 0辆，特种专业技术用车0辆，其他按照规定配备的公务用车 0 辆；单位价值50万元以上通用设备 0台，单位价值100万元以上专用设备 0台。2023年拟新增配置公务用车0 辆，其中，机要通信用车0 辆，应急保障用车0辆，执法执勤用车0辆，特种专业技术用车 0辆，其他按照规定配备的公务用车0辆；新增配备单位价值50万元以上通用设备0台，单位价值100万元以上专用设备0台。</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固定资产年末价值83.87万元，同比上年减少3.34万元，主要是计提固定资产折旧3.34万元。其中资产报废0万元，资产增加3.24万元，为办公沙发、柜子、桌椅等办公家具购置。没有无形资产、大型设备、土地，无出租出借资产，无对外投资资产等。</w:t>
      </w:r>
    </w:p>
    <w:p>
      <w:pPr>
        <w:spacing w:line="600" w:lineRule="exact"/>
        <w:ind w:firstLine="640" w:firstLineChars="200"/>
        <w:rPr>
          <w:rFonts w:ascii="仿宋" w:hAnsi="仿宋" w:eastAsia="仿宋" w:cs="仿宋_GB2312"/>
          <w:color w:val="000000"/>
          <w:sz w:val="32"/>
          <w:szCs w:val="32"/>
        </w:rPr>
      </w:pPr>
    </w:p>
    <w:p>
      <w:pPr>
        <w:pStyle w:val="5"/>
        <w:shd w:val="clear" w:color="auto" w:fill="FFFFFF"/>
        <w:spacing w:before="0" w:beforeAutospacing="0" w:after="0" w:afterAutospacing="0" w:line="600" w:lineRule="exact"/>
        <w:ind w:firstLine="482" w:firstLineChars="150"/>
        <w:jc w:val="both"/>
        <w:rPr>
          <w:rFonts w:ascii="仿宋" w:hAnsi="仿宋" w:eastAsia="仿宋" w:cs="黑体"/>
          <w:b/>
          <w:color w:val="000000"/>
          <w:sz w:val="32"/>
          <w:szCs w:val="32"/>
        </w:rPr>
      </w:pPr>
      <w:r>
        <w:rPr>
          <w:rFonts w:hint="eastAsia" w:ascii="仿宋" w:hAnsi="仿宋" w:eastAsia="仿宋" w:cs="黑体"/>
          <w:b/>
          <w:color w:val="000000"/>
          <w:sz w:val="32"/>
          <w:szCs w:val="32"/>
        </w:rPr>
        <w:t xml:space="preserve"> 五、部门整体支出绩效情况</w:t>
      </w:r>
    </w:p>
    <w:p>
      <w:pPr>
        <w:pStyle w:val="5"/>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 w:hAnsi="仿宋" w:eastAsia="仿宋"/>
          <w:sz w:val="32"/>
          <w:szCs w:val="32"/>
        </w:rPr>
        <w:t>2022年，</w:t>
      </w:r>
      <w:r>
        <w:rPr>
          <w:rFonts w:hint="eastAsia" w:ascii="仿宋" w:hAnsi="仿宋" w:eastAsia="仿宋" w:cs="仿宋_GB2312"/>
          <w:sz w:val="32"/>
          <w:szCs w:val="32"/>
        </w:rPr>
        <w:t>在县委县政府精心的部署和领导下，在各部门通力配合和帮助下，围绕全面</w:t>
      </w:r>
      <w:r>
        <w:rPr>
          <w:rFonts w:hint="eastAsia" w:ascii="仿宋" w:hAnsi="仿宋" w:eastAsia="仿宋"/>
          <w:color w:val="000000"/>
          <w:sz w:val="32"/>
          <w:szCs w:val="32"/>
          <w:shd w:val="clear" w:color="auto" w:fill="FFFFFF"/>
        </w:rPr>
        <w:t>推动国内国际双循环相互促进的新格局</w:t>
      </w:r>
      <w:r>
        <w:rPr>
          <w:rFonts w:hint="eastAsia" w:ascii="仿宋" w:hAnsi="仿宋" w:eastAsia="仿宋" w:cs="仿宋_GB2312"/>
          <w:sz w:val="32"/>
          <w:szCs w:val="32"/>
        </w:rPr>
        <w:t>，积极承接产业转移，克服疫情负面影响，抓好各项工作再上新台阶的工作思路，我局全面落实县《政府工作报告》下达的各项目标任务,</w:t>
      </w:r>
      <w:r>
        <w:rPr>
          <w:rFonts w:hint="eastAsia" w:ascii="仿宋" w:hAnsi="仿宋" w:eastAsia="仿宋"/>
          <w:sz w:val="32"/>
          <w:szCs w:val="32"/>
        </w:rPr>
        <w:t>统筹推进疫情防控和商务经济发展，较好地完成了各项工作任务。</w:t>
      </w:r>
    </w:p>
    <w:p>
      <w:pPr>
        <w:autoSpaceDE w:val="0"/>
        <w:spacing w:line="540" w:lineRule="exact"/>
        <w:ind w:firstLine="643" w:firstLineChars="200"/>
        <w:contextualSpacing/>
        <w:rPr>
          <w:rFonts w:ascii="仿宋" w:hAnsi="仿宋" w:eastAsia="仿宋" w:cs="仿宋_GB2312"/>
          <w:sz w:val="32"/>
          <w:szCs w:val="32"/>
        </w:rPr>
      </w:pPr>
      <w:r>
        <w:rPr>
          <w:rFonts w:hint="eastAsia" w:ascii="仿宋" w:hAnsi="仿宋" w:eastAsia="仿宋"/>
          <w:b/>
          <w:sz w:val="32"/>
          <w:szCs w:val="32"/>
        </w:rPr>
        <w:t xml:space="preserve"> 1</w:t>
      </w:r>
      <w:r>
        <w:rPr>
          <w:rFonts w:hint="eastAsia" w:ascii="仿宋" w:hAnsi="仿宋" w:eastAsia="仿宋"/>
          <w:b/>
          <w:bCs/>
          <w:sz w:val="32"/>
          <w:szCs w:val="32"/>
        </w:rPr>
        <w:t>.</w:t>
      </w:r>
      <w:r>
        <w:rPr>
          <w:rFonts w:hint="eastAsia" w:ascii="仿宋" w:hAnsi="仿宋" w:eastAsia="仿宋"/>
          <w:b/>
          <w:sz w:val="32"/>
          <w:szCs w:val="32"/>
        </w:rPr>
        <w:t>社会消费品零售工作。</w:t>
      </w:r>
      <w:r>
        <w:rPr>
          <w:rFonts w:hint="eastAsia" w:ascii="仿宋" w:hAnsi="仿宋" w:eastAsia="仿宋" w:cs="仿宋_GB2312"/>
          <w:sz w:val="32"/>
          <w:szCs w:val="32"/>
        </w:rPr>
        <w:t>2022年全县完成社会消费品零售总额70多亿元，同比增速2.41%。</w:t>
      </w:r>
      <w:r>
        <w:rPr>
          <w:rFonts w:hint="eastAsia" w:ascii="仿宋" w:hAnsi="仿宋" w:eastAsia="仿宋" w:cs="仿宋_GB2312"/>
          <w:bCs/>
          <w:sz w:val="32"/>
          <w:szCs w:val="32"/>
        </w:rPr>
        <w:t>社会消费品零售总额在全市排名第三,</w:t>
      </w:r>
      <w:r>
        <w:rPr>
          <w:rFonts w:hint="eastAsia" w:ascii="仿宋" w:hAnsi="仿宋" w:eastAsia="仿宋"/>
          <w:sz w:val="32"/>
          <w:szCs w:val="32"/>
        </w:rPr>
        <w:t xml:space="preserve"> 高于全市平均水平1.1%,</w:t>
      </w:r>
      <w:r>
        <w:rPr>
          <w:rFonts w:hint="eastAsia" w:ascii="仿宋" w:hAnsi="仿宋" w:eastAsia="仿宋"/>
        </w:rPr>
        <w:t xml:space="preserve"> </w:t>
      </w:r>
      <w:r>
        <w:rPr>
          <w:rFonts w:hint="eastAsia" w:ascii="仿宋" w:hAnsi="仿宋" w:eastAsia="仿宋"/>
          <w:sz w:val="32"/>
          <w:szCs w:val="32"/>
        </w:rPr>
        <w:t>其中批发业完成17亿多元，同比增长0.89%；零售业完成40多亿元，同比增长3.16%；住宿业完成6亿多元，同比增长0.93%；餐饮业完成13亿多元，同比增长2.9%。限额以上批发企业完成1家，零售企业完成4家，限额以上住宿企业完成1家，100%完成全年目标任务。目前在统计库的企业有35家，批发业4家，零售业24家，住宿业6家，餐饮业1家。</w:t>
      </w:r>
    </w:p>
    <w:p>
      <w:pPr>
        <w:autoSpaceDE w:val="0"/>
        <w:spacing w:line="540" w:lineRule="exact"/>
        <w:ind w:firstLine="643" w:firstLineChars="200"/>
        <w:contextualSpacing/>
        <w:rPr>
          <w:rFonts w:ascii="仿宋" w:hAnsi="仿宋" w:eastAsia="仿宋" w:cs="仿宋_GB2312"/>
          <w:sz w:val="32"/>
          <w:szCs w:val="32"/>
        </w:rPr>
      </w:pPr>
      <w:r>
        <w:rPr>
          <w:rFonts w:hint="eastAsia" w:ascii="仿宋" w:hAnsi="仿宋" w:eastAsia="仿宋"/>
          <w:b/>
          <w:sz w:val="32"/>
          <w:szCs w:val="32"/>
        </w:rPr>
        <w:t>2</w:t>
      </w:r>
      <w:r>
        <w:rPr>
          <w:rFonts w:hint="eastAsia" w:ascii="仿宋" w:hAnsi="仿宋" w:eastAsia="仿宋"/>
          <w:b/>
          <w:bCs/>
          <w:sz w:val="32"/>
          <w:szCs w:val="32"/>
        </w:rPr>
        <w:t>.外经</w:t>
      </w:r>
      <w:r>
        <w:rPr>
          <w:rFonts w:hint="eastAsia" w:ascii="仿宋" w:hAnsi="仿宋" w:eastAsia="仿宋"/>
          <w:b/>
          <w:sz w:val="32"/>
          <w:szCs w:val="32"/>
        </w:rPr>
        <w:t>外贸工作。</w:t>
      </w:r>
      <w:r>
        <w:rPr>
          <w:rFonts w:hint="eastAsia" w:ascii="仿宋" w:hAnsi="仿宋" w:eastAsia="仿宋"/>
          <w:sz w:val="32"/>
          <w:szCs w:val="32"/>
        </w:rPr>
        <w:t>全县完成外贸进出口总额2亿多元，同比增长297%，完成市局任务的135%，全市县市区内排名第二</w:t>
      </w:r>
      <w:r>
        <w:rPr>
          <w:rFonts w:hint="eastAsia" w:ascii="仿宋" w:hAnsi="仿宋" w:eastAsia="仿宋" w:cs="仿宋_GB2312"/>
          <w:sz w:val="32"/>
          <w:szCs w:val="32"/>
        </w:rPr>
        <w:t>。2022年全县完成外贸经营备案登记23家，全县全力推进服务贸易深层次改革，多方优化营商环境，鼓励企业加强科研，提升产品市场竞争力，全力开拓市场，扩大业务规模，借助产业推动服务贸易发展。</w:t>
      </w:r>
      <w:r>
        <w:rPr>
          <w:rFonts w:hint="eastAsia" w:ascii="仿宋" w:hAnsi="仿宋" w:eastAsia="仿宋"/>
          <w:sz w:val="32"/>
          <w:szCs w:val="32"/>
        </w:rPr>
        <w:t>怀化市煜江电子科技有限公司、怀化“溆化”进出口贸易有限公司等10家企业主要出口地为美国、越南、韩国、日本、巴西等国家。</w:t>
      </w:r>
    </w:p>
    <w:p>
      <w:pPr>
        <w:shd w:val="clear" w:color="auto" w:fill="FFFFFF"/>
        <w:spacing w:line="540" w:lineRule="exact"/>
        <w:ind w:firstLine="643" w:firstLineChars="200"/>
        <w:contextualSpacing/>
        <w:outlineLvl w:val="0"/>
        <w:rPr>
          <w:rFonts w:ascii="仿宋" w:hAnsi="仿宋" w:eastAsia="仿宋" w:cs="仿宋_GB2312"/>
          <w:sz w:val="32"/>
          <w:szCs w:val="32"/>
        </w:rPr>
      </w:pPr>
      <w:r>
        <w:rPr>
          <w:rFonts w:hint="eastAsia" w:ascii="仿宋" w:hAnsi="仿宋" w:eastAsia="仿宋"/>
          <w:b/>
          <w:sz w:val="32"/>
          <w:szCs w:val="32"/>
        </w:rPr>
        <w:t>3</w:t>
      </w:r>
      <w:r>
        <w:rPr>
          <w:rFonts w:hint="eastAsia" w:ascii="仿宋" w:hAnsi="仿宋" w:eastAsia="仿宋"/>
          <w:b/>
          <w:bCs/>
          <w:sz w:val="32"/>
          <w:szCs w:val="32"/>
        </w:rPr>
        <w:t>.</w:t>
      </w:r>
      <w:r>
        <w:rPr>
          <w:rFonts w:hint="eastAsia" w:ascii="仿宋" w:hAnsi="仿宋" w:eastAsia="仿宋"/>
          <w:b/>
          <w:sz w:val="32"/>
          <w:szCs w:val="32"/>
        </w:rPr>
        <w:t>招商引资工作。</w:t>
      </w:r>
      <w:r>
        <w:rPr>
          <w:rFonts w:hint="eastAsia" w:ascii="仿宋" w:hAnsi="仿宋" w:eastAsia="仿宋"/>
          <w:sz w:val="32"/>
          <w:szCs w:val="32"/>
        </w:rPr>
        <w:t>2022年，</w:t>
      </w:r>
      <w:r>
        <w:rPr>
          <w:rFonts w:hint="eastAsia" w:ascii="仿宋" w:hAnsi="仿宋" w:eastAsia="仿宋" w:cs="楷体_GB2312"/>
          <w:bCs/>
          <w:sz w:val="32"/>
          <w:szCs w:val="32"/>
        </w:rPr>
        <w:t>领导带头外出招商，加快推进项目落地。</w:t>
      </w:r>
      <w:r>
        <w:rPr>
          <w:rFonts w:hint="eastAsia" w:ascii="仿宋" w:hAnsi="仿宋" w:eastAsia="仿宋" w:cs="仿宋_GB2312"/>
          <w:sz w:val="32"/>
          <w:szCs w:val="32"/>
        </w:rPr>
        <w:t>县委、县政府主要领导先后13次带队赴贵州贵阳、安顺、浙江省嘉兴市、浦江市、义乌市、广东东莞、中山、内蒙古乌海、江西及长沙等地开展专题招商活动，先后引进项目24个，7月22日，在雨花区举办了“聚力产业协作、赋能乡村振兴”招商活动，现场与7个项目完成签约，引资20多亿元。我县招商引资工作先后4次在省市招商引资工作推进会上作典型发言。</w:t>
      </w:r>
    </w:p>
    <w:p>
      <w:pPr>
        <w:spacing w:line="54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sz w:val="32"/>
          <w:szCs w:val="32"/>
        </w:rPr>
        <w:t>2022年</w:t>
      </w:r>
      <w:r>
        <w:rPr>
          <w:rFonts w:hint="eastAsia" w:ascii="仿宋" w:hAnsi="仿宋" w:eastAsia="仿宋"/>
          <w:sz w:val="32"/>
          <w:szCs w:val="32"/>
        </w:rPr>
        <w:t>全县共实施境内省外招商引资项目43个（含续建项目22个），合同引进资金60多亿元，到位资金50多亿元，完成年度任务的101.16</w:t>
      </w:r>
      <w:r>
        <w:rPr>
          <w:rFonts w:ascii="仿宋" w:hAnsi="仿宋" w:eastAsia="仿宋"/>
          <w:sz w:val="32"/>
          <w:szCs w:val="32"/>
        </w:rPr>
        <w:t>%</w:t>
      </w:r>
      <w:r>
        <w:rPr>
          <w:rFonts w:hint="eastAsia" w:ascii="仿宋" w:hAnsi="仿宋" w:eastAsia="仿宋"/>
          <w:sz w:val="32"/>
          <w:szCs w:val="32"/>
        </w:rPr>
        <w:t>。新引进重大项目21个，其中合同引资额</w:t>
      </w:r>
      <w:r>
        <w:rPr>
          <w:rFonts w:ascii="仿宋" w:hAnsi="仿宋" w:eastAsia="仿宋"/>
          <w:sz w:val="32"/>
          <w:szCs w:val="32"/>
        </w:rPr>
        <w:t>2</w:t>
      </w:r>
      <w:r>
        <w:rPr>
          <w:rFonts w:hint="eastAsia" w:ascii="仿宋" w:hAnsi="仿宋" w:eastAsia="仿宋"/>
          <w:sz w:val="32"/>
          <w:szCs w:val="32"/>
        </w:rPr>
        <w:t>至10亿元的7个，完成全年任务的175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亿元以上的4个，完成全年任务的200</w:t>
      </w:r>
      <w:r>
        <w:rPr>
          <w:rFonts w:ascii="仿宋" w:hAnsi="仿宋" w:eastAsia="仿宋"/>
          <w:sz w:val="32"/>
          <w:szCs w:val="32"/>
        </w:rPr>
        <w:t>%</w:t>
      </w:r>
      <w:r>
        <w:rPr>
          <w:rFonts w:hint="eastAsia" w:ascii="仿宋" w:hAnsi="仿宋" w:eastAsia="仿宋"/>
          <w:sz w:val="32"/>
          <w:szCs w:val="32"/>
        </w:rPr>
        <w:t>，新引进三类500强项目5个，完成年度任务的166.67%,实现了引进项目和资金的持续增长。同时积极融入怀化国际陆港建设。</w:t>
      </w:r>
      <w:r>
        <w:rPr>
          <w:rFonts w:hint="eastAsia" w:ascii="仿宋" w:hAnsi="仿宋" w:eastAsia="仿宋" w:cs="仿宋_GB2312"/>
          <w:sz w:val="32"/>
          <w:szCs w:val="32"/>
        </w:rPr>
        <w:t>为开展好集货工作，我局先后10余次同怀化市商务局、怀化国际陆港、广铁集团怀化西货运站等主动汇报对接，并经深入走访企业和查找资料，先后形成《中国—东盟贸易现状》、《溆浦县货源调查表》，并起草出台了《溆浦县商务局关于积极融入对接怀化国际陆港建设加快推动高水平开放高质量发展的实施方案》。</w:t>
      </w:r>
      <w:r>
        <w:rPr>
          <w:rFonts w:hint="eastAsia" w:ascii="仿宋" w:hAnsi="仿宋" w:eastAsia="仿宋" w:cs="仿宋_GB2312"/>
          <w:color w:val="000000"/>
          <w:sz w:val="32"/>
          <w:szCs w:val="32"/>
        </w:rPr>
        <w:t>完成了溆浦化工产品铁海联运班列首发。</w:t>
      </w:r>
    </w:p>
    <w:p>
      <w:pPr>
        <w:spacing w:line="540" w:lineRule="exact"/>
        <w:ind w:firstLine="643" w:firstLineChars="200"/>
        <w:contextualSpacing/>
        <w:rPr>
          <w:rFonts w:ascii="仿宋" w:hAnsi="仿宋" w:eastAsia="仿宋"/>
          <w:sz w:val="32"/>
          <w:szCs w:val="32"/>
        </w:rPr>
      </w:pPr>
      <w:r>
        <w:rPr>
          <w:rFonts w:hint="eastAsia" w:ascii="仿宋" w:hAnsi="仿宋" w:eastAsia="仿宋"/>
          <w:b/>
          <w:sz w:val="32"/>
          <w:szCs w:val="32"/>
        </w:rPr>
        <w:t>4</w:t>
      </w:r>
      <w:r>
        <w:rPr>
          <w:rFonts w:hint="eastAsia" w:ascii="仿宋" w:hAnsi="仿宋" w:eastAsia="仿宋"/>
          <w:b/>
          <w:bCs/>
          <w:sz w:val="32"/>
          <w:szCs w:val="32"/>
        </w:rPr>
        <w:t>.</w:t>
      </w:r>
      <w:r>
        <w:rPr>
          <w:rFonts w:hint="eastAsia" w:ascii="仿宋" w:hAnsi="仿宋" w:eastAsia="仿宋"/>
          <w:b/>
          <w:sz w:val="32"/>
          <w:szCs w:val="32"/>
        </w:rPr>
        <w:t>固定资产投资和重点项目入库工作。</w:t>
      </w:r>
      <w:r>
        <w:rPr>
          <w:rFonts w:hint="eastAsia" w:ascii="仿宋" w:hAnsi="仿宋" w:eastAsia="仿宋" w:cs="仿宋_GB2312"/>
          <w:sz w:val="32"/>
          <w:szCs w:val="32"/>
        </w:rPr>
        <w:t>2022年全年</w:t>
      </w:r>
      <w:r>
        <w:rPr>
          <w:rFonts w:hint="eastAsia" w:ascii="仿宋" w:hAnsi="仿宋" w:eastAsia="仿宋"/>
          <w:sz w:val="32"/>
          <w:szCs w:val="32"/>
        </w:rPr>
        <w:t>，固定资产投资项目入统任务5亿多元，已完成任务的145.8%。重点项目</w:t>
      </w:r>
      <w:r>
        <w:rPr>
          <w:rFonts w:hint="eastAsia" w:ascii="仿宋" w:hAnsi="仿宋" w:eastAsia="仿宋" w:cs="仿宋_GB2312"/>
          <w:sz w:val="32"/>
          <w:szCs w:val="32"/>
        </w:rPr>
        <w:t>有市级重点项目恒辉万达商业综合体项目，已于2022年8月18日开业运营;城中、城南农贸市场提质改造项目于2023年春节前顺利完工并投入使用。</w:t>
      </w:r>
      <w:r>
        <w:rPr>
          <w:rFonts w:hint="eastAsia" w:ascii="仿宋" w:hAnsi="仿宋" w:eastAsia="仿宋"/>
          <w:sz w:val="32"/>
          <w:szCs w:val="32"/>
        </w:rPr>
        <w:t>截止目前，已有滨江酒店、农贸市场标准化改造、龙潭龙泉酒店、观音阁加油站、农机加油站5个重点项目入库，溆浦君屿酒店、双井废旧轮胎口圈回收项目已完成资料上报，正在走名录库。</w:t>
      </w:r>
    </w:p>
    <w:p>
      <w:pPr>
        <w:spacing w:line="540" w:lineRule="exact"/>
        <w:ind w:firstLine="643" w:firstLineChars="200"/>
        <w:contextualSpacing/>
        <w:rPr>
          <w:rFonts w:ascii="仿宋" w:hAnsi="仿宋" w:eastAsia="仿宋" w:cs="仿宋_GB2312"/>
          <w:sz w:val="32"/>
          <w:szCs w:val="32"/>
        </w:rPr>
      </w:pPr>
      <w:r>
        <w:rPr>
          <w:rFonts w:hint="eastAsia" w:ascii="仿宋" w:hAnsi="仿宋" w:eastAsia="仿宋"/>
          <w:b/>
          <w:sz w:val="32"/>
          <w:szCs w:val="32"/>
        </w:rPr>
        <w:t>5</w:t>
      </w:r>
      <w:r>
        <w:rPr>
          <w:rFonts w:hint="eastAsia" w:ascii="仿宋" w:hAnsi="仿宋" w:eastAsia="仿宋"/>
          <w:b/>
          <w:bCs/>
          <w:sz w:val="32"/>
          <w:szCs w:val="32"/>
        </w:rPr>
        <w:t>.</w:t>
      </w:r>
      <w:r>
        <w:rPr>
          <w:rFonts w:hint="eastAsia" w:ascii="仿宋" w:hAnsi="仿宋" w:eastAsia="仿宋"/>
          <w:b/>
          <w:sz w:val="32"/>
          <w:szCs w:val="32"/>
        </w:rPr>
        <w:t>完善电商基础工作，持续完善商业体系。</w:t>
      </w:r>
      <w:r>
        <w:rPr>
          <w:rFonts w:hint="eastAsia" w:ascii="仿宋" w:hAnsi="仿宋" w:eastAsia="仿宋" w:cs="仿宋_GB2312"/>
          <w:sz w:val="32"/>
          <w:szCs w:val="32"/>
        </w:rPr>
        <w:t>成立了怀化市首个跨境电商综合服务中心，新培育开展跨境电商业务企业4家。改组成立溆浦县电子商务行业协会，入会电商企业45家。新培育传统企业发展电子商务10家。2022年全县电子商务交易额完成40多亿元，同比增长5%以上。为支持商贸流通产业发展，促进消费，扶持和鼓励商贸流通产业及服务业企业不断做大做强，我局先后出台《关于应对新冠肺炎疫情促进商贸流通企业发展的政策措施》《关于扶持现代服务业发展的若干规定》等政策措施。麦当劳、必胜客、国美、富士等知名商贸企业先后入驻；万达广场、穗鑫汽贸城、城北一号商业广场等一批重点商贸物流项目相继建成营业；溆浦国际大酒店、中通（湘西）智能科技物流产业园、醇香果业仓储冷链等一批重点商贸物流项目建设顺利推进。县城农贸市场标准化建设项目正在进行，12月份可以投入使用。9月9日-11日，雨花区和溆浦两地商务局分别在雨花区德思勤广场和溆浦万达广场开展中秋特别活动，得到国务院督查组高度肯定。“‘溆’势待发</w:t>
      </w:r>
      <w:r>
        <w:rPr>
          <w:rFonts w:hint="eastAsia" w:ascii="仿宋" w:hAnsi="仿宋" w:eastAsia="仿宋" w:cs="新宋体"/>
          <w:sz w:val="32"/>
          <w:szCs w:val="32"/>
        </w:rPr>
        <w:t>·‘</w:t>
      </w:r>
      <w:r>
        <w:rPr>
          <w:rFonts w:hint="eastAsia" w:ascii="仿宋" w:hAnsi="仿宋" w:eastAsia="仿宋" w:cs="仿宋_GB2312"/>
          <w:sz w:val="32"/>
          <w:szCs w:val="32"/>
        </w:rPr>
        <w:t>浦’面而来”2022年嗨购消费季暨万达广场开业为主题的促消费活动作为消费创新典型案例被推荐至国家商务部。同时</w:t>
      </w:r>
      <w:r>
        <w:rPr>
          <w:rFonts w:hint="eastAsia" w:ascii="仿宋" w:hAnsi="仿宋" w:eastAsia="仿宋"/>
          <w:sz w:val="32"/>
          <w:szCs w:val="32"/>
        </w:rPr>
        <w:t>深化与电商大平台合作，创新发展电商新业态新模式，</w:t>
      </w:r>
      <w:r>
        <w:rPr>
          <w:rFonts w:hint="eastAsia" w:ascii="仿宋" w:hAnsi="仿宋" w:eastAsia="仿宋" w:cs="仿宋_GB2312"/>
          <w:sz w:val="32"/>
          <w:szCs w:val="32"/>
        </w:rPr>
        <w:t>引导企业加强与淘宝、拼多多等全国知名电商平台合作，利用乡村振兴，积极与雨花去对接电商工作，在高桥自贸区开设了电商直播间，为我县企业及个人提供的平台。为企业做好指导服务工作，宣传“互联网+”的发展形势，传达省市跨境电商扶持政策，鼓励外贸企业积极转型跨境电商，组织企业积极参加市跨境电商业务培训，四家企业与跨境电商培训机构签订合作协议。目前工业园已有4家企业正在转型做跨境电商，2家企业即将开通阿里巴巴国家站直播间。</w:t>
      </w:r>
    </w:p>
    <w:p>
      <w:pPr>
        <w:spacing w:line="540" w:lineRule="exact"/>
        <w:ind w:firstLine="643" w:firstLineChars="200"/>
        <w:contextualSpacing/>
        <w:rPr>
          <w:rFonts w:ascii="仿宋" w:hAnsi="仿宋" w:eastAsia="仿宋"/>
          <w:b/>
          <w:sz w:val="32"/>
          <w:szCs w:val="32"/>
        </w:rPr>
      </w:pPr>
      <w:r>
        <w:rPr>
          <w:rFonts w:hint="eastAsia" w:ascii="仿宋" w:hAnsi="仿宋" w:eastAsia="仿宋"/>
          <w:b/>
          <w:sz w:val="32"/>
          <w:szCs w:val="32"/>
        </w:rPr>
        <w:t>6.成品油市场和安全生产工作。</w:t>
      </w:r>
      <w:r>
        <w:rPr>
          <w:rFonts w:hint="eastAsia" w:ascii="仿宋" w:hAnsi="仿宋" w:eastAsia="仿宋"/>
          <w:sz w:val="32"/>
          <w:szCs w:val="32"/>
        </w:rPr>
        <w:t>2022年对本系统管辖的各大市场、商场、成品油加油站（点）超市等人口密集场所，进行多项检查、排查摸底185家次，共排查出各类隐患162处，按照“一单四制”的要求，对查出的每条隐患都记录在案，对检查中出现的事故隐患整改情况认真进行“回头看”，通过督促整改，目前发现的162处安全隐患均已整改到位，有效防范了商贸领域安全生产事故的发生。成品油市场方面，5月底前全面完成了43个加油站（点）的年审和申报工作；申报新建加油站3座，更改加油站法人2家；加油站地下油罐更新改造4座。</w:t>
      </w:r>
    </w:p>
    <w:p>
      <w:pPr>
        <w:spacing w:line="540" w:lineRule="exact"/>
        <w:ind w:firstLine="643" w:firstLineChars="200"/>
        <w:contextualSpacing/>
        <w:rPr>
          <w:rFonts w:ascii="仿宋" w:hAnsi="仿宋" w:eastAsia="仿宋"/>
          <w:b/>
          <w:sz w:val="32"/>
          <w:szCs w:val="32"/>
        </w:rPr>
      </w:pPr>
    </w:p>
    <w:p>
      <w:pPr>
        <w:spacing w:line="540" w:lineRule="exact"/>
        <w:ind w:firstLine="643" w:firstLineChars="200"/>
        <w:contextualSpacing/>
        <w:rPr>
          <w:rFonts w:ascii="仿宋" w:hAnsi="仿宋" w:eastAsia="仿宋" w:cs="仿宋_GB2312"/>
          <w:color w:val="000000"/>
          <w:sz w:val="32"/>
          <w:szCs w:val="32"/>
        </w:rPr>
      </w:pPr>
      <w:r>
        <w:rPr>
          <w:rFonts w:hint="eastAsia" w:ascii="仿宋" w:hAnsi="仿宋" w:eastAsia="仿宋" w:cs="仿宋_GB2312"/>
          <w:b/>
          <w:sz w:val="32"/>
          <w:szCs w:val="32"/>
        </w:rPr>
        <w:t>7、其他工作齐头并进。</w:t>
      </w:r>
      <w:r>
        <w:rPr>
          <w:rFonts w:hint="eastAsia" w:ascii="仿宋" w:hAnsi="仿宋" w:eastAsia="仿宋" w:cs="仿宋_GB2312"/>
          <w:sz w:val="32"/>
          <w:szCs w:val="32"/>
        </w:rPr>
        <w:t>2022年在做好本部门主要目标任务的同时，积极做好县直单位基层党建和意识形态责任“双述双评”工作。</w:t>
      </w:r>
      <w:r>
        <w:rPr>
          <w:rFonts w:hint="eastAsia" w:ascii="仿宋" w:hAnsi="仿宋" w:eastAsia="仿宋"/>
          <w:sz w:val="32"/>
          <w:szCs w:val="32"/>
        </w:rPr>
        <w:t>同时做好脱贫攻坚与乡村振兴的有效衔接等其他工作。</w:t>
      </w:r>
    </w:p>
    <w:p>
      <w:pPr>
        <w:pStyle w:val="5"/>
        <w:shd w:val="clear" w:color="auto" w:fill="FFFFFF"/>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六、存在的主要问题</w:t>
      </w:r>
    </w:p>
    <w:p>
      <w:pPr>
        <w:pStyle w:val="5"/>
        <w:shd w:val="clear" w:color="auto" w:fill="FFFFFF"/>
        <w:rPr>
          <w:rFonts w:ascii="仿宋" w:hAnsi="仿宋" w:eastAsia="仿宋" w:cs="黑体"/>
          <w:color w:val="000000"/>
          <w:sz w:val="32"/>
          <w:szCs w:val="32"/>
        </w:rPr>
      </w:pPr>
      <w:r>
        <w:rPr>
          <w:rFonts w:hint="eastAsia" w:ascii="仿宋" w:hAnsi="仿宋" w:eastAsia="仿宋" w:cs="黑体"/>
          <w:b/>
          <w:color w:val="000000"/>
          <w:sz w:val="32"/>
          <w:szCs w:val="32"/>
        </w:rPr>
        <w:t xml:space="preserve">    </w:t>
      </w:r>
      <w:r>
        <w:rPr>
          <w:rFonts w:hint="eastAsia" w:ascii="仿宋" w:hAnsi="仿宋" w:eastAsia="仿宋" w:cs="黑体"/>
          <w:color w:val="000000"/>
          <w:sz w:val="32"/>
          <w:szCs w:val="32"/>
        </w:rPr>
        <w:t xml:space="preserve"> 2022年本部门预算整体支出虽基本保证了单位的正常运和职能履行，但在预算执行中还存在一些困难和问题：单位基本支出预算由于人员少，基数低，加之执行减压一般性支出的规定，公用经费缺口大，财政预算严重不足，但工作任务仍然繁重，不利于全县商务工作的推动与发展。在资产管理方面也存在着一些不足 ，主要是重购置轻管理的思想存在，在人员变动时，没有进行资产移交手续，制度不完善，造成资产账物不清。</w:t>
      </w:r>
    </w:p>
    <w:p>
      <w:pPr>
        <w:pStyle w:val="5"/>
        <w:shd w:val="clear" w:color="auto" w:fill="FFFFFF"/>
        <w:rPr>
          <w:rFonts w:ascii="仿宋" w:hAnsi="仿宋" w:eastAsia="仿宋" w:cs="黑体"/>
          <w:color w:val="000000"/>
          <w:sz w:val="32"/>
          <w:szCs w:val="32"/>
        </w:rPr>
      </w:pPr>
      <w:r>
        <w:rPr>
          <w:rFonts w:hint="eastAsia" w:ascii="仿宋" w:hAnsi="仿宋" w:eastAsia="仿宋" w:cs="黑体"/>
          <w:color w:val="000000"/>
          <w:sz w:val="32"/>
          <w:szCs w:val="32"/>
        </w:rPr>
        <w:t xml:space="preserve">    </w:t>
      </w:r>
      <w:r>
        <w:rPr>
          <w:rFonts w:hint="eastAsia" w:ascii="仿宋" w:hAnsi="仿宋" w:eastAsia="仿宋" w:cs="仿宋_GB2312"/>
          <w:b/>
          <w:color w:val="000000"/>
          <w:sz w:val="32"/>
          <w:szCs w:val="32"/>
        </w:rPr>
        <w:t>七、改进措施及有关建议</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针对存在的问题及整体支出管理工作的需要，拟提出以下改进措施。</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color w:val="000000"/>
          <w:kern w:val="0"/>
          <w:sz w:val="32"/>
          <w:szCs w:val="32"/>
        </w:rPr>
        <w:t>1.科学合理编制预算，严格执行预算。严格按照预算编制的相关制度和要求，本着“勤俭节约、保障运转”的原则进行预算的编制；编制范围尽可能的全面；在预算编制时首先需满足固定性的、相对刚性的费用支出项目，尽量压缩变动性的、有控制空间的费用项目；进一步提高预算编制的科学性、合理性和可控性。</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2、加强固定资产管理工作。</w:t>
      </w:r>
    </w:p>
    <w:p>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加大单位固定资产的日常监管力度，单位固定资产的采购、使用、报损和报废要严格按流程进行，让单位的资产管理有章可循。对固定资产进行定期不定期检查核对，确保资产账实相符。</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color w:val="000000"/>
          <w:kern w:val="0"/>
          <w:sz w:val="32"/>
          <w:szCs w:val="32"/>
        </w:rPr>
        <w:t>3、加强财务管理。</w:t>
      </w:r>
      <w:r>
        <w:rPr>
          <w:rFonts w:hint="eastAsia" w:ascii="仿宋" w:hAnsi="仿宋" w:eastAsia="仿宋" w:cs="仿宋_GB2312"/>
          <w:sz w:val="32"/>
          <w:szCs w:val="32"/>
        </w:rPr>
        <w:t>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640" w:firstLineChars="200"/>
        <w:rPr>
          <w:rFonts w:ascii="仿宋" w:hAnsi="仿宋" w:eastAsia="仿宋"/>
          <w:bCs/>
          <w:sz w:val="32"/>
          <w:szCs w:val="32"/>
        </w:rPr>
      </w:pPr>
    </w:p>
    <w:p>
      <w:pPr>
        <w:pStyle w:val="5"/>
        <w:shd w:val="clear" w:color="auto" w:fill="FFFFFF"/>
        <w:ind w:left="5280" w:hanging="5280" w:hangingChars="1650"/>
        <w:rPr>
          <w:rFonts w:ascii="仿宋" w:hAnsi="仿宋" w:eastAsia="仿宋" w:cs="黑体"/>
          <w:b/>
          <w:color w:val="000000"/>
          <w:sz w:val="32"/>
          <w:szCs w:val="32"/>
        </w:rPr>
      </w:pPr>
      <w:r>
        <w:rPr>
          <w:rFonts w:hint="eastAsia" w:ascii="仿宋" w:hAnsi="仿宋" w:eastAsia="仿宋" w:cs="Arial"/>
          <w:color w:val="333333"/>
          <w:sz w:val="32"/>
          <w:szCs w:val="32"/>
        </w:rPr>
        <w:t xml:space="preserve">                                  溆浦县商务局                                                                                                                                                                                                                                                                                                                                                                                                                                                                                                                                                                                                   </w:t>
      </w:r>
      <w:r>
        <w:rPr>
          <w:rFonts w:hint="eastAsia" w:ascii="仿宋" w:hAnsi="仿宋" w:eastAsia="仿宋" w:cs="仿宋_GB2312"/>
          <w:sz w:val="32"/>
          <w:szCs w:val="32"/>
        </w:rPr>
        <w:t>2023年4月20日</w:t>
      </w:r>
    </w:p>
    <w:p>
      <w:pPr>
        <w:pStyle w:val="5"/>
        <w:shd w:val="clear" w:color="auto" w:fill="FFFFFF"/>
        <w:spacing w:before="0" w:beforeAutospacing="0" w:after="0" w:afterAutospacing="0" w:line="600" w:lineRule="exact"/>
        <w:jc w:val="center"/>
        <w:rPr>
          <w:rFonts w:ascii="仿宋" w:hAnsi="仿宋" w:eastAsia="仿宋" w:cs="方正小标宋简体"/>
          <w:bCs/>
          <w:color w:val="000000"/>
          <w:sz w:val="44"/>
          <w:szCs w:val="44"/>
          <w:shd w:val="clear" w:color="auto" w:fill="FFFFFF"/>
        </w:rPr>
      </w:pPr>
    </w:p>
    <w:p>
      <w:pPr>
        <w:rPr>
          <w:rFonts w:ascii="仿宋" w:hAnsi="仿宋" w:eastAsia="仿宋"/>
        </w:rPr>
      </w:pPr>
    </w:p>
    <w:sectPr>
      <w:headerReference r:id="rId3" w:type="default"/>
      <w:footerReference r:id="rId4" w:type="default"/>
      <w:footerReference r:id="rId5" w:type="even"/>
      <w:pgSz w:w="11906" w:h="16838"/>
      <w:pgMar w:top="2155" w:right="1814" w:bottom="1701" w:left="1814" w:header="851" w:footer="1247"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15</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1ZGI3NmIxMjk4MzAzODA3MTMyY2ZmNWVlYzM1OWMifQ=="/>
  </w:docVars>
  <w:rsids>
    <w:rsidRoot w:val="002D2726"/>
    <w:rsid w:val="0000385F"/>
    <w:rsid w:val="000043E9"/>
    <w:rsid w:val="0001069A"/>
    <w:rsid w:val="000142BC"/>
    <w:rsid w:val="000159C2"/>
    <w:rsid w:val="00021A29"/>
    <w:rsid w:val="000260B2"/>
    <w:rsid w:val="00034104"/>
    <w:rsid w:val="00042674"/>
    <w:rsid w:val="000659A9"/>
    <w:rsid w:val="00082969"/>
    <w:rsid w:val="00085CE2"/>
    <w:rsid w:val="000927B8"/>
    <w:rsid w:val="00094137"/>
    <w:rsid w:val="00095C0C"/>
    <w:rsid w:val="000A249B"/>
    <w:rsid w:val="000A642E"/>
    <w:rsid w:val="000A6E51"/>
    <w:rsid w:val="000B2AE4"/>
    <w:rsid w:val="000D26C1"/>
    <w:rsid w:val="000E0E99"/>
    <w:rsid w:val="001011F3"/>
    <w:rsid w:val="001070D5"/>
    <w:rsid w:val="001108CB"/>
    <w:rsid w:val="00113FBA"/>
    <w:rsid w:val="00115958"/>
    <w:rsid w:val="0012376A"/>
    <w:rsid w:val="001250CA"/>
    <w:rsid w:val="001347EF"/>
    <w:rsid w:val="00134AC7"/>
    <w:rsid w:val="00137A9F"/>
    <w:rsid w:val="00147DA9"/>
    <w:rsid w:val="00165B34"/>
    <w:rsid w:val="00167064"/>
    <w:rsid w:val="001863D7"/>
    <w:rsid w:val="00197504"/>
    <w:rsid w:val="001B5F8B"/>
    <w:rsid w:val="001C2CDD"/>
    <w:rsid w:val="001C5740"/>
    <w:rsid w:val="001F4221"/>
    <w:rsid w:val="002069A9"/>
    <w:rsid w:val="00210903"/>
    <w:rsid w:val="00217736"/>
    <w:rsid w:val="00225337"/>
    <w:rsid w:val="0023440A"/>
    <w:rsid w:val="002354F9"/>
    <w:rsid w:val="00261469"/>
    <w:rsid w:val="00265A6D"/>
    <w:rsid w:val="002669BA"/>
    <w:rsid w:val="00273DCC"/>
    <w:rsid w:val="0028064C"/>
    <w:rsid w:val="0028334E"/>
    <w:rsid w:val="0028652A"/>
    <w:rsid w:val="00290296"/>
    <w:rsid w:val="00292A27"/>
    <w:rsid w:val="002B030F"/>
    <w:rsid w:val="002C6CB7"/>
    <w:rsid w:val="002D2726"/>
    <w:rsid w:val="002D33EF"/>
    <w:rsid w:val="002D3750"/>
    <w:rsid w:val="002D6070"/>
    <w:rsid w:val="002F7E15"/>
    <w:rsid w:val="00301AC2"/>
    <w:rsid w:val="00333A9A"/>
    <w:rsid w:val="0033699E"/>
    <w:rsid w:val="00352A6C"/>
    <w:rsid w:val="003645F3"/>
    <w:rsid w:val="0037229C"/>
    <w:rsid w:val="003730A2"/>
    <w:rsid w:val="00393A24"/>
    <w:rsid w:val="00395036"/>
    <w:rsid w:val="00395641"/>
    <w:rsid w:val="003A3E47"/>
    <w:rsid w:val="003A62E7"/>
    <w:rsid w:val="003C4538"/>
    <w:rsid w:val="003D3780"/>
    <w:rsid w:val="003F398C"/>
    <w:rsid w:val="003F4725"/>
    <w:rsid w:val="004017A6"/>
    <w:rsid w:val="004026A0"/>
    <w:rsid w:val="00416956"/>
    <w:rsid w:val="00440164"/>
    <w:rsid w:val="00447006"/>
    <w:rsid w:val="00450014"/>
    <w:rsid w:val="00452276"/>
    <w:rsid w:val="004561E6"/>
    <w:rsid w:val="00471B7C"/>
    <w:rsid w:val="00480144"/>
    <w:rsid w:val="00494AFB"/>
    <w:rsid w:val="00495675"/>
    <w:rsid w:val="004A7740"/>
    <w:rsid w:val="004B431C"/>
    <w:rsid w:val="004B4A3E"/>
    <w:rsid w:val="004D77BD"/>
    <w:rsid w:val="004F718F"/>
    <w:rsid w:val="00505B6E"/>
    <w:rsid w:val="005208E2"/>
    <w:rsid w:val="00524617"/>
    <w:rsid w:val="0052793C"/>
    <w:rsid w:val="00531013"/>
    <w:rsid w:val="00531265"/>
    <w:rsid w:val="00535049"/>
    <w:rsid w:val="0054175D"/>
    <w:rsid w:val="00542E64"/>
    <w:rsid w:val="00543C0C"/>
    <w:rsid w:val="00544D9A"/>
    <w:rsid w:val="00572B44"/>
    <w:rsid w:val="00573C3D"/>
    <w:rsid w:val="00576701"/>
    <w:rsid w:val="00581FF4"/>
    <w:rsid w:val="005C63D3"/>
    <w:rsid w:val="005C7BDF"/>
    <w:rsid w:val="005D0DFA"/>
    <w:rsid w:val="005D601A"/>
    <w:rsid w:val="005E5B92"/>
    <w:rsid w:val="005F1AC8"/>
    <w:rsid w:val="005F7A3B"/>
    <w:rsid w:val="005F7B7C"/>
    <w:rsid w:val="006138AD"/>
    <w:rsid w:val="00620CD7"/>
    <w:rsid w:val="00636105"/>
    <w:rsid w:val="00636DE0"/>
    <w:rsid w:val="00641E00"/>
    <w:rsid w:val="00654602"/>
    <w:rsid w:val="006667C3"/>
    <w:rsid w:val="006742C6"/>
    <w:rsid w:val="0067503A"/>
    <w:rsid w:val="00677BA0"/>
    <w:rsid w:val="00681884"/>
    <w:rsid w:val="00681D3A"/>
    <w:rsid w:val="006A7AE4"/>
    <w:rsid w:val="006B27D0"/>
    <w:rsid w:val="006C43A6"/>
    <w:rsid w:val="006C7261"/>
    <w:rsid w:val="006D1F5D"/>
    <w:rsid w:val="006D3666"/>
    <w:rsid w:val="006D4283"/>
    <w:rsid w:val="00716B0F"/>
    <w:rsid w:val="007253B3"/>
    <w:rsid w:val="00740095"/>
    <w:rsid w:val="00746190"/>
    <w:rsid w:val="00751A04"/>
    <w:rsid w:val="007562D7"/>
    <w:rsid w:val="00757DD5"/>
    <w:rsid w:val="00777BFB"/>
    <w:rsid w:val="00782EC5"/>
    <w:rsid w:val="007936F2"/>
    <w:rsid w:val="007A47FD"/>
    <w:rsid w:val="007B630A"/>
    <w:rsid w:val="007C515D"/>
    <w:rsid w:val="007C6019"/>
    <w:rsid w:val="007D7E7E"/>
    <w:rsid w:val="007E3AF6"/>
    <w:rsid w:val="007E4D20"/>
    <w:rsid w:val="007F0C26"/>
    <w:rsid w:val="007F58E8"/>
    <w:rsid w:val="00807652"/>
    <w:rsid w:val="00814697"/>
    <w:rsid w:val="00817E98"/>
    <w:rsid w:val="00825383"/>
    <w:rsid w:val="00826DFC"/>
    <w:rsid w:val="00826E78"/>
    <w:rsid w:val="00841E78"/>
    <w:rsid w:val="0084422D"/>
    <w:rsid w:val="008470C1"/>
    <w:rsid w:val="00853D52"/>
    <w:rsid w:val="008650A5"/>
    <w:rsid w:val="008662D8"/>
    <w:rsid w:val="008735A4"/>
    <w:rsid w:val="00875E37"/>
    <w:rsid w:val="00896C72"/>
    <w:rsid w:val="008A5C06"/>
    <w:rsid w:val="008B6655"/>
    <w:rsid w:val="008C1E5C"/>
    <w:rsid w:val="008D5F79"/>
    <w:rsid w:val="008E15D1"/>
    <w:rsid w:val="008F62D4"/>
    <w:rsid w:val="009049F9"/>
    <w:rsid w:val="009117AE"/>
    <w:rsid w:val="00920C99"/>
    <w:rsid w:val="00933775"/>
    <w:rsid w:val="00964D22"/>
    <w:rsid w:val="00970DF2"/>
    <w:rsid w:val="00972761"/>
    <w:rsid w:val="009812C3"/>
    <w:rsid w:val="0098167E"/>
    <w:rsid w:val="009B1F37"/>
    <w:rsid w:val="009D08C9"/>
    <w:rsid w:val="009D60C8"/>
    <w:rsid w:val="009F5295"/>
    <w:rsid w:val="009F5FEB"/>
    <w:rsid w:val="00A061F9"/>
    <w:rsid w:val="00A16779"/>
    <w:rsid w:val="00A21A3B"/>
    <w:rsid w:val="00A268A6"/>
    <w:rsid w:val="00A47D9A"/>
    <w:rsid w:val="00A51FEC"/>
    <w:rsid w:val="00A53355"/>
    <w:rsid w:val="00A55891"/>
    <w:rsid w:val="00A71C15"/>
    <w:rsid w:val="00A921F1"/>
    <w:rsid w:val="00A97E31"/>
    <w:rsid w:val="00AB00EC"/>
    <w:rsid w:val="00AB1DB7"/>
    <w:rsid w:val="00AB45BB"/>
    <w:rsid w:val="00AC2BBB"/>
    <w:rsid w:val="00AC2FD1"/>
    <w:rsid w:val="00AC47E2"/>
    <w:rsid w:val="00AC6B8F"/>
    <w:rsid w:val="00AD0733"/>
    <w:rsid w:val="00AE334F"/>
    <w:rsid w:val="00AF3318"/>
    <w:rsid w:val="00AF6E52"/>
    <w:rsid w:val="00B03064"/>
    <w:rsid w:val="00B41E91"/>
    <w:rsid w:val="00B4469E"/>
    <w:rsid w:val="00B54ED9"/>
    <w:rsid w:val="00B55F24"/>
    <w:rsid w:val="00B62216"/>
    <w:rsid w:val="00B65CCE"/>
    <w:rsid w:val="00B753FB"/>
    <w:rsid w:val="00B83C72"/>
    <w:rsid w:val="00B8626D"/>
    <w:rsid w:val="00B920A2"/>
    <w:rsid w:val="00BB0FBB"/>
    <w:rsid w:val="00BB62D3"/>
    <w:rsid w:val="00BC0B44"/>
    <w:rsid w:val="00BC5480"/>
    <w:rsid w:val="00BD16EE"/>
    <w:rsid w:val="00BD3225"/>
    <w:rsid w:val="00BF6461"/>
    <w:rsid w:val="00C04375"/>
    <w:rsid w:val="00C05094"/>
    <w:rsid w:val="00C06BD7"/>
    <w:rsid w:val="00C07546"/>
    <w:rsid w:val="00C1198B"/>
    <w:rsid w:val="00C327BE"/>
    <w:rsid w:val="00C34EF6"/>
    <w:rsid w:val="00C401F3"/>
    <w:rsid w:val="00C412B0"/>
    <w:rsid w:val="00C4287B"/>
    <w:rsid w:val="00C450E6"/>
    <w:rsid w:val="00C51C6A"/>
    <w:rsid w:val="00C56293"/>
    <w:rsid w:val="00C73B4A"/>
    <w:rsid w:val="00C74490"/>
    <w:rsid w:val="00C76CDD"/>
    <w:rsid w:val="00C81704"/>
    <w:rsid w:val="00C84B7D"/>
    <w:rsid w:val="00CA2992"/>
    <w:rsid w:val="00CA5AB7"/>
    <w:rsid w:val="00CB4CA7"/>
    <w:rsid w:val="00CB52B1"/>
    <w:rsid w:val="00CC0B11"/>
    <w:rsid w:val="00CC0E99"/>
    <w:rsid w:val="00CC4055"/>
    <w:rsid w:val="00CE37BD"/>
    <w:rsid w:val="00CF077C"/>
    <w:rsid w:val="00CF358A"/>
    <w:rsid w:val="00CF6FB4"/>
    <w:rsid w:val="00D010E6"/>
    <w:rsid w:val="00D013BC"/>
    <w:rsid w:val="00D22EEB"/>
    <w:rsid w:val="00D340BA"/>
    <w:rsid w:val="00D5540C"/>
    <w:rsid w:val="00D6644E"/>
    <w:rsid w:val="00D67EE0"/>
    <w:rsid w:val="00D74C4D"/>
    <w:rsid w:val="00D76ED4"/>
    <w:rsid w:val="00D97A3F"/>
    <w:rsid w:val="00DA57CE"/>
    <w:rsid w:val="00DB1A24"/>
    <w:rsid w:val="00DC413E"/>
    <w:rsid w:val="00DC75F4"/>
    <w:rsid w:val="00DD2F4A"/>
    <w:rsid w:val="00DD3AC9"/>
    <w:rsid w:val="00DE39A4"/>
    <w:rsid w:val="00DE59B6"/>
    <w:rsid w:val="00DF5C2D"/>
    <w:rsid w:val="00DF6050"/>
    <w:rsid w:val="00E00D69"/>
    <w:rsid w:val="00E01337"/>
    <w:rsid w:val="00E01643"/>
    <w:rsid w:val="00E04E39"/>
    <w:rsid w:val="00E22EFF"/>
    <w:rsid w:val="00E35E6A"/>
    <w:rsid w:val="00E61BD1"/>
    <w:rsid w:val="00E6381B"/>
    <w:rsid w:val="00E71535"/>
    <w:rsid w:val="00E96024"/>
    <w:rsid w:val="00EA012E"/>
    <w:rsid w:val="00EB14B7"/>
    <w:rsid w:val="00ED1A68"/>
    <w:rsid w:val="00ED5532"/>
    <w:rsid w:val="00EF19AB"/>
    <w:rsid w:val="00F14F95"/>
    <w:rsid w:val="00F21374"/>
    <w:rsid w:val="00F341C2"/>
    <w:rsid w:val="00F35102"/>
    <w:rsid w:val="00F43B6E"/>
    <w:rsid w:val="00F43C25"/>
    <w:rsid w:val="00F45C5E"/>
    <w:rsid w:val="00F62D11"/>
    <w:rsid w:val="00F73C66"/>
    <w:rsid w:val="00F7476D"/>
    <w:rsid w:val="00F74F7C"/>
    <w:rsid w:val="00F800E1"/>
    <w:rsid w:val="00F8107F"/>
    <w:rsid w:val="00F83263"/>
    <w:rsid w:val="00F951F2"/>
    <w:rsid w:val="00FA7285"/>
    <w:rsid w:val="00FB4D12"/>
    <w:rsid w:val="00FC45FD"/>
    <w:rsid w:val="00FC4E5E"/>
    <w:rsid w:val="00FE199A"/>
    <w:rsid w:val="00FE6C6C"/>
    <w:rsid w:val="00FE79EA"/>
    <w:rsid w:val="00FF6944"/>
    <w:rsid w:val="1BDA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basedOn w:val="7"/>
    <w:link w:val="4"/>
    <w:qFormat/>
    <w:uiPriority w:val="0"/>
    <w:rPr>
      <w:rFonts w:ascii="Times New Roman" w:hAnsi="Times New Roman" w:eastAsia="宋体" w:cs="Times New Roman"/>
      <w:sz w:val="18"/>
      <w:szCs w:val="18"/>
    </w:rPr>
  </w:style>
  <w:style w:type="character" w:customStyle="1" w:styleId="10">
    <w:name w:val="页脚 Char"/>
    <w:basedOn w:val="7"/>
    <w:link w:val="3"/>
    <w:qFormat/>
    <w:uiPriority w:val="0"/>
    <w:rPr>
      <w:rFonts w:ascii="Times New Roman" w:hAnsi="Times New Roman" w:eastAsia="宋体" w:cs="Times New Roman"/>
      <w:sz w:val="18"/>
      <w:szCs w:val="18"/>
    </w:rPr>
  </w:style>
  <w:style w:type="paragraph" w:customStyle="1" w:styleId="11">
    <w:name w:val="列出段落1"/>
    <w:basedOn w:val="1"/>
    <w:uiPriority w:val="0"/>
    <w:pPr>
      <w:ind w:firstLine="420" w:firstLineChars="200"/>
    </w:pPr>
  </w:style>
  <w:style w:type="paragraph" w:customStyle="1" w:styleId="12">
    <w:name w:val="列出段落2"/>
    <w:basedOn w:val="1"/>
    <w:qFormat/>
    <w:uiPriority w:val="0"/>
    <w:pPr>
      <w:ind w:firstLine="420" w:firstLineChars="200"/>
    </w:pPr>
  </w:style>
  <w:style w:type="character" w:customStyle="1" w:styleId="13">
    <w:name w:val="日期 Char"/>
    <w:basedOn w:val="7"/>
    <w:link w:val="2"/>
    <w:semiHidden/>
    <w:uiPriority w:val="99"/>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E0B88-05AD-4CCF-9B69-2BEB0DC37F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1172</Words>
  <Characters>6687</Characters>
  <Lines>55</Lines>
  <Paragraphs>15</Paragraphs>
  <TotalTime>0</TotalTime>
  <ScaleCrop>false</ScaleCrop>
  <LinksUpToDate>false</LinksUpToDate>
  <CharactersWithSpaces>7844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2019-05-07T01:23:00Z</dcterms:created>
  <dc:creator>PC</dc:creator>
  <cp:lastModifiedBy>敷衍</cp:lastModifiedBy>
  <cp:lastPrinted>2021-06-11T00:19:00Z</cp:lastPrinted>
  <dcterms:modified xsi:type="dcterms:W3CDTF">2023-07-24T09:29:25Z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6BFE7EC174A642408F9C7DBB82B8F23E_12</vt:lpwstr>
  </property>
</Properties>
</file>