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2EC80">
      <w:pPr>
        <w:widowControl/>
        <w:spacing w:beforeAutospacing="1" w:after="100" w:afterAutospacing="1"/>
        <w:ind w:firstLine="1540" w:firstLineChars="350"/>
        <w:jc w:val="left"/>
        <w:outlineLvl w:val="0"/>
        <w:rPr>
          <w:rFonts w:ascii="宋体" w:hAnsi="宋体" w:eastAsia="宋体" w:cs="宋体"/>
          <w:color w:val="000000" w:themeColor="text1"/>
          <w:kern w:val="36"/>
          <w:sz w:val="44"/>
          <w:szCs w:val="44"/>
        </w:rPr>
      </w:pPr>
      <w:bookmarkStart w:id="0" w:name="_Hlk196381161"/>
      <w:bookmarkStart w:id="1" w:name="OLE_LINK2"/>
      <w:r>
        <w:rPr>
          <w:rFonts w:hint="eastAsia" w:ascii="宋体" w:hAnsi="宋体" w:eastAsia="宋体" w:cs="宋体"/>
          <w:color w:val="000000" w:themeColor="text1"/>
          <w:kern w:val="36"/>
          <w:sz w:val="44"/>
          <w:szCs w:val="44"/>
        </w:rPr>
        <w:t>溆浦县文化旅游广电体育局</w:t>
      </w:r>
      <w:bookmarkEnd w:id="0"/>
      <w:bookmarkEnd w:id="1"/>
    </w:p>
    <w:p w14:paraId="1829FBD3">
      <w:pPr>
        <w:widowControl/>
        <w:spacing w:beforeAutospacing="1" w:after="100" w:afterAutospacing="1"/>
        <w:ind w:left="1910" w:leftChars="700" w:hanging="440" w:hangingChars="100"/>
        <w:jc w:val="left"/>
        <w:outlineLvl w:val="0"/>
        <w:rPr>
          <w:rFonts w:ascii="宋体" w:hAnsi="宋体" w:eastAsia="宋体" w:cs="宋体"/>
          <w:color w:val="000000" w:themeColor="text1"/>
          <w:kern w:val="36"/>
          <w:sz w:val="44"/>
          <w:szCs w:val="44"/>
        </w:rPr>
      </w:pPr>
      <w:r>
        <w:rPr>
          <w:rFonts w:hint="eastAsia" w:ascii="宋体" w:hAnsi="宋体" w:eastAsia="宋体" w:cs="宋体"/>
          <w:color w:val="000000" w:themeColor="text1"/>
          <w:kern w:val="36"/>
          <w:sz w:val="44"/>
          <w:szCs w:val="44"/>
        </w:rPr>
        <w:t>2024年整体支出绩效自评报告</w:t>
      </w:r>
    </w:p>
    <w:p w14:paraId="18B1EBD1">
      <w:pPr>
        <w:pStyle w:val="9"/>
        <w:widowControl/>
        <w:numPr>
          <w:ilvl w:val="0"/>
          <w:numId w:val="1"/>
        </w:numPr>
        <w:spacing w:before="100" w:beforeAutospacing="1" w:after="100" w:afterAutospacing="1"/>
        <w:ind w:firstLineChars="0"/>
        <w:jc w:val="left"/>
        <w:outlineLvl w:val="1"/>
        <w:rPr>
          <w:rFonts w:ascii="仿宋" w:hAnsi="仿宋" w:eastAsia="仿宋" w:cs="黑体"/>
          <w:color w:val="000000" w:themeColor="text1"/>
          <w:kern w:val="0"/>
          <w:sz w:val="32"/>
          <w:szCs w:val="32"/>
        </w:rPr>
      </w:pPr>
      <w:r>
        <w:rPr>
          <w:rFonts w:hint="eastAsia" w:ascii="仿宋" w:hAnsi="仿宋" w:eastAsia="仿宋" w:cs="黑体"/>
          <w:color w:val="000000" w:themeColor="text1"/>
          <w:kern w:val="0"/>
          <w:sz w:val="32"/>
          <w:szCs w:val="32"/>
        </w:rPr>
        <w:t>部门、单位基本情况</w:t>
      </w:r>
    </w:p>
    <w:tbl>
      <w:tblPr>
        <w:tblStyle w:val="7"/>
        <w:tblW w:w="9901" w:type="dxa"/>
        <w:tblInd w:w="0" w:type="dxa"/>
        <w:tblLayout w:type="fixed"/>
        <w:tblCellMar>
          <w:top w:w="0" w:type="dxa"/>
          <w:left w:w="108" w:type="dxa"/>
          <w:bottom w:w="0" w:type="dxa"/>
          <w:right w:w="108" w:type="dxa"/>
        </w:tblCellMar>
      </w:tblPr>
      <w:tblGrid>
        <w:gridCol w:w="9901"/>
      </w:tblGrid>
      <w:tr w14:paraId="15A3DF82">
        <w:tblPrEx>
          <w:tblCellMar>
            <w:top w:w="0" w:type="dxa"/>
            <w:left w:w="108" w:type="dxa"/>
            <w:bottom w:w="0" w:type="dxa"/>
            <w:right w:w="108" w:type="dxa"/>
          </w:tblCellMar>
        </w:tblPrEx>
        <w:trPr>
          <w:trHeight w:val="1600" w:hRule="atLeast"/>
        </w:trPr>
        <w:tc>
          <w:tcPr>
            <w:tcW w:w="9901" w:type="dxa"/>
            <w:tcBorders>
              <w:top w:val="nil"/>
              <w:left w:val="nil"/>
              <w:bottom w:val="nil"/>
              <w:right w:val="nil"/>
            </w:tcBorders>
            <w:shd w:val="clear" w:color="auto" w:fill="auto"/>
            <w:vAlign w:val="center"/>
          </w:tcPr>
          <w:p w14:paraId="0B9228CA">
            <w:pPr>
              <w:widowControl/>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职能职责:</w:t>
            </w:r>
          </w:p>
          <w:p w14:paraId="5AEE4737">
            <w:pPr>
              <w:widowControl/>
              <w:ind w:firstLine="480" w:firstLineChars="15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1、贯彻党和国家有关文化、旅游、广播电视、体育工作方针、政策和法律、法规，拟订全县文化、旅游、广播电视、体育事业发展规划并指导实施，指导、推进全县文化、旅游、广播电视、体育、文物领域体制机制创新。</w:t>
            </w:r>
          </w:p>
        </w:tc>
      </w:tr>
      <w:tr w14:paraId="385645B1">
        <w:tblPrEx>
          <w:tblCellMar>
            <w:top w:w="0" w:type="dxa"/>
            <w:left w:w="108" w:type="dxa"/>
            <w:bottom w:w="0" w:type="dxa"/>
            <w:right w:w="108" w:type="dxa"/>
          </w:tblCellMar>
        </w:tblPrEx>
        <w:trPr>
          <w:trHeight w:val="1320" w:hRule="atLeast"/>
        </w:trPr>
        <w:tc>
          <w:tcPr>
            <w:tcW w:w="9901" w:type="dxa"/>
            <w:tcBorders>
              <w:top w:val="nil"/>
              <w:left w:val="nil"/>
              <w:bottom w:val="nil"/>
              <w:right w:val="nil"/>
            </w:tcBorders>
            <w:shd w:val="clear" w:color="auto" w:fill="auto"/>
            <w:vAlign w:val="center"/>
          </w:tcPr>
          <w:p w14:paraId="19C9AB19">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2、推进全县文化旅游广电体育领域的公共服务，规划、引导公共文化产品生产统筹安排全县文化、旅游、广电、体育事业经费，指导全县重点文化旅游广电体育设施建设和基层文化旅游广电体育设施建设。</w:t>
            </w:r>
          </w:p>
        </w:tc>
      </w:tr>
      <w:tr w14:paraId="7F659FCD">
        <w:tblPrEx>
          <w:tblCellMar>
            <w:top w:w="0" w:type="dxa"/>
            <w:left w:w="108" w:type="dxa"/>
            <w:bottom w:w="0" w:type="dxa"/>
            <w:right w:w="108" w:type="dxa"/>
          </w:tblCellMar>
        </w:tblPrEx>
        <w:trPr>
          <w:trHeight w:val="960" w:hRule="atLeast"/>
        </w:trPr>
        <w:tc>
          <w:tcPr>
            <w:tcW w:w="9901" w:type="dxa"/>
            <w:tcBorders>
              <w:top w:val="nil"/>
              <w:left w:val="nil"/>
              <w:bottom w:val="nil"/>
              <w:right w:val="nil"/>
            </w:tcBorders>
            <w:shd w:val="clear" w:color="auto" w:fill="auto"/>
            <w:vAlign w:val="center"/>
          </w:tcPr>
          <w:p w14:paraId="1CD4F8FD">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3、拟订全县文化旅游广电体育产业发展规划，指导、协调全县文化旅游广电体育产业发展，推进文化旅游广电体育产业交流与合作。</w:t>
            </w:r>
          </w:p>
        </w:tc>
      </w:tr>
      <w:tr w14:paraId="325342DC">
        <w:tblPrEx>
          <w:tblCellMar>
            <w:top w:w="0" w:type="dxa"/>
            <w:left w:w="108" w:type="dxa"/>
            <w:bottom w:w="0" w:type="dxa"/>
            <w:right w:w="108" w:type="dxa"/>
          </w:tblCellMar>
        </w:tblPrEx>
        <w:trPr>
          <w:trHeight w:val="1060" w:hRule="atLeast"/>
        </w:trPr>
        <w:tc>
          <w:tcPr>
            <w:tcW w:w="9901" w:type="dxa"/>
            <w:tcBorders>
              <w:top w:val="nil"/>
              <w:left w:val="nil"/>
              <w:bottom w:val="nil"/>
              <w:right w:val="nil"/>
            </w:tcBorders>
            <w:shd w:val="clear" w:color="auto" w:fill="auto"/>
            <w:vAlign w:val="center"/>
          </w:tcPr>
          <w:p w14:paraId="706B54B9">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4、指导全县文化艺术创作与生产，管理全县性重大文化活动，重点扶持代表性示范性、实验性文化艺术品种及特色文艺院团，推动各门类艺术的发展。</w:t>
            </w:r>
          </w:p>
        </w:tc>
      </w:tr>
      <w:tr w14:paraId="1FE897E8">
        <w:tblPrEx>
          <w:tblCellMar>
            <w:top w:w="0" w:type="dxa"/>
            <w:left w:w="108" w:type="dxa"/>
            <w:bottom w:w="0" w:type="dxa"/>
            <w:right w:w="108" w:type="dxa"/>
          </w:tblCellMar>
        </w:tblPrEx>
        <w:trPr>
          <w:trHeight w:val="1260" w:hRule="atLeast"/>
        </w:trPr>
        <w:tc>
          <w:tcPr>
            <w:tcW w:w="9901" w:type="dxa"/>
            <w:tcBorders>
              <w:top w:val="nil"/>
              <w:left w:val="nil"/>
              <w:bottom w:val="nil"/>
              <w:right w:val="nil"/>
            </w:tcBorders>
            <w:shd w:val="clear" w:color="auto" w:fill="auto"/>
            <w:vAlign w:val="center"/>
          </w:tcPr>
          <w:p w14:paraId="2AF1ADC6">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5、指导、管理全县文化艺术和体育事业，指导、管理全县图书馆、博物馆、文化馆（站）、体育馆事业和基层文化体育建设；指导非公有性文化旅游体育文物机构和文化艺术类、旅游类、体育类、文物类社会组织的业务工作。</w:t>
            </w:r>
          </w:p>
        </w:tc>
      </w:tr>
      <w:tr w14:paraId="3A757F9D">
        <w:tblPrEx>
          <w:tblCellMar>
            <w:top w:w="0" w:type="dxa"/>
            <w:left w:w="108" w:type="dxa"/>
            <w:bottom w:w="0" w:type="dxa"/>
            <w:right w:w="108" w:type="dxa"/>
          </w:tblCellMar>
        </w:tblPrEx>
        <w:trPr>
          <w:trHeight w:val="980" w:hRule="atLeast"/>
        </w:trPr>
        <w:tc>
          <w:tcPr>
            <w:tcW w:w="9901" w:type="dxa"/>
            <w:tcBorders>
              <w:top w:val="nil"/>
              <w:left w:val="nil"/>
              <w:bottom w:val="nil"/>
              <w:right w:val="nil"/>
            </w:tcBorders>
            <w:shd w:val="clear" w:color="auto" w:fill="auto"/>
            <w:vAlign w:val="center"/>
          </w:tcPr>
          <w:p w14:paraId="678A86E2">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6、指导推进全县文化旅游广电体育文物科技创新发展，推进文化旅游广电体育文物行业信息化、标准化建设。</w:t>
            </w:r>
          </w:p>
        </w:tc>
      </w:tr>
      <w:tr w14:paraId="5226CB66">
        <w:tblPrEx>
          <w:tblCellMar>
            <w:top w:w="0" w:type="dxa"/>
            <w:left w:w="108" w:type="dxa"/>
            <w:bottom w:w="0" w:type="dxa"/>
            <w:right w:w="108" w:type="dxa"/>
          </w:tblCellMar>
        </w:tblPrEx>
        <w:trPr>
          <w:trHeight w:val="940" w:hRule="atLeast"/>
        </w:trPr>
        <w:tc>
          <w:tcPr>
            <w:tcW w:w="9901" w:type="dxa"/>
            <w:tcBorders>
              <w:top w:val="nil"/>
              <w:left w:val="nil"/>
              <w:bottom w:val="nil"/>
              <w:right w:val="nil"/>
            </w:tcBorders>
            <w:shd w:val="clear" w:color="auto" w:fill="auto"/>
            <w:vAlign w:val="center"/>
          </w:tcPr>
          <w:p w14:paraId="6B9C0214">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7、负责全县物质与非物质文化遗产保护和优秀民族文化的挖掘抢救传承宣传研究工作</w:t>
            </w:r>
          </w:p>
        </w:tc>
      </w:tr>
      <w:tr w14:paraId="7FA94BFD">
        <w:tblPrEx>
          <w:tblCellMar>
            <w:top w:w="0" w:type="dxa"/>
            <w:left w:w="108" w:type="dxa"/>
            <w:bottom w:w="0" w:type="dxa"/>
            <w:right w:w="108" w:type="dxa"/>
          </w:tblCellMar>
        </w:tblPrEx>
        <w:trPr>
          <w:trHeight w:val="1380" w:hRule="atLeast"/>
        </w:trPr>
        <w:tc>
          <w:tcPr>
            <w:tcW w:w="9901" w:type="dxa"/>
            <w:tcBorders>
              <w:top w:val="nil"/>
              <w:left w:val="nil"/>
              <w:bottom w:val="nil"/>
              <w:right w:val="nil"/>
            </w:tcBorders>
            <w:shd w:val="clear" w:color="auto" w:fill="auto"/>
            <w:vAlign w:val="center"/>
          </w:tcPr>
          <w:p w14:paraId="1A1B67B8">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8、指导全县文化、旅游、广电、体育、文物等市场发展，对文化旅游广电体育文物市场经营进行行业监管，推进文化旅游广电体育文物行业信用体系建设，依法规范文化旅游广电体育文物市场。</w:t>
            </w:r>
          </w:p>
        </w:tc>
      </w:tr>
      <w:tr w14:paraId="79930727">
        <w:tblPrEx>
          <w:tblCellMar>
            <w:top w:w="0" w:type="dxa"/>
            <w:left w:w="108" w:type="dxa"/>
            <w:bottom w:w="0" w:type="dxa"/>
            <w:right w:w="108" w:type="dxa"/>
          </w:tblCellMar>
        </w:tblPrEx>
        <w:trPr>
          <w:trHeight w:val="1860" w:hRule="atLeast"/>
        </w:trPr>
        <w:tc>
          <w:tcPr>
            <w:tcW w:w="9901" w:type="dxa"/>
            <w:tcBorders>
              <w:top w:val="nil"/>
              <w:left w:val="nil"/>
              <w:bottom w:val="nil"/>
              <w:right w:val="nil"/>
            </w:tcBorders>
            <w:shd w:val="clear" w:color="auto" w:fill="auto"/>
            <w:vAlign w:val="center"/>
          </w:tcPr>
          <w:p w14:paraId="35EDB0E4">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9、组织、指导全县重要旅游产品的开发，促进和引导旅游业利用外资和社会投资工作；拟订全县旅游市场开发战略，组织全县旅游形象的对外宣传和重大推广活动；培育、完善和开拓国内旅游市场，拟订我县开拓旅游市场的措施并指导实施</w:t>
            </w:r>
          </w:p>
        </w:tc>
      </w:tr>
      <w:tr w14:paraId="37F2E688">
        <w:tblPrEx>
          <w:tblCellMar>
            <w:top w:w="0" w:type="dxa"/>
            <w:left w:w="108" w:type="dxa"/>
            <w:bottom w:w="0" w:type="dxa"/>
            <w:right w:w="108" w:type="dxa"/>
          </w:tblCellMar>
        </w:tblPrEx>
        <w:trPr>
          <w:trHeight w:val="1520" w:hRule="atLeast"/>
        </w:trPr>
        <w:tc>
          <w:tcPr>
            <w:tcW w:w="9901" w:type="dxa"/>
            <w:tcBorders>
              <w:top w:val="nil"/>
              <w:left w:val="nil"/>
              <w:bottom w:val="nil"/>
              <w:right w:val="nil"/>
            </w:tcBorders>
            <w:shd w:val="clear" w:color="auto" w:fill="auto"/>
            <w:vAlign w:val="center"/>
          </w:tcPr>
          <w:p w14:paraId="584350D3">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10、组织全县旅游资源的普查、规划、开发和相关保护工作。指导协调旅游区的规划编制和开发建设，引导休闲度假；监测全县旅游经济运行，负责旅游统计及行业信息发布；协调和指导全县假日旅游和红色旅游工作。</w:t>
            </w:r>
          </w:p>
        </w:tc>
      </w:tr>
      <w:tr w14:paraId="7DBB2632">
        <w:tblPrEx>
          <w:tblCellMar>
            <w:top w:w="0" w:type="dxa"/>
            <w:left w:w="108" w:type="dxa"/>
            <w:bottom w:w="0" w:type="dxa"/>
            <w:right w:w="108" w:type="dxa"/>
          </w:tblCellMar>
        </w:tblPrEx>
        <w:trPr>
          <w:trHeight w:val="3000" w:hRule="atLeast"/>
        </w:trPr>
        <w:tc>
          <w:tcPr>
            <w:tcW w:w="9901" w:type="dxa"/>
            <w:tcBorders>
              <w:top w:val="nil"/>
              <w:left w:val="nil"/>
              <w:bottom w:val="nil"/>
              <w:right w:val="nil"/>
            </w:tcBorders>
            <w:shd w:val="clear" w:color="auto" w:fill="auto"/>
            <w:vAlign w:val="center"/>
          </w:tcPr>
          <w:p w14:paraId="64EC5760">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11、承担规范旅游市场秩序、监督管理服务质量、维护旅游消费者和经营者合法权益的责任；规范旅游企业和从业人员的经营和服务行为。组织实施国家确定的各类旅游区（点）、旅游设施、旅游服务、旅游产品等方面的等级和标准，组织实施旅游饭店和旅行社星级标准和星级评定与复核工作。审批县内旅行社设立和经营范围变更；审核报批经营出境旅游业务的旅行社。负责全县旅游安全的综合协调和监督管理，指导应急救援；指导旅游行业精神文明建设和诚信体系建设；加强对旅游市场实施监督管理。</w:t>
            </w:r>
          </w:p>
          <w:tbl>
            <w:tblPr>
              <w:tblStyle w:val="7"/>
              <w:tblW w:w="9990" w:type="dxa"/>
              <w:tblInd w:w="0" w:type="dxa"/>
              <w:tblLayout w:type="fixed"/>
              <w:tblCellMar>
                <w:top w:w="0" w:type="dxa"/>
                <w:left w:w="108" w:type="dxa"/>
                <w:bottom w:w="0" w:type="dxa"/>
                <w:right w:w="108" w:type="dxa"/>
              </w:tblCellMar>
            </w:tblPr>
            <w:tblGrid>
              <w:gridCol w:w="9685"/>
            </w:tblGrid>
            <w:tr w14:paraId="0FEA67D7">
              <w:tblPrEx>
                <w:tblCellMar>
                  <w:top w:w="0" w:type="dxa"/>
                  <w:left w:w="108" w:type="dxa"/>
                  <w:bottom w:w="0" w:type="dxa"/>
                  <w:right w:w="108" w:type="dxa"/>
                </w:tblCellMar>
              </w:tblPrEx>
              <w:trPr>
                <w:trHeight w:val="1440" w:hRule="atLeast"/>
              </w:trPr>
              <w:tc>
                <w:tcPr>
                  <w:tcW w:w="9990" w:type="dxa"/>
                  <w:tcBorders>
                    <w:top w:val="nil"/>
                    <w:left w:val="nil"/>
                    <w:bottom w:val="nil"/>
                    <w:right w:val="nil"/>
                  </w:tcBorders>
                  <w:shd w:val="clear" w:color="auto" w:fill="auto"/>
                  <w:vAlign w:val="center"/>
                </w:tcPr>
                <w:p w14:paraId="77071F8D">
                  <w:pPr>
                    <w:widowControl/>
                    <w:ind w:firstLine="480" w:firstLineChars="15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12、推进旅游教育、培训工作，制定并组织实施全域旅游人才规划，实施旅游从业人员的职业资格标准和等级标准。开展有关机构旅游教育工作，联系和指导旅游社团机构建设和制度建设等工作。</w:t>
                  </w:r>
                </w:p>
              </w:tc>
            </w:tr>
            <w:tr w14:paraId="73F6968B">
              <w:tblPrEx>
                <w:tblCellMar>
                  <w:top w:w="0" w:type="dxa"/>
                  <w:left w:w="108" w:type="dxa"/>
                  <w:bottom w:w="0" w:type="dxa"/>
                  <w:right w:w="108" w:type="dxa"/>
                </w:tblCellMar>
              </w:tblPrEx>
              <w:trPr>
                <w:trHeight w:val="1440" w:hRule="atLeast"/>
              </w:trPr>
              <w:tc>
                <w:tcPr>
                  <w:tcW w:w="9990" w:type="dxa"/>
                  <w:tcBorders>
                    <w:top w:val="nil"/>
                    <w:left w:val="nil"/>
                    <w:bottom w:val="nil"/>
                    <w:right w:val="nil"/>
                  </w:tcBorders>
                  <w:shd w:val="clear" w:color="auto" w:fill="auto"/>
                  <w:vAlign w:val="center"/>
                </w:tcPr>
                <w:p w14:paraId="4F944F89">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13、统筹规划群众体育发展，负责推行全民健身计划，指导群众性体育活动的开展，监督实施国家体育锻炼标准，推动国民体质监测和社会体育指导员工作队伍制度建设，指导公共体育设施建设，负责公共体育设施的监督管理。</w:t>
                  </w:r>
                </w:p>
              </w:tc>
            </w:tr>
            <w:tr w14:paraId="59FF3843">
              <w:tblPrEx>
                <w:tblCellMar>
                  <w:top w:w="0" w:type="dxa"/>
                  <w:left w:w="108" w:type="dxa"/>
                  <w:bottom w:w="0" w:type="dxa"/>
                  <w:right w:w="108" w:type="dxa"/>
                </w:tblCellMar>
              </w:tblPrEx>
              <w:trPr>
                <w:trHeight w:val="1380" w:hRule="atLeast"/>
              </w:trPr>
              <w:tc>
                <w:tcPr>
                  <w:tcW w:w="9990" w:type="dxa"/>
                  <w:tcBorders>
                    <w:top w:val="nil"/>
                    <w:left w:val="nil"/>
                    <w:bottom w:val="nil"/>
                    <w:right w:val="nil"/>
                  </w:tcBorders>
                  <w:shd w:val="clear" w:color="auto" w:fill="auto"/>
                  <w:vAlign w:val="center"/>
                </w:tcPr>
                <w:p w14:paraId="716630FC">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14、统筹规划竞技体育发展和青少年体育发展，负责制定全县体育竞赛项目设置和重点布局，组织管理体育训练、体育竞赛、运动队伍建设，加强体育后备人才建设，推进青少年体育工作。</w:t>
                  </w:r>
                </w:p>
              </w:tc>
            </w:tr>
            <w:tr w14:paraId="42A3DA62">
              <w:tblPrEx>
                <w:tblCellMar>
                  <w:top w:w="0" w:type="dxa"/>
                  <w:left w:w="108" w:type="dxa"/>
                  <w:bottom w:w="0" w:type="dxa"/>
                  <w:right w:w="108" w:type="dxa"/>
                </w:tblCellMar>
              </w:tblPrEx>
              <w:trPr>
                <w:trHeight w:val="1080" w:hRule="atLeast"/>
              </w:trPr>
              <w:tc>
                <w:tcPr>
                  <w:tcW w:w="9990" w:type="dxa"/>
                  <w:tcBorders>
                    <w:top w:val="nil"/>
                    <w:left w:val="nil"/>
                    <w:bottom w:val="nil"/>
                    <w:right w:val="nil"/>
                  </w:tcBorders>
                  <w:shd w:val="clear" w:color="auto" w:fill="auto"/>
                  <w:vAlign w:val="center"/>
                </w:tcPr>
                <w:p w14:paraId="2406CDF1">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15、组织体育领域科学研究的攻关和成果推广，负责组织、协调、监督体育运动中的反兴奋剂工作。</w:t>
                  </w:r>
                </w:p>
              </w:tc>
            </w:tr>
            <w:tr w14:paraId="4AF2DF3C">
              <w:tblPrEx>
                <w:tblCellMar>
                  <w:top w:w="0" w:type="dxa"/>
                  <w:left w:w="108" w:type="dxa"/>
                  <w:bottom w:w="0" w:type="dxa"/>
                  <w:right w:w="108" w:type="dxa"/>
                </w:tblCellMar>
              </w:tblPrEx>
              <w:trPr>
                <w:trHeight w:val="1440" w:hRule="atLeast"/>
              </w:trPr>
              <w:tc>
                <w:tcPr>
                  <w:tcW w:w="9990" w:type="dxa"/>
                  <w:tcBorders>
                    <w:top w:val="nil"/>
                    <w:left w:val="nil"/>
                    <w:bottom w:val="nil"/>
                    <w:right w:val="nil"/>
                  </w:tcBorders>
                  <w:shd w:val="clear" w:color="auto" w:fill="auto"/>
                  <w:vAlign w:val="center"/>
                </w:tcPr>
                <w:p w14:paraId="0D713014">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16、组织推进全县广播电视公共服务，负责全县广播电视、信息网络视听节目服务机构和业务的监管并实施准入和退出管理，对从事广播电视节目制作民办机构进行监管。</w:t>
                  </w:r>
                </w:p>
              </w:tc>
            </w:tr>
            <w:tr w14:paraId="6CC21C57">
              <w:tblPrEx>
                <w:tblCellMar>
                  <w:top w:w="0" w:type="dxa"/>
                  <w:left w:w="108" w:type="dxa"/>
                  <w:bottom w:w="0" w:type="dxa"/>
                  <w:right w:w="108" w:type="dxa"/>
                </w:tblCellMar>
              </w:tblPrEx>
              <w:trPr>
                <w:trHeight w:val="1000" w:hRule="atLeast"/>
              </w:trPr>
              <w:tc>
                <w:tcPr>
                  <w:tcW w:w="9990" w:type="dxa"/>
                  <w:tcBorders>
                    <w:top w:val="nil"/>
                    <w:left w:val="nil"/>
                    <w:bottom w:val="nil"/>
                    <w:right w:val="nil"/>
                  </w:tcBorders>
                  <w:shd w:val="clear" w:color="auto" w:fill="auto"/>
                  <w:vAlign w:val="center"/>
                </w:tcPr>
                <w:p w14:paraId="4CF0AD2A">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17、指导、管理文化旅游广电体育行业对外及对港澳台交流、合作和宣传、推广工作。</w:t>
                  </w:r>
                </w:p>
              </w:tc>
            </w:tr>
            <w:tr w14:paraId="3822AF4C">
              <w:tblPrEx>
                <w:tblCellMar>
                  <w:top w:w="0" w:type="dxa"/>
                  <w:left w:w="108" w:type="dxa"/>
                  <w:bottom w:w="0" w:type="dxa"/>
                  <w:right w:w="108" w:type="dxa"/>
                </w:tblCellMar>
              </w:tblPrEx>
              <w:trPr>
                <w:trHeight w:val="620" w:hRule="atLeast"/>
              </w:trPr>
              <w:tc>
                <w:tcPr>
                  <w:tcW w:w="9990" w:type="dxa"/>
                  <w:tcBorders>
                    <w:top w:val="nil"/>
                    <w:left w:val="nil"/>
                    <w:bottom w:val="nil"/>
                    <w:right w:val="nil"/>
                  </w:tcBorders>
                  <w:shd w:val="clear" w:color="auto" w:fill="auto"/>
                  <w:noWrap/>
                  <w:vAlign w:val="center"/>
                </w:tcPr>
                <w:p w14:paraId="4056E776">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18、完成县委、县政府交办的其他任务。</w:t>
                  </w:r>
                </w:p>
              </w:tc>
            </w:tr>
            <w:tr w14:paraId="00240283">
              <w:tblPrEx>
                <w:tblCellMar>
                  <w:top w:w="0" w:type="dxa"/>
                  <w:left w:w="108" w:type="dxa"/>
                  <w:bottom w:w="0" w:type="dxa"/>
                  <w:right w:w="108" w:type="dxa"/>
                </w:tblCellMar>
              </w:tblPrEx>
              <w:trPr>
                <w:trHeight w:val="685" w:hRule="atLeast"/>
              </w:trPr>
              <w:tc>
                <w:tcPr>
                  <w:tcW w:w="9990" w:type="dxa"/>
                  <w:tcBorders>
                    <w:top w:val="nil"/>
                    <w:left w:val="nil"/>
                    <w:bottom w:val="nil"/>
                    <w:right w:val="nil"/>
                  </w:tcBorders>
                  <w:shd w:val="clear" w:color="auto" w:fill="auto"/>
                  <w:vAlign w:val="center"/>
                </w:tcPr>
                <w:p w14:paraId="661FCCAA">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本部门设有二级机构10个。其中独立核算的二级机构6个，分别是：向警予同志纪念馆,溆浦县文化市场综合行政执法大队,溆浦县文化馆,溆浦县图书馆,溆浦县辰河目连戏传承保护中心,抗日战争湘西会战纪念馆（溆浦县龙潭文化馆）。内设二级机构4个，分别是业余体校、旅游发展事务中心、文化遗产保护中心、旅游质量监督管理所。 </w:t>
                  </w:r>
                </w:p>
              </w:tc>
            </w:tr>
            <w:tr w14:paraId="200930A0">
              <w:tblPrEx>
                <w:tblCellMar>
                  <w:top w:w="0" w:type="dxa"/>
                  <w:left w:w="108" w:type="dxa"/>
                  <w:bottom w:w="0" w:type="dxa"/>
                  <w:right w:w="108" w:type="dxa"/>
                </w:tblCellMar>
              </w:tblPrEx>
              <w:trPr>
                <w:trHeight w:val="1220" w:hRule="atLeast"/>
              </w:trPr>
              <w:tc>
                <w:tcPr>
                  <w:tcW w:w="9990" w:type="dxa"/>
                  <w:tcBorders>
                    <w:top w:val="nil"/>
                    <w:left w:val="nil"/>
                    <w:bottom w:val="nil"/>
                    <w:right w:val="nil"/>
                  </w:tcBorders>
                  <w:shd w:val="clear" w:color="auto" w:fill="auto"/>
                  <w:vAlign w:val="center"/>
                </w:tcPr>
                <w:p w14:paraId="38C1277D">
                  <w:pPr>
                    <w:widowControl/>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机关本级是行政单位，内设行政业务机构7个，分别是办公室、产业发展股、政策法规股、文化艺术股、文物保护股、体育股、资源开发与全域旅游推进股。</w:t>
                  </w:r>
                </w:p>
              </w:tc>
            </w:tr>
          </w:tbl>
          <w:p w14:paraId="0DE42A1A">
            <w:pPr>
              <w:widowControl/>
              <w:jc w:val="left"/>
              <w:rPr>
                <w:rFonts w:ascii="仿宋" w:hAnsi="仿宋" w:eastAsia="仿宋" w:cs="宋体"/>
                <w:color w:val="000000"/>
                <w:kern w:val="0"/>
                <w:sz w:val="32"/>
                <w:szCs w:val="32"/>
              </w:rPr>
            </w:pPr>
          </w:p>
        </w:tc>
      </w:tr>
      <w:tr w14:paraId="5FEFCF2C">
        <w:tblPrEx>
          <w:tblCellMar>
            <w:top w:w="0" w:type="dxa"/>
            <w:left w:w="108" w:type="dxa"/>
            <w:bottom w:w="0" w:type="dxa"/>
            <w:right w:w="108" w:type="dxa"/>
          </w:tblCellMar>
        </w:tblPrEx>
        <w:trPr>
          <w:trHeight w:val="1440" w:hRule="atLeast"/>
        </w:trPr>
        <w:tc>
          <w:tcPr>
            <w:tcW w:w="9901" w:type="dxa"/>
            <w:tcBorders>
              <w:top w:val="nil"/>
              <w:left w:val="nil"/>
              <w:bottom w:val="nil"/>
              <w:right w:val="nil"/>
            </w:tcBorders>
            <w:shd w:val="clear" w:color="auto" w:fill="auto"/>
            <w:vAlign w:val="center"/>
          </w:tcPr>
          <w:p w14:paraId="5AB212CA">
            <w:pPr>
              <w:pStyle w:val="9"/>
              <w:widowControl/>
              <w:numPr>
                <w:ilvl w:val="0"/>
                <w:numId w:val="1"/>
              </w:numPr>
              <w:spacing w:before="100" w:beforeAutospacing="1" w:after="100" w:afterAutospacing="1"/>
              <w:ind w:firstLineChars="0"/>
              <w:jc w:val="left"/>
              <w:outlineLvl w:val="1"/>
              <w:rPr>
                <w:rFonts w:ascii="仿宋" w:hAnsi="仿宋" w:eastAsia="仿宋" w:cs="黑体"/>
                <w:color w:val="000000" w:themeColor="text1"/>
                <w:kern w:val="0"/>
                <w:sz w:val="32"/>
                <w:szCs w:val="32"/>
              </w:rPr>
            </w:pPr>
            <w:r>
              <w:rPr>
                <w:rFonts w:hint="eastAsia" w:ascii="仿宋" w:hAnsi="仿宋" w:eastAsia="仿宋" w:cs="黑体"/>
                <w:color w:val="000000" w:themeColor="text1"/>
                <w:kern w:val="0"/>
                <w:sz w:val="32"/>
                <w:szCs w:val="32"/>
              </w:rPr>
              <w:t>部门整体支出管理及使用情况</w:t>
            </w:r>
          </w:p>
          <w:p w14:paraId="16775D8A">
            <w:pPr>
              <w:pStyle w:val="5"/>
              <w:spacing w:before="0" w:beforeAutospacing="0" w:after="0" w:afterAutospacing="0" w:line="33" w:lineRule="atLeast"/>
              <w:ind w:firstLine="640" w:firstLineChars="200"/>
              <w:jc w:val="both"/>
              <w:rPr>
                <w:rFonts w:ascii="仿宋" w:hAnsi="仿宋" w:eastAsia="仿宋"/>
                <w:spacing w:val="-2"/>
                <w:sz w:val="32"/>
                <w:szCs w:val="32"/>
              </w:rPr>
            </w:pPr>
            <w:r>
              <w:rPr>
                <w:rFonts w:hint="eastAsia" w:ascii="仿宋" w:hAnsi="仿宋" w:eastAsia="仿宋"/>
                <w:sz w:val="32"/>
                <w:szCs w:val="32"/>
              </w:rPr>
              <w:t>202</w:t>
            </w:r>
            <w:r>
              <w:rPr>
                <w:rFonts w:ascii="仿宋" w:hAnsi="仿宋" w:eastAsia="仿宋"/>
                <w:sz w:val="32"/>
                <w:szCs w:val="32"/>
              </w:rPr>
              <w:t>4</w:t>
            </w:r>
            <w:r>
              <w:rPr>
                <w:rFonts w:hint="eastAsia" w:ascii="仿宋" w:hAnsi="仿宋" w:eastAsia="仿宋"/>
                <w:sz w:val="32"/>
                <w:szCs w:val="32"/>
              </w:rPr>
              <w:t>年度，我单位收入</w:t>
            </w:r>
            <w:r>
              <w:rPr>
                <w:rFonts w:ascii="仿宋" w:hAnsi="仿宋" w:eastAsia="仿宋"/>
                <w:sz w:val="32"/>
                <w:szCs w:val="32"/>
              </w:rPr>
              <w:t>2010.93</w:t>
            </w:r>
            <w:r>
              <w:rPr>
                <w:rFonts w:hint="eastAsia" w:ascii="仿宋" w:hAnsi="仿宋" w:eastAsia="仿宋"/>
                <w:sz w:val="32"/>
                <w:szCs w:val="32"/>
              </w:rPr>
              <w:t>万元，支出</w:t>
            </w:r>
            <w:r>
              <w:rPr>
                <w:rFonts w:ascii="仿宋" w:hAnsi="仿宋" w:eastAsia="仿宋"/>
                <w:sz w:val="32"/>
                <w:szCs w:val="32"/>
              </w:rPr>
              <w:t>2010.93</w:t>
            </w:r>
            <w:r>
              <w:rPr>
                <w:rFonts w:hint="eastAsia" w:ascii="仿宋" w:hAnsi="仿宋" w:eastAsia="仿宋"/>
                <w:sz w:val="32"/>
                <w:szCs w:val="32"/>
              </w:rPr>
              <w:t>万元，其中：基本支出</w:t>
            </w:r>
            <w:r>
              <w:rPr>
                <w:rFonts w:ascii="仿宋" w:hAnsi="仿宋" w:eastAsia="仿宋"/>
                <w:sz w:val="32"/>
                <w:szCs w:val="32"/>
              </w:rPr>
              <w:t>648.92</w:t>
            </w:r>
            <w:r>
              <w:rPr>
                <w:rFonts w:hint="eastAsia" w:ascii="仿宋" w:hAnsi="仿宋" w:eastAsia="仿宋"/>
                <w:sz w:val="32"/>
                <w:szCs w:val="32"/>
              </w:rPr>
              <w:t>万元，项目支出</w:t>
            </w:r>
            <w:r>
              <w:rPr>
                <w:rFonts w:ascii="仿宋" w:hAnsi="仿宋" w:eastAsia="仿宋"/>
                <w:sz w:val="32"/>
                <w:szCs w:val="32"/>
              </w:rPr>
              <w:t>1362.01</w:t>
            </w:r>
            <w:r>
              <w:rPr>
                <w:rFonts w:hint="eastAsia" w:ascii="仿宋" w:hAnsi="仿宋" w:eastAsia="仿宋"/>
                <w:sz w:val="32"/>
                <w:szCs w:val="32"/>
              </w:rPr>
              <w:t>万元。主要用于单位为保证日常运转发生的基本支出和业务发展而发生的项目支出。与年初预算1</w:t>
            </w:r>
            <w:r>
              <w:rPr>
                <w:rFonts w:ascii="仿宋" w:hAnsi="仿宋" w:eastAsia="仿宋"/>
                <w:sz w:val="32"/>
                <w:szCs w:val="32"/>
              </w:rPr>
              <w:t>089.65</w:t>
            </w:r>
            <w:r>
              <w:rPr>
                <w:rFonts w:hint="eastAsia" w:ascii="仿宋" w:hAnsi="仿宋" w:eastAsia="仿宋"/>
                <w:sz w:val="32"/>
                <w:szCs w:val="32"/>
              </w:rPr>
              <w:t>万元相比，增加了9</w:t>
            </w:r>
            <w:r>
              <w:rPr>
                <w:rFonts w:ascii="仿宋" w:hAnsi="仿宋" w:eastAsia="仿宋"/>
                <w:sz w:val="32"/>
                <w:szCs w:val="32"/>
              </w:rPr>
              <w:t>21.28</w:t>
            </w:r>
            <w:r>
              <w:rPr>
                <w:rFonts w:hint="eastAsia" w:ascii="仿宋" w:hAnsi="仿宋" w:eastAsia="仿宋"/>
                <w:sz w:val="32"/>
                <w:szCs w:val="32"/>
              </w:rPr>
              <w:t>万元，偏差原因：省级专项资金。资金到位率1</w:t>
            </w:r>
            <w:r>
              <w:rPr>
                <w:rFonts w:ascii="仿宋" w:hAnsi="仿宋" w:eastAsia="仿宋"/>
                <w:sz w:val="32"/>
                <w:szCs w:val="32"/>
              </w:rPr>
              <w:t>00%</w:t>
            </w:r>
            <w:r>
              <w:rPr>
                <w:rFonts w:hint="eastAsia" w:ascii="仿宋" w:hAnsi="仿宋" w:eastAsia="仿宋"/>
                <w:sz w:val="32"/>
                <w:szCs w:val="32"/>
              </w:rPr>
              <w:t>，执行率1</w:t>
            </w:r>
            <w:r>
              <w:rPr>
                <w:rFonts w:ascii="仿宋" w:hAnsi="仿宋" w:eastAsia="仿宋"/>
                <w:sz w:val="32"/>
                <w:szCs w:val="32"/>
              </w:rPr>
              <w:t>00%</w:t>
            </w:r>
            <w:r>
              <w:rPr>
                <w:rFonts w:hint="eastAsia" w:ascii="仿宋" w:hAnsi="仿宋" w:eastAsia="仿宋"/>
                <w:sz w:val="32"/>
                <w:szCs w:val="32"/>
              </w:rPr>
              <w:t>。</w:t>
            </w:r>
          </w:p>
          <w:p w14:paraId="101A0C19">
            <w:pPr>
              <w:shd w:val="clear" w:color="auto" w:fill="FFFFFF"/>
              <w:spacing w:line="640" w:lineRule="exact"/>
              <w:ind w:firstLine="643"/>
              <w:rPr>
                <w:rFonts w:ascii="仿宋" w:hAnsi="仿宋" w:eastAsia="仿宋"/>
                <w:spacing w:val="-2"/>
                <w:kern w:val="0"/>
                <w:sz w:val="32"/>
                <w:szCs w:val="32"/>
              </w:rPr>
            </w:pPr>
            <w:r>
              <w:rPr>
                <w:rFonts w:hint="eastAsia" w:ascii="仿宋" w:hAnsi="仿宋" w:eastAsia="仿宋"/>
                <w:spacing w:val="-2"/>
                <w:kern w:val="0"/>
                <w:sz w:val="32"/>
                <w:szCs w:val="32"/>
              </w:rPr>
              <w:t>（一）基本支出</w:t>
            </w:r>
          </w:p>
          <w:p w14:paraId="5D655058">
            <w:pPr>
              <w:pStyle w:val="5"/>
              <w:spacing w:line="33" w:lineRule="atLeast"/>
              <w:ind w:firstLine="632" w:firstLineChars="200"/>
              <w:rPr>
                <w:rFonts w:ascii="仿宋" w:hAnsi="仿宋" w:eastAsia="仿宋"/>
                <w:spacing w:val="-2"/>
                <w:sz w:val="32"/>
                <w:szCs w:val="32"/>
              </w:rPr>
            </w:pPr>
            <w:r>
              <w:rPr>
                <w:rFonts w:hint="eastAsia" w:ascii="仿宋" w:hAnsi="仿宋" w:eastAsia="仿宋"/>
                <w:spacing w:val="-2"/>
                <w:sz w:val="32"/>
                <w:szCs w:val="32"/>
              </w:rPr>
              <w:t>基本支出主要范围是保障我单位正常运转、完成日常工作任务而发生的各项支出，用途是在职人员基本工资、津贴补贴等人员经费以及办公费、印刷费、水电费、邮电费等日常公用经费。我单位基本支出为6</w:t>
            </w:r>
            <w:r>
              <w:rPr>
                <w:rFonts w:ascii="仿宋" w:hAnsi="仿宋" w:eastAsia="仿宋"/>
                <w:spacing w:val="-2"/>
                <w:sz w:val="32"/>
                <w:szCs w:val="32"/>
              </w:rPr>
              <w:t>48.92</w:t>
            </w:r>
            <w:r>
              <w:rPr>
                <w:rFonts w:hint="eastAsia" w:ascii="仿宋" w:hAnsi="仿宋" w:eastAsia="仿宋"/>
                <w:spacing w:val="-2"/>
                <w:sz w:val="32"/>
                <w:szCs w:val="32"/>
              </w:rPr>
              <w:t>万元，其中工资福利支出3</w:t>
            </w:r>
            <w:r>
              <w:rPr>
                <w:rFonts w:ascii="仿宋" w:hAnsi="仿宋" w:eastAsia="仿宋"/>
                <w:spacing w:val="-2"/>
                <w:sz w:val="32"/>
                <w:szCs w:val="32"/>
              </w:rPr>
              <w:t>29.74</w:t>
            </w:r>
            <w:r>
              <w:rPr>
                <w:rFonts w:hint="eastAsia" w:ascii="仿宋" w:hAnsi="仿宋" w:eastAsia="仿宋"/>
                <w:spacing w:val="-2"/>
                <w:sz w:val="32"/>
                <w:szCs w:val="32"/>
              </w:rPr>
              <w:t>万元，商品服务支出2</w:t>
            </w:r>
            <w:r>
              <w:rPr>
                <w:rFonts w:ascii="仿宋" w:hAnsi="仿宋" w:eastAsia="仿宋"/>
                <w:spacing w:val="-2"/>
                <w:sz w:val="32"/>
                <w:szCs w:val="32"/>
              </w:rPr>
              <w:t>17.19</w:t>
            </w:r>
            <w:r>
              <w:rPr>
                <w:rFonts w:hint="eastAsia" w:ascii="仿宋" w:hAnsi="仿宋" w:eastAsia="仿宋"/>
                <w:spacing w:val="-2"/>
                <w:sz w:val="32"/>
                <w:szCs w:val="32"/>
              </w:rPr>
              <w:t>万元，个人及家庭补助支出1</w:t>
            </w:r>
            <w:r>
              <w:rPr>
                <w:rFonts w:ascii="仿宋" w:hAnsi="仿宋" w:eastAsia="仿宋"/>
                <w:spacing w:val="-2"/>
                <w:sz w:val="32"/>
                <w:szCs w:val="32"/>
              </w:rPr>
              <w:t>00.31</w:t>
            </w:r>
            <w:r>
              <w:rPr>
                <w:rFonts w:hint="eastAsia" w:ascii="仿宋" w:hAnsi="仿宋" w:eastAsia="仿宋"/>
                <w:spacing w:val="-2"/>
                <w:sz w:val="32"/>
                <w:szCs w:val="32"/>
              </w:rPr>
              <w:t>万元，资本性支出1</w:t>
            </w:r>
            <w:r>
              <w:rPr>
                <w:rFonts w:ascii="仿宋" w:hAnsi="仿宋" w:eastAsia="仿宋"/>
                <w:spacing w:val="-2"/>
                <w:sz w:val="32"/>
                <w:szCs w:val="32"/>
              </w:rPr>
              <w:t>.68</w:t>
            </w:r>
            <w:r>
              <w:rPr>
                <w:rFonts w:hint="eastAsia" w:ascii="仿宋" w:hAnsi="仿宋" w:eastAsia="仿宋"/>
                <w:spacing w:val="-2"/>
                <w:sz w:val="32"/>
                <w:szCs w:val="32"/>
              </w:rPr>
              <w:t>万元。</w:t>
            </w:r>
          </w:p>
          <w:p w14:paraId="521691EE">
            <w:pPr>
              <w:pStyle w:val="5"/>
              <w:spacing w:before="0" w:beforeAutospacing="0" w:after="0" w:afterAutospacing="0" w:line="33" w:lineRule="atLeast"/>
              <w:ind w:firstLine="640" w:firstLineChars="200"/>
              <w:jc w:val="both"/>
              <w:rPr>
                <w:rFonts w:ascii="仿宋" w:hAnsi="仿宋" w:eastAsia="仿宋"/>
                <w:spacing w:val="-2"/>
                <w:sz w:val="32"/>
                <w:szCs w:val="32"/>
              </w:rPr>
            </w:pPr>
            <w:r>
              <w:rPr>
                <w:rFonts w:hint="eastAsia" w:ascii="仿宋" w:hAnsi="仿宋" w:eastAsia="仿宋" w:cs="仿宋_GB2312"/>
                <w:color w:val="000000" w:themeColor="text1"/>
                <w:sz w:val="32"/>
                <w:szCs w:val="32"/>
              </w:rPr>
              <w:t>我单位按照县政府及各部门要求，建立健全了财务管理制度、接待制度、用车制度、各类会议制度等。接待制度对人员、标准、接待程序都予以规范。“三公”经费202</w:t>
            </w:r>
            <w:r>
              <w:rPr>
                <w:rFonts w:ascii="仿宋" w:hAnsi="仿宋" w:eastAsia="仿宋" w:cs="仿宋_GB2312"/>
                <w:color w:val="000000" w:themeColor="text1"/>
                <w:sz w:val="32"/>
                <w:szCs w:val="32"/>
              </w:rPr>
              <w:t>4</w:t>
            </w:r>
            <w:r>
              <w:rPr>
                <w:rFonts w:hint="eastAsia" w:ascii="仿宋" w:hAnsi="仿宋" w:eastAsia="仿宋" w:cs="仿宋_GB2312"/>
                <w:color w:val="000000" w:themeColor="text1"/>
                <w:sz w:val="32"/>
                <w:szCs w:val="32"/>
              </w:rPr>
              <w:t>年决算数为</w:t>
            </w:r>
            <w:r>
              <w:rPr>
                <w:rFonts w:ascii="仿宋" w:hAnsi="仿宋" w:eastAsia="仿宋" w:cs="仿宋_GB2312"/>
                <w:color w:val="000000" w:themeColor="text1"/>
                <w:sz w:val="32"/>
                <w:szCs w:val="32"/>
              </w:rPr>
              <w:t>4.77</w:t>
            </w:r>
            <w:r>
              <w:rPr>
                <w:rFonts w:hint="eastAsia" w:ascii="仿宋" w:hAnsi="仿宋" w:eastAsia="仿宋" w:cs="仿宋_GB2312"/>
                <w:color w:val="000000" w:themeColor="text1"/>
                <w:sz w:val="32"/>
                <w:szCs w:val="32"/>
              </w:rPr>
              <w:t>万元。</w:t>
            </w:r>
          </w:p>
          <w:p w14:paraId="79AECCF2">
            <w:pPr>
              <w:shd w:val="clear" w:color="auto" w:fill="FFFFFF"/>
              <w:spacing w:line="640" w:lineRule="exact"/>
              <w:ind w:firstLine="640" w:firstLineChars="200"/>
              <w:rPr>
                <w:rFonts w:ascii="仿宋" w:hAnsi="仿宋" w:eastAsia="仿宋" w:cs="宋体"/>
                <w:spacing w:val="-2"/>
                <w:sz w:val="32"/>
                <w:szCs w:val="32"/>
              </w:rPr>
            </w:pPr>
            <w:r>
              <w:rPr>
                <w:rFonts w:hint="eastAsia" w:ascii="仿宋" w:hAnsi="仿宋" w:eastAsia="仿宋" w:cs="宋体"/>
                <w:sz w:val="32"/>
                <w:szCs w:val="32"/>
                <w:shd w:val="clear" w:color="auto" w:fill="FFFFFF"/>
              </w:rPr>
              <w:t>2、整体支出管理情况：我单位在经费安排上统筹使用,厉行节约,确保工作能够正常运转。严格控制经费支出，严格执行公务接待报批手续，进一步规范报销程序。加强财务管理，注重在执行财经法规、财政纪律以及完善各项财经制度上下功夫。加强制度建设。修订完善了一系列制度，如财务管理办法、固定资产管理制度、接待制度、党风廉政建设制度等；紧缩各项开支。严格按照"量入为出，留有余地"的原则编制经费收支计划，对各项经费的使用管理做到了有计划、有安排；严格经费核算。按规定设置会计科目，按要求组织经费核算。实行分管财务领导审批制度，在平常的经费审核中，坚持事前监督和事后监督相结合的原则，做到"四个不批"，即开支不符合要求的不批、发票不符合规定的不批、超出标准的不批、手续不全的不批。从而较好地避免了假公济私和违纪违法问题的发生。经费安排上统筹使用,厉行节约,确保工作能够正常运转。厉行节约原则，严格控制经费支出，严格执行公务接待报批手续，进一步规范报销程序。</w:t>
            </w:r>
          </w:p>
          <w:p w14:paraId="7D779382">
            <w:pPr>
              <w:shd w:val="clear" w:color="auto" w:fill="FFFFFF"/>
              <w:spacing w:line="640" w:lineRule="exact"/>
              <w:ind w:firstLine="643"/>
              <w:rPr>
                <w:rFonts w:ascii="仿宋" w:hAnsi="仿宋" w:eastAsia="仿宋"/>
                <w:spacing w:val="-2"/>
                <w:kern w:val="0"/>
                <w:sz w:val="32"/>
                <w:szCs w:val="32"/>
              </w:rPr>
            </w:pPr>
            <w:r>
              <w:rPr>
                <w:rFonts w:hint="eastAsia" w:ascii="仿宋" w:hAnsi="仿宋" w:eastAsia="仿宋"/>
                <w:spacing w:val="-2"/>
                <w:kern w:val="0"/>
                <w:sz w:val="32"/>
                <w:szCs w:val="32"/>
              </w:rPr>
              <w:t>（二）专项支出</w:t>
            </w:r>
          </w:p>
          <w:p w14:paraId="283826E7">
            <w:pPr>
              <w:shd w:val="clear" w:color="auto" w:fill="FFFFFF"/>
              <w:spacing w:line="640" w:lineRule="exact"/>
              <w:ind w:firstLine="640" w:firstLineChars="200"/>
              <w:rPr>
                <w:rFonts w:ascii="仿宋" w:hAnsi="仿宋" w:eastAsia="仿宋" w:cs="宋体"/>
                <w:sz w:val="32"/>
                <w:szCs w:val="32"/>
                <w:shd w:val="clear" w:color="auto" w:fill="FFFFFF"/>
              </w:rPr>
            </w:pPr>
            <w:r>
              <w:rPr>
                <w:rFonts w:hint="eastAsia" w:ascii="仿宋" w:hAnsi="仿宋" w:eastAsia="仿宋" w:cs="宋体"/>
                <w:sz w:val="32"/>
                <w:szCs w:val="32"/>
                <w:shd w:val="clear" w:color="auto" w:fill="FFFFFF"/>
              </w:rPr>
              <w:t>1、专项资金安排落实、总投入等情况</w:t>
            </w:r>
          </w:p>
          <w:p w14:paraId="53AB43CC">
            <w:pPr>
              <w:shd w:val="clear" w:color="auto" w:fill="FFFFFF"/>
              <w:spacing w:line="640" w:lineRule="exact"/>
              <w:ind w:firstLine="640" w:firstLineChars="200"/>
              <w:rPr>
                <w:rFonts w:ascii="仿宋" w:hAnsi="仿宋" w:eastAsia="仿宋" w:cs="宋体"/>
                <w:sz w:val="32"/>
                <w:szCs w:val="32"/>
                <w:shd w:val="clear" w:color="auto" w:fill="FFFFFF"/>
              </w:rPr>
            </w:pPr>
            <w:r>
              <w:rPr>
                <w:rFonts w:hint="eastAsia" w:ascii="仿宋" w:hAnsi="仿宋" w:eastAsia="仿宋" w:cs="宋体"/>
                <w:sz w:val="32"/>
                <w:szCs w:val="32"/>
                <w:shd w:val="clear" w:color="auto" w:fill="FFFFFF"/>
              </w:rPr>
              <w:t>202</w:t>
            </w:r>
            <w:r>
              <w:rPr>
                <w:rFonts w:ascii="仿宋" w:hAnsi="仿宋" w:eastAsia="仿宋" w:cs="宋体"/>
                <w:sz w:val="32"/>
                <w:szCs w:val="32"/>
                <w:shd w:val="clear" w:color="auto" w:fill="FFFFFF"/>
              </w:rPr>
              <w:t>4</w:t>
            </w:r>
            <w:r>
              <w:rPr>
                <w:rFonts w:hint="eastAsia" w:ascii="仿宋" w:hAnsi="仿宋" w:eastAsia="仿宋" w:cs="宋体"/>
                <w:sz w:val="32"/>
                <w:szCs w:val="32"/>
                <w:shd w:val="clear" w:color="auto" w:fill="FFFFFF"/>
              </w:rPr>
              <w:t>年度项目支出</w:t>
            </w:r>
            <w:r>
              <w:rPr>
                <w:rFonts w:ascii="仿宋" w:hAnsi="仿宋" w:eastAsia="仿宋" w:cs="宋体"/>
                <w:sz w:val="32"/>
                <w:szCs w:val="32"/>
                <w:shd w:val="clear" w:color="auto" w:fill="FFFFFF"/>
              </w:rPr>
              <w:t>1362.01</w:t>
            </w:r>
            <w:r>
              <w:rPr>
                <w:rFonts w:hint="eastAsia" w:ascii="仿宋" w:hAnsi="仿宋" w:eastAsia="仿宋" w:cs="宋体"/>
                <w:sz w:val="32"/>
                <w:szCs w:val="32"/>
                <w:shd w:val="clear" w:color="auto" w:fill="FFFFFF"/>
              </w:rPr>
              <w:t>万元。</w:t>
            </w:r>
          </w:p>
          <w:p w14:paraId="7FD63447">
            <w:pPr>
              <w:numPr>
                <w:ilvl w:val="0"/>
                <w:numId w:val="2"/>
              </w:numPr>
              <w:shd w:val="clear" w:color="auto" w:fill="FFFFFF"/>
              <w:spacing w:line="640" w:lineRule="exact"/>
              <w:ind w:firstLine="640" w:firstLineChars="200"/>
              <w:rPr>
                <w:rFonts w:ascii="仿宋" w:hAnsi="仿宋" w:eastAsia="仿宋" w:cs="宋体"/>
                <w:sz w:val="32"/>
                <w:szCs w:val="32"/>
                <w:shd w:val="clear" w:color="auto" w:fill="FFFFFF"/>
              </w:rPr>
            </w:pPr>
            <w:r>
              <w:rPr>
                <w:rFonts w:hint="eastAsia" w:ascii="仿宋" w:hAnsi="仿宋" w:eastAsia="仿宋" w:cs="宋体"/>
                <w:sz w:val="32"/>
                <w:szCs w:val="32"/>
                <w:shd w:val="clear" w:color="auto" w:fill="FFFFFF"/>
              </w:rPr>
              <w:t>专项资金实际使用情况</w:t>
            </w:r>
          </w:p>
          <w:p w14:paraId="2D4CF719">
            <w:pPr>
              <w:shd w:val="clear" w:color="auto" w:fill="FFFFFF"/>
              <w:spacing w:line="640" w:lineRule="exact"/>
              <w:ind w:firstLine="640" w:firstLineChars="200"/>
              <w:rPr>
                <w:rFonts w:ascii="仿宋" w:hAnsi="仿宋" w:eastAsia="仿宋" w:cs="宋体"/>
                <w:sz w:val="32"/>
                <w:szCs w:val="32"/>
                <w:shd w:val="clear" w:color="auto" w:fill="FFFFFF"/>
              </w:rPr>
            </w:pPr>
            <w:r>
              <w:rPr>
                <w:rFonts w:hint="eastAsia" w:ascii="仿宋" w:hAnsi="仿宋" w:eastAsia="仿宋" w:cs="宋体"/>
                <w:sz w:val="32"/>
                <w:szCs w:val="32"/>
                <w:shd w:val="clear" w:color="auto" w:fill="FFFFFF"/>
              </w:rPr>
              <w:t>202</w:t>
            </w:r>
            <w:r>
              <w:rPr>
                <w:rFonts w:ascii="仿宋" w:hAnsi="仿宋" w:eastAsia="仿宋" w:cs="宋体"/>
                <w:sz w:val="32"/>
                <w:szCs w:val="32"/>
                <w:shd w:val="clear" w:color="auto" w:fill="FFFFFF"/>
              </w:rPr>
              <w:t>4</w:t>
            </w:r>
            <w:r>
              <w:rPr>
                <w:rFonts w:hint="eastAsia" w:ascii="仿宋" w:hAnsi="仿宋" w:eastAsia="仿宋" w:cs="宋体"/>
                <w:sz w:val="32"/>
                <w:szCs w:val="32"/>
                <w:shd w:val="clear" w:color="auto" w:fill="FFFFFF"/>
              </w:rPr>
              <w:t>年度项目支出</w:t>
            </w:r>
            <w:r>
              <w:rPr>
                <w:rFonts w:ascii="仿宋" w:hAnsi="仿宋" w:eastAsia="仿宋" w:cs="宋体"/>
                <w:sz w:val="32"/>
                <w:szCs w:val="32"/>
                <w:shd w:val="clear" w:color="auto" w:fill="FFFFFF"/>
              </w:rPr>
              <w:t>1362.01</w:t>
            </w:r>
            <w:r>
              <w:rPr>
                <w:rFonts w:hint="eastAsia" w:ascii="仿宋" w:hAnsi="仿宋" w:eastAsia="仿宋" w:cs="宋体"/>
                <w:sz w:val="32"/>
                <w:szCs w:val="32"/>
                <w:shd w:val="clear" w:color="auto" w:fill="FFFFFF"/>
              </w:rPr>
              <w:t>万元，其中乡镇文化站免费开放补助主要用于实施免费开放，满足群众文化生活需求，提高人民群众生活质量，免费开放县级配套主要用于用于实施三馆一站免费开放，满足群众文化生活需要，聚侨兴湘</w:t>
            </w:r>
          </w:p>
          <w:p w14:paraId="5F06E12E">
            <w:pPr>
              <w:shd w:val="clear" w:color="auto" w:fill="FFFFFF"/>
              <w:spacing w:line="640" w:lineRule="exact"/>
              <w:rPr>
                <w:rFonts w:ascii="仿宋" w:hAnsi="仿宋" w:eastAsia="仿宋" w:cs="宋体"/>
                <w:sz w:val="32"/>
                <w:szCs w:val="32"/>
                <w:shd w:val="clear" w:color="auto" w:fill="FFFFFF"/>
              </w:rPr>
            </w:pPr>
            <w:r>
              <w:rPr>
                <w:rFonts w:hint="eastAsia" w:ascii="仿宋" w:hAnsi="仿宋" w:eastAsia="仿宋" w:cs="宋体"/>
                <w:sz w:val="32"/>
                <w:szCs w:val="32"/>
                <w:shd w:val="clear" w:color="auto" w:fill="FFFFFF"/>
              </w:rPr>
              <w:t>丰收节活动主要通过举办怀景怀乡怀味丰收节活动，广泛凝聚侨心，充分发挥侨力，引导侨界人士助力乡村振兴，大江口龙舟赛举行4次，通过举办龙舟文化节，助推溆浦乡村振兴，文化旅游和经济的发展，旅游工作专项经费参加省市举办的旅游营销会6次，景区安全巡查1</w:t>
            </w:r>
            <w:r>
              <w:rPr>
                <w:rFonts w:ascii="仿宋" w:hAnsi="仿宋" w:eastAsia="仿宋" w:cs="宋体"/>
                <w:sz w:val="32"/>
                <w:szCs w:val="32"/>
                <w:shd w:val="clear" w:color="auto" w:fill="FFFFFF"/>
              </w:rPr>
              <w:t>2</w:t>
            </w:r>
            <w:r>
              <w:rPr>
                <w:rFonts w:hint="eastAsia" w:ascii="仿宋" w:hAnsi="仿宋" w:eastAsia="仿宋" w:cs="宋体"/>
                <w:sz w:val="32"/>
                <w:szCs w:val="32"/>
                <w:shd w:val="clear" w:color="auto" w:fill="FFFFFF"/>
              </w:rPr>
              <w:t>次，提升溆浦旅游品牌影响力，文化体育艺术活动经费支持文艺作品创作数量4次，开展文体艺术活动场次6次，组织乡镇文化活动及三下乡活动场次2</w:t>
            </w:r>
            <w:r>
              <w:rPr>
                <w:rFonts w:ascii="仿宋" w:hAnsi="仿宋" w:eastAsia="仿宋" w:cs="宋体"/>
                <w:sz w:val="32"/>
                <w:szCs w:val="32"/>
                <w:shd w:val="clear" w:color="auto" w:fill="FFFFFF"/>
              </w:rPr>
              <w:t>5</w:t>
            </w:r>
            <w:r>
              <w:rPr>
                <w:rFonts w:hint="eastAsia" w:ascii="仿宋" w:hAnsi="仿宋" w:eastAsia="仿宋" w:cs="宋体"/>
                <w:sz w:val="32"/>
                <w:szCs w:val="32"/>
                <w:shd w:val="clear" w:color="auto" w:fill="FFFFFF"/>
              </w:rPr>
              <w:t>次，组织开展体育及群体活动、公益性文化艺术活动，开展文化三下乡、支出文艺作品创作等公共文化服务工作，旅游营销联盟会费缴纳1次树立溆浦旅游品牌形象，增加溆浦旅游知名度和美誉度，舒新城故居免费开放3</w:t>
            </w:r>
            <w:r>
              <w:rPr>
                <w:rFonts w:ascii="仿宋" w:hAnsi="仿宋" w:eastAsia="仿宋" w:cs="宋体"/>
                <w:sz w:val="32"/>
                <w:szCs w:val="32"/>
                <w:shd w:val="clear" w:color="auto" w:fill="FFFFFF"/>
              </w:rPr>
              <w:t>65</w:t>
            </w:r>
            <w:r>
              <w:rPr>
                <w:rFonts w:hint="eastAsia" w:ascii="仿宋" w:hAnsi="仿宋" w:eastAsia="仿宋" w:cs="宋体"/>
                <w:sz w:val="32"/>
                <w:szCs w:val="32"/>
                <w:shd w:val="clear" w:color="auto" w:fill="FFFFFF"/>
              </w:rPr>
              <w:t>天，加强舒新城故居保护力度，弘扬辞海精神，实施免费开放，文物保护专项经费用于县级以上2</w:t>
            </w:r>
            <w:r>
              <w:rPr>
                <w:rFonts w:ascii="仿宋" w:hAnsi="仿宋" w:eastAsia="仿宋" w:cs="宋体"/>
                <w:sz w:val="32"/>
                <w:szCs w:val="32"/>
                <w:shd w:val="clear" w:color="auto" w:fill="FFFFFF"/>
              </w:rPr>
              <w:t>2</w:t>
            </w:r>
            <w:r>
              <w:rPr>
                <w:rFonts w:hint="eastAsia" w:ascii="仿宋" w:hAnsi="仿宋" w:eastAsia="仿宋" w:cs="宋体"/>
                <w:sz w:val="32"/>
                <w:szCs w:val="32"/>
                <w:shd w:val="clear" w:color="auto" w:fill="FFFFFF"/>
              </w:rPr>
              <w:t>处文保单位日常管理，安全消防检查6次，对文物本体进行2次维护，第六届少数民族运动会参赛项目5项，对获奖的运动员、教练、领队进行奖励，遗属补助保障2个遗属的基本生活需求，全民健身中心项目前期工作经费用于购买办公设备，租赁办公场所，应急广播体系建设及村村响运维经费用于对</w:t>
            </w:r>
            <w:r>
              <w:rPr>
                <w:rFonts w:ascii="仿宋" w:hAnsi="仿宋" w:eastAsia="仿宋" w:cs="宋体"/>
                <w:sz w:val="32"/>
                <w:szCs w:val="32"/>
                <w:shd w:val="clear" w:color="auto" w:fill="FFFFFF"/>
              </w:rPr>
              <w:t>372</w:t>
            </w:r>
            <w:r>
              <w:rPr>
                <w:rFonts w:hint="eastAsia" w:ascii="仿宋" w:hAnsi="仿宋" w:eastAsia="仿宋" w:cs="宋体"/>
                <w:sz w:val="32"/>
                <w:szCs w:val="32"/>
                <w:shd w:val="clear" w:color="auto" w:fill="FFFFFF"/>
              </w:rPr>
              <w:t>套村级平台设备维修4次，思蒙健身步道风雨桥完成基桩、系梁、立柱、盖梁等桥梁工程，体彩销售优秀网点补助用于进一步加强我县体彩销售管理工作，推进我县体育事业发展。</w:t>
            </w:r>
          </w:p>
          <w:p w14:paraId="20E45553">
            <w:pPr>
              <w:numPr>
                <w:ilvl w:val="0"/>
                <w:numId w:val="2"/>
              </w:numPr>
              <w:shd w:val="clear" w:color="auto" w:fill="FFFFFF"/>
              <w:spacing w:line="640" w:lineRule="exact"/>
              <w:ind w:firstLine="640" w:firstLineChars="200"/>
              <w:rPr>
                <w:rFonts w:ascii="仿宋" w:hAnsi="仿宋" w:eastAsia="仿宋" w:cs="宋体"/>
                <w:sz w:val="32"/>
                <w:szCs w:val="32"/>
                <w:shd w:val="clear" w:color="auto" w:fill="FFFFFF"/>
              </w:rPr>
            </w:pPr>
            <w:r>
              <w:rPr>
                <w:rFonts w:hint="eastAsia" w:ascii="仿宋" w:hAnsi="仿宋" w:eastAsia="仿宋" w:cs="宋体"/>
                <w:sz w:val="32"/>
                <w:szCs w:val="32"/>
                <w:shd w:val="clear" w:color="auto" w:fill="FFFFFF"/>
              </w:rPr>
              <w:t>专项资金管理情况分析</w:t>
            </w:r>
          </w:p>
          <w:p w14:paraId="1BCD7DA2">
            <w:pPr>
              <w:widowControl/>
              <w:spacing w:before="100" w:beforeAutospacing="1" w:after="100" w:afterAutospacing="1"/>
              <w:ind w:firstLine="640" w:firstLineChars="200"/>
              <w:jc w:val="left"/>
              <w:outlineLvl w:val="1"/>
              <w:rPr>
                <w:rFonts w:ascii="仿宋" w:hAnsi="仿宋" w:eastAsia="仿宋" w:cs="Segoe UI"/>
                <w:color w:val="000000" w:themeColor="text1"/>
                <w:kern w:val="0"/>
                <w:sz w:val="32"/>
                <w:szCs w:val="32"/>
              </w:rPr>
            </w:pPr>
            <w:bookmarkStart w:id="2" w:name="_Hlk196382581"/>
            <w:r>
              <w:rPr>
                <w:rFonts w:hint="eastAsia" w:ascii="仿宋" w:hAnsi="仿宋" w:eastAsia="仿宋" w:cs="宋体"/>
                <w:sz w:val="32"/>
                <w:szCs w:val="32"/>
                <w:shd w:val="clear" w:color="auto" w:fill="FFFFFF"/>
              </w:rPr>
              <w:t>我单位一</w:t>
            </w:r>
            <w:bookmarkEnd w:id="2"/>
            <w:r>
              <w:rPr>
                <w:rFonts w:hint="eastAsia" w:ascii="仿宋" w:hAnsi="仿宋" w:eastAsia="仿宋" w:cs="宋体"/>
                <w:sz w:val="32"/>
                <w:szCs w:val="32"/>
                <w:shd w:val="clear" w:color="auto" w:fill="FFFFFF"/>
              </w:rPr>
              <w:t>直加强财务管理，注重在执行财经法规、财政纪律以及完善各项财经制度上下功夫。加强制度建设。修订完善了一系列制度，如财务管理办法、固定资产管理制度、接待制度、党风廉政建设制度等；紧缩各项开支。专项资金专款专用</w:t>
            </w:r>
            <w:r>
              <w:rPr>
                <w:rFonts w:hint="eastAsia" w:ascii="仿宋" w:hAnsi="仿宋" w:eastAsia="仿宋" w:cs="宋体"/>
                <w:kern w:val="0"/>
                <w:sz w:val="32"/>
                <w:szCs w:val="32"/>
                <w:shd w:val="clear" w:color="auto" w:fill="FFFFFF"/>
              </w:rPr>
              <w:t>，各种专项资金的形成，建立、提取和使用都必须符合国家统一规定。对各种专项资金单独核算，不能占用；建立专项资金使用管理责任制，努力提高其使用效率；在资金的使用上，坚持专款专用，量入为出的原则，使各项专用资金按规定的用途使用并达到预期目的。支付程序：1资金申请者需根据相关规定和要求填写申请表，包括资金用途、金额等信息，并提供相关证明材料。2. 资金申请表和材料经过初步审核后，进入资金申请评审阶段。由相关部门或专项资金管理机构对申请进行评审，包括资金用途合理性、申请者的资质等进行综合评估。3. 经过评审后，如果申请合格，资金管理机构将出具批准文件，确认资金支付的金额和条件。如果申请不合格，申请者将收到通知并说明原因。4.一旦申请获得批准，资金管理机构将按照批准文件的要求进行拨付，即将批准的资金划拨到申请者指定的帐户。5.申请者按照批准文件和要求使用专项资金，并确保资金用于指定的用途。同时，还需要按照资金管理机构的要求提供相关支出和使用报告。6.专项资金使用期间，资金管理机构会进行监督和审计，确保专项资金使用符合规定和要求，并及时发现和解决问题。7.使用期限届满后，申请者需要向资金管理机构提交结算和报告，包括资金使用情况、支出明细等。</w:t>
            </w:r>
          </w:p>
          <w:p w14:paraId="1515A700">
            <w:pPr>
              <w:pStyle w:val="9"/>
              <w:widowControl/>
              <w:numPr>
                <w:ilvl w:val="0"/>
                <w:numId w:val="1"/>
              </w:numPr>
              <w:spacing w:before="100" w:beforeAutospacing="1" w:after="100" w:afterAutospacing="1"/>
              <w:ind w:firstLineChars="0"/>
              <w:jc w:val="left"/>
              <w:outlineLvl w:val="1"/>
              <w:rPr>
                <w:rFonts w:ascii="仿宋" w:hAnsi="仿宋" w:eastAsia="仿宋" w:cs="黑体"/>
                <w:color w:val="000000" w:themeColor="text1"/>
                <w:kern w:val="0"/>
                <w:sz w:val="32"/>
                <w:szCs w:val="32"/>
              </w:rPr>
            </w:pPr>
            <w:r>
              <w:rPr>
                <w:rFonts w:hint="eastAsia" w:ascii="仿宋" w:hAnsi="仿宋" w:eastAsia="仿宋" w:cs="黑体"/>
                <w:color w:val="000000" w:themeColor="text1"/>
                <w:kern w:val="0"/>
                <w:sz w:val="32"/>
                <w:szCs w:val="32"/>
              </w:rPr>
              <w:t>政府性基金预算支出情况</w:t>
            </w:r>
          </w:p>
          <w:p w14:paraId="6D896E3F">
            <w:pPr>
              <w:spacing w:line="580" w:lineRule="exact"/>
              <w:ind w:firstLine="640" w:firstLineChars="200"/>
              <w:rPr>
                <w:rFonts w:ascii="仿宋" w:hAnsi="仿宋" w:eastAsia="仿宋"/>
                <w:sz w:val="32"/>
                <w:szCs w:val="32"/>
              </w:rPr>
            </w:pPr>
            <w:bookmarkStart w:id="3" w:name="OLE_LINK4"/>
            <w:r>
              <w:rPr>
                <w:rFonts w:hint="eastAsia" w:ascii="仿宋" w:hAnsi="仿宋" w:eastAsia="仿宋"/>
                <w:sz w:val="32"/>
                <w:szCs w:val="32"/>
              </w:rPr>
              <w:t>20</w:t>
            </w:r>
            <w:r>
              <w:rPr>
                <w:rFonts w:ascii="仿宋" w:hAnsi="仿宋" w:eastAsia="仿宋"/>
                <w:sz w:val="32"/>
                <w:szCs w:val="32"/>
              </w:rPr>
              <w:t>24</w:t>
            </w:r>
            <w:r>
              <w:rPr>
                <w:rFonts w:hint="eastAsia" w:ascii="仿宋" w:hAnsi="仿宋" w:eastAsia="仿宋"/>
                <w:sz w:val="32"/>
                <w:szCs w:val="32"/>
              </w:rPr>
              <w:t>年本年度政府性基金收入</w:t>
            </w:r>
            <w:r>
              <w:rPr>
                <w:rFonts w:ascii="仿宋" w:hAnsi="仿宋" w:eastAsia="仿宋"/>
                <w:sz w:val="32"/>
                <w:szCs w:val="32"/>
              </w:rPr>
              <w:t>333.28</w:t>
            </w:r>
            <w:r>
              <w:rPr>
                <w:rFonts w:hint="eastAsia" w:ascii="仿宋" w:hAnsi="仿宋" w:eastAsia="仿宋"/>
                <w:sz w:val="32"/>
                <w:szCs w:val="32"/>
              </w:rPr>
              <w:t>万元，项目支出</w:t>
            </w:r>
            <w:r>
              <w:rPr>
                <w:rFonts w:ascii="仿宋" w:hAnsi="仿宋" w:eastAsia="仿宋"/>
                <w:sz w:val="32"/>
                <w:szCs w:val="32"/>
              </w:rPr>
              <w:t>333.28</w:t>
            </w:r>
            <w:r>
              <w:rPr>
                <w:rFonts w:hint="eastAsia" w:ascii="仿宋" w:hAnsi="仿宋" w:eastAsia="仿宋"/>
                <w:sz w:val="32"/>
                <w:szCs w:val="32"/>
              </w:rPr>
              <w:t>万元。主要用于</w:t>
            </w:r>
            <w:bookmarkStart w:id="4" w:name="OLE_LINK6"/>
            <w:bookmarkStart w:id="5" w:name="OLE_LINK3"/>
            <w:r>
              <w:rPr>
                <w:rFonts w:hint="eastAsia" w:ascii="仿宋" w:hAnsi="仿宋" w:eastAsia="仿宋"/>
                <w:sz w:val="32"/>
                <w:szCs w:val="32"/>
              </w:rPr>
              <w:t>思蒙健身步道风雨桥工程款、</w:t>
            </w:r>
            <w:bookmarkEnd w:id="4"/>
            <w:bookmarkEnd w:id="5"/>
            <w:r>
              <w:rPr>
                <w:rFonts w:hint="eastAsia" w:ascii="仿宋" w:hAnsi="仿宋" w:eastAsia="仿宋"/>
                <w:sz w:val="32"/>
                <w:szCs w:val="32"/>
              </w:rPr>
              <w:t>市六少数民族运动会比赛、思蒙健身步道风雨桥工程款、全民健身体育器材购置、开展全民健身文体活动等。</w:t>
            </w:r>
          </w:p>
          <w:bookmarkEnd w:id="3"/>
          <w:p w14:paraId="2718CEA2">
            <w:pPr>
              <w:pStyle w:val="9"/>
              <w:widowControl/>
              <w:numPr>
                <w:ilvl w:val="0"/>
                <w:numId w:val="1"/>
              </w:numPr>
              <w:spacing w:before="100" w:beforeAutospacing="1" w:after="100" w:afterAutospacing="1"/>
              <w:ind w:firstLineChars="0"/>
              <w:jc w:val="left"/>
              <w:outlineLvl w:val="1"/>
              <w:rPr>
                <w:rFonts w:ascii="仿宋" w:hAnsi="仿宋" w:eastAsia="仿宋" w:cs="黑体"/>
                <w:color w:val="000000" w:themeColor="text1"/>
                <w:kern w:val="0"/>
                <w:sz w:val="32"/>
                <w:szCs w:val="32"/>
              </w:rPr>
            </w:pPr>
            <w:r>
              <w:rPr>
                <w:rFonts w:hint="eastAsia" w:ascii="仿宋" w:hAnsi="仿宋" w:eastAsia="仿宋" w:cs="黑体"/>
                <w:color w:val="000000" w:themeColor="text1"/>
                <w:kern w:val="0"/>
                <w:sz w:val="32"/>
                <w:szCs w:val="32"/>
              </w:rPr>
              <w:t>国有资本经营预算支出情况</w:t>
            </w:r>
          </w:p>
          <w:p w14:paraId="69498B7D">
            <w:pPr>
              <w:widowControl/>
              <w:spacing w:before="100" w:beforeAutospacing="1" w:after="100" w:afterAutospacing="1"/>
              <w:ind w:firstLine="480" w:firstLineChars="150"/>
              <w:jc w:val="left"/>
              <w:outlineLvl w:val="1"/>
              <w:rPr>
                <w:rFonts w:ascii="仿宋" w:hAnsi="仿宋" w:eastAsia="仿宋" w:cs="Segoe UI"/>
                <w:color w:val="000000" w:themeColor="text1"/>
                <w:kern w:val="0"/>
                <w:sz w:val="32"/>
                <w:szCs w:val="32"/>
              </w:rPr>
            </w:pPr>
            <w:bookmarkStart w:id="6" w:name="OLE_LINK5"/>
            <w:r>
              <w:rPr>
                <w:rFonts w:hint="eastAsia" w:ascii="仿宋" w:hAnsi="仿宋" w:eastAsia="仿宋" w:cs="Segoe UI"/>
                <w:color w:val="000000" w:themeColor="text1"/>
                <w:kern w:val="0"/>
                <w:sz w:val="32"/>
                <w:szCs w:val="32"/>
              </w:rPr>
              <w:t>本单位无国有资本经营基金预算支出</w:t>
            </w:r>
          </w:p>
          <w:bookmarkEnd w:id="6"/>
          <w:p w14:paraId="5B254298">
            <w:pPr>
              <w:pStyle w:val="9"/>
              <w:widowControl/>
              <w:numPr>
                <w:ilvl w:val="0"/>
                <w:numId w:val="1"/>
              </w:numPr>
              <w:spacing w:before="100" w:beforeAutospacing="1" w:after="100" w:afterAutospacing="1"/>
              <w:ind w:firstLineChars="0"/>
              <w:jc w:val="left"/>
              <w:outlineLvl w:val="1"/>
              <w:rPr>
                <w:rFonts w:ascii="仿宋" w:hAnsi="仿宋" w:eastAsia="仿宋" w:cs="黑体"/>
                <w:color w:val="000000" w:themeColor="text1"/>
                <w:kern w:val="0"/>
                <w:sz w:val="32"/>
                <w:szCs w:val="32"/>
              </w:rPr>
            </w:pPr>
            <w:r>
              <w:rPr>
                <w:rFonts w:hint="eastAsia" w:ascii="仿宋" w:hAnsi="仿宋" w:eastAsia="仿宋" w:cs="黑体"/>
                <w:color w:val="000000" w:themeColor="text1"/>
                <w:kern w:val="0"/>
                <w:sz w:val="32"/>
                <w:szCs w:val="32"/>
              </w:rPr>
              <w:t>社会保险基金预算支出情况</w:t>
            </w:r>
          </w:p>
          <w:p w14:paraId="575693A2">
            <w:pPr>
              <w:widowControl/>
              <w:spacing w:before="100" w:beforeAutospacing="1" w:after="100" w:afterAutospacing="1"/>
              <w:ind w:firstLine="480" w:firstLineChars="150"/>
              <w:jc w:val="left"/>
              <w:outlineLvl w:val="1"/>
              <w:rPr>
                <w:rFonts w:ascii="仿宋" w:hAnsi="仿宋" w:eastAsia="仿宋" w:cs="Segoe UI"/>
                <w:color w:val="000000" w:themeColor="text1"/>
                <w:kern w:val="0"/>
                <w:sz w:val="32"/>
                <w:szCs w:val="32"/>
              </w:rPr>
            </w:pPr>
            <w:r>
              <w:rPr>
                <w:rFonts w:hint="eastAsia" w:ascii="仿宋" w:hAnsi="仿宋" w:eastAsia="仿宋" w:cs="Segoe UI"/>
                <w:color w:val="000000" w:themeColor="text1"/>
                <w:kern w:val="0"/>
                <w:sz w:val="32"/>
                <w:szCs w:val="32"/>
              </w:rPr>
              <w:t>本单位无社会保基金预算支出</w:t>
            </w:r>
          </w:p>
          <w:p w14:paraId="1C7EA212">
            <w:pPr>
              <w:pStyle w:val="9"/>
              <w:widowControl/>
              <w:numPr>
                <w:ilvl w:val="0"/>
                <w:numId w:val="1"/>
              </w:numPr>
              <w:spacing w:before="100" w:beforeAutospacing="1" w:after="100" w:afterAutospacing="1"/>
              <w:ind w:firstLineChars="0"/>
              <w:jc w:val="left"/>
              <w:outlineLvl w:val="1"/>
              <w:rPr>
                <w:rFonts w:ascii="仿宋" w:hAnsi="仿宋" w:eastAsia="仿宋" w:cs="黑体"/>
                <w:color w:val="000000" w:themeColor="text1"/>
                <w:kern w:val="0"/>
                <w:sz w:val="32"/>
                <w:szCs w:val="32"/>
              </w:rPr>
            </w:pPr>
            <w:r>
              <w:rPr>
                <w:rFonts w:hint="eastAsia" w:ascii="仿宋" w:hAnsi="仿宋" w:eastAsia="仿宋" w:cs="黑体"/>
                <w:color w:val="000000" w:themeColor="text1"/>
                <w:kern w:val="0"/>
                <w:sz w:val="32"/>
                <w:szCs w:val="32"/>
              </w:rPr>
              <w:t>部门整体支出绩效情况</w:t>
            </w:r>
          </w:p>
          <w:p w14:paraId="36DEA722">
            <w:pPr>
              <w:widowControl/>
              <w:spacing w:before="100" w:beforeAutospacing="1" w:after="100" w:afterAutospacing="1"/>
              <w:ind w:firstLine="419" w:firstLineChars="131"/>
              <w:jc w:val="left"/>
              <w:outlineLvl w:val="1"/>
              <w:rPr>
                <w:rFonts w:ascii="仿宋" w:hAnsi="仿宋" w:eastAsia="仿宋" w:cs="Segoe UI"/>
                <w:color w:val="000000" w:themeColor="text1"/>
                <w:kern w:val="0"/>
                <w:sz w:val="32"/>
                <w:szCs w:val="32"/>
              </w:rPr>
            </w:pPr>
            <w:r>
              <w:rPr>
                <w:rFonts w:hint="eastAsia" w:ascii="仿宋" w:hAnsi="仿宋" w:eastAsia="仿宋" w:cs="Segoe UI"/>
                <w:color w:val="000000" w:themeColor="text1"/>
                <w:kern w:val="0"/>
                <w:sz w:val="32"/>
                <w:szCs w:val="32"/>
              </w:rPr>
              <w:t>（一）自评得分：89分，评价等级为良好。</w:t>
            </w:r>
          </w:p>
          <w:p w14:paraId="5F8283EA">
            <w:pPr>
              <w:widowControl/>
              <w:spacing w:before="100" w:beforeAutospacing="1" w:after="100" w:afterAutospacing="1"/>
              <w:ind w:firstLine="419" w:firstLineChars="131"/>
              <w:jc w:val="left"/>
              <w:outlineLvl w:val="1"/>
              <w:rPr>
                <w:rFonts w:ascii="仿宋" w:hAnsi="仿宋" w:eastAsia="仿宋" w:cs="Segoe UI"/>
                <w:color w:val="000000" w:themeColor="text1"/>
                <w:kern w:val="0"/>
                <w:sz w:val="32"/>
                <w:szCs w:val="32"/>
              </w:rPr>
            </w:pPr>
            <w:r>
              <w:rPr>
                <w:rFonts w:hint="eastAsia" w:ascii="仿宋" w:hAnsi="仿宋" w:eastAsia="仿宋" w:cs="Segoe UI"/>
                <w:color w:val="000000" w:themeColor="text1"/>
                <w:kern w:val="0"/>
                <w:sz w:val="32"/>
                <w:szCs w:val="32"/>
              </w:rPr>
              <w:t>（二）评价指标分析</w:t>
            </w:r>
          </w:p>
          <w:p w14:paraId="27E3D488">
            <w:pPr>
              <w:snapToGrid w:val="0"/>
              <w:spacing w:line="360" w:lineRule="auto"/>
              <w:ind w:firstLine="320" w:firstLineChars="100"/>
              <w:rPr>
                <w:rFonts w:ascii="仿宋" w:hAnsi="仿宋" w:eastAsia="仿宋" w:cs="仿宋_GB2312"/>
                <w:color w:val="000000"/>
                <w:kern w:val="0"/>
                <w:sz w:val="32"/>
                <w:szCs w:val="32"/>
                <w:shd w:val="clear" w:color="auto" w:fill="FFFFFF"/>
              </w:rPr>
            </w:pPr>
            <w:r>
              <w:rPr>
                <w:rFonts w:hint="eastAsia" w:ascii="仿宋" w:hAnsi="仿宋" w:eastAsia="仿宋" w:cs="仿宋_GB2312"/>
                <w:color w:val="000000"/>
                <w:kern w:val="0"/>
                <w:sz w:val="32"/>
                <w:szCs w:val="32"/>
                <w:shd w:val="clear" w:color="auto" w:fill="FFFFFF"/>
              </w:rPr>
              <w:t>1.全力推进国家</w:t>
            </w:r>
            <w:r>
              <w:rPr>
                <w:rFonts w:hint="eastAsia" w:ascii="仿宋" w:hAnsi="仿宋" w:eastAsia="仿宋" w:cs="仿宋_GB2312"/>
                <w:sz w:val="32"/>
                <w:szCs w:val="32"/>
              </w:rPr>
              <w:t>级休闲旅游度假区建设。“锦绣潇湘·神韵雪峰”旅游板块，按照省文旅厅统一安排，我省雪峰山核心区域的4市16县联合创建申报国家级休闲旅游度假区。</w:t>
            </w:r>
          </w:p>
          <w:p w14:paraId="095BF46F">
            <w:pPr>
              <w:snapToGrid w:val="0"/>
              <w:spacing w:line="360" w:lineRule="auto"/>
              <w:ind w:firstLine="640" w:firstLineChars="200"/>
              <w:rPr>
                <w:rFonts w:ascii="仿宋" w:hAnsi="仿宋" w:eastAsia="仿宋" w:cs="仿宋_GB2312"/>
                <w:color w:val="000000"/>
                <w:kern w:val="32"/>
                <w:sz w:val="32"/>
                <w:szCs w:val="32"/>
              </w:rPr>
            </w:pPr>
            <w:r>
              <w:rPr>
                <w:rFonts w:hint="eastAsia" w:ascii="仿宋" w:hAnsi="仿宋" w:eastAsia="仿宋" w:cs="仿宋_GB2312"/>
                <w:color w:val="000000"/>
                <w:kern w:val="0"/>
                <w:sz w:val="32"/>
                <w:szCs w:val="32"/>
                <w:shd w:val="clear" w:color="auto" w:fill="FFFFFF"/>
              </w:rPr>
              <w:t>2.全力推动</w:t>
            </w:r>
            <w:r>
              <w:rPr>
                <w:rFonts w:hint="eastAsia" w:ascii="仿宋" w:hAnsi="仿宋" w:eastAsia="仿宋" w:cs="仿宋_GB2312"/>
                <w:color w:val="000000"/>
                <w:kern w:val="32"/>
                <w:sz w:val="32"/>
                <w:szCs w:val="32"/>
              </w:rPr>
              <w:t>项目建设</w:t>
            </w:r>
            <w:r>
              <w:rPr>
                <w:rFonts w:hint="eastAsia" w:ascii="仿宋" w:hAnsi="仿宋" w:eastAsia="仿宋" w:cs="仿宋_GB2312"/>
                <w:color w:val="000000"/>
                <w:sz w:val="32"/>
                <w:szCs w:val="32"/>
              </w:rPr>
              <w:t>。积极筹备2025年省旅发大会，我们重点抓山背花瑶梯田景区观光索道建设项目和雪峰国际大酒店项目2个现场观摩项目，7月15日书记带队到索道调研，目前中下站主体已经基本完工，准备装修；上站正在强力推进，</w:t>
            </w:r>
            <w:r>
              <w:rPr>
                <w:rFonts w:hint="eastAsia" w:ascii="仿宋" w:hAnsi="仿宋" w:eastAsia="仿宋" w:cs="仿宋_GB2312"/>
                <w:sz w:val="32"/>
                <w:szCs w:val="32"/>
              </w:rPr>
              <w:t>观景平台层、连系梁、次梁、柱等已完成90%；索道上站二层楼板已全部浇捣完毕。</w:t>
            </w:r>
            <w:r>
              <w:rPr>
                <w:rFonts w:hint="eastAsia" w:ascii="仿宋" w:hAnsi="仿宋" w:eastAsia="仿宋" w:cs="仿宋_GB2312"/>
                <w:color w:val="000000"/>
                <w:sz w:val="32"/>
                <w:szCs w:val="32"/>
              </w:rPr>
              <w:t>雪峰国际大酒店项目已完成主体外墙装修，正在开展室内装修，争取年底前投入运营；北斗溪北斗文化园、全民健身中心已申报专项债，正在办理相关手续。以项目建设进一步充实以县城为核心，北斗溪、穿岩山、思蒙为圈的文旅经济产业圈硬核</w:t>
            </w:r>
            <w:r>
              <w:rPr>
                <w:rFonts w:hint="eastAsia" w:ascii="仿宋" w:hAnsi="仿宋" w:eastAsia="仿宋" w:cs="仿宋_GB2312"/>
                <w:color w:val="000000"/>
                <w:kern w:val="32"/>
                <w:sz w:val="32"/>
                <w:szCs w:val="32"/>
              </w:rPr>
              <w:t>。</w:t>
            </w:r>
          </w:p>
          <w:p w14:paraId="2402C3C7">
            <w:pPr>
              <w:snapToGrid w:val="0"/>
              <w:spacing w:line="360" w:lineRule="auto"/>
              <w:ind w:firstLine="800" w:firstLineChars="250"/>
              <w:rPr>
                <w:rFonts w:ascii="仿宋" w:hAnsi="仿宋" w:eastAsia="仿宋" w:cs="仿宋_GB2312"/>
                <w:color w:val="000000"/>
                <w:kern w:val="0"/>
                <w:sz w:val="32"/>
                <w:szCs w:val="32"/>
                <w:shd w:val="clear" w:color="auto" w:fill="FFFFFF"/>
              </w:rPr>
            </w:pPr>
            <w:r>
              <w:rPr>
                <w:rFonts w:hint="eastAsia" w:ascii="仿宋" w:hAnsi="仿宋" w:eastAsia="仿宋" w:cs="仿宋_GB2312"/>
                <w:color w:val="000000"/>
                <w:kern w:val="32"/>
                <w:sz w:val="32"/>
                <w:szCs w:val="32"/>
              </w:rPr>
              <w:t>3.</w:t>
            </w:r>
            <w:r>
              <w:rPr>
                <w:rFonts w:hint="eastAsia" w:ascii="仿宋" w:hAnsi="仿宋" w:eastAsia="仿宋" w:cs="仿宋_GB2312"/>
                <w:sz w:val="32"/>
                <w:szCs w:val="32"/>
              </w:rPr>
              <w:t>精心举办多彩活动，丰富群众文化生活。</w:t>
            </w:r>
            <w:r>
              <w:rPr>
                <w:rFonts w:hint="eastAsia" w:ascii="仿宋" w:hAnsi="仿宋" w:eastAsia="仿宋" w:cs="仿宋_GB2312"/>
                <w:color w:val="000000"/>
                <w:kern w:val="32"/>
                <w:sz w:val="32"/>
                <w:szCs w:val="32"/>
              </w:rPr>
              <w:t>承办了省文旅厅举办的“湘村相见”湖南乡村文旅系列活动，</w:t>
            </w:r>
            <w:r>
              <w:rPr>
                <w:rFonts w:hint="eastAsia" w:ascii="仿宋" w:hAnsi="仿宋" w:eastAsia="仿宋" w:cs="仿宋_GB2312"/>
                <w:sz w:val="32"/>
                <w:szCs w:val="32"/>
              </w:rPr>
              <w:t>举办了插秧节、“南国雪峰花瑶盛宴”“新春读书会”“猜灯谜”“非遗展演”“新春联欢龙腾盛世”灯会、芳草书画展，丰收节等文旅活动。6月20日</w:t>
            </w:r>
            <w:r>
              <w:rPr>
                <w:rFonts w:hint="eastAsia" w:ascii="仿宋" w:hAnsi="仿宋" w:eastAsia="仿宋" w:cs="仿宋_GB2312"/>
                <w:color w:val="000000"/>
                <w:kern w:val="0"/>
                <w:sz w:val="32"/>
                <w:szCs w:val="32"/>
              </w:rPr>
              <w:t>—23日</w:t>
            </w:r>
            <w:r>
              <w:rPr>
                <w:rFonts w:hint="eastAsia" w:ascii="仿宋" w:hAnsi="仿宋" w:eastAsia="仿宋" w:cs="仿宋_GB2312"/>
                <w:color w:val="000000"/>
                <w:sz w:val="32"/>
                <w:szCs w:val="32"/>
              </w:rPr>
              <w:t>承办了屈子行吟·诗歌之源-2024湖南怀化爱国怀乡诗歌节、“我们的节日·端午”主题文化活动暨怀化传统龙舟赛</w:t>
            </w:r>
            <w:r>
              <w:rPr>
                <w:rFonts w:hint="eastAsia" w:ascii="仿宋" w:hAnsi="仿宋" w:eastAsia="仿宋" w:cs="仿宋_GB2312"/>
                <w:sz w:val="32"/>
                <w:szCs w:val="32"/>
              </w:rPr>
              <w:t>，总流量达1000万余，现场观众达30万人次，拉动经济3亿元。</w:t>
            </w:r>
          </w:p>
          <w:p w14:paraId="4F372449">
            <w:pPr>
              <w:spacing w:line="360" w:lineRule="auto"/>
              <w:ind w:firstLine="800" w:firstLineChars="250"/>
              <w:rPr>
                <w:rFonts w:ascii="仿宋" w:hAnsi="仿宋" w:eastAsia="仿宋" w:cs="仿宋_GB2312"/>
                <w:sz w:val="32"/>
                <w:szCs w:val="32"/>
              </w:rPr>
            </w:pPr>
            <w:r>
              <w:rPr>
                <w:rFonts w:hint="eastAsia" w:ascii="仿宋" w:hAnsi="仿宋" w:eastAsia="仿宋" w:cs="仿宋_GB2312"/>
                <w:sz w:val="32"/>
                <w:szCs w:val="32"/>
              </w:rPr>
              <w:t>4.全力推进文旅行业招商引资。2024年成功签约明月山泉旅游度假区建设项目10亿元，月亮岛红色家山深子湖旅游度假区建设项目1.2亿元；刘家渡田园康养综合体建设项目1.2亿元；雪峰山高铁观光索道项目0.495亿元。合计12.895亿元。正在与中交集团一工局洽谈思蒙4A级景区合作事宜。</w:t>
            </w:r>
          </w:p>
          <w:p w14:paraId="3A056998">
            <w:pPr>
              <w:snapToGrid w:val="0"/>
              <w:spacing w:line="560" w:lineRule="exact"/>
              <w:ind w:firstLine="800" w:firstLineChars="250"/>
              <w:jc w:val="left"/>
              <w:rPr>
                <w:rFonts w:ascii="仿宋" w:hAnsi="仿宋" w:eastAsia="仿宋" w:cs="Times New Roman"/>
                <w:sz w:val="32"/>
                <w:szCs w:val="32"/>
              </w:rPr>
            </w:pPr>
            <w:r>
              <w:rPr>
                <w:rFonts w:hint="eastAsia" w:ascii="仿宋" w:hAnsi="仿宋" w:eastAsia="仿宋" w:cs="仿宋_GB2312"/>
                <w:sz w:val="32"/>
                <w:szCs w:val="32"/>
              </w:rPr>
              <w:t>5.大力推进惠民活动，显著提升幸福指数。积极组织辰河目连戏传承中心与5家民间优秀剧团深入全县25个乡镇积极开展文化惠民活动，送戏曲进乡村文化惠民活动达200余场；积极开展“新时代文明实践‘三下乡’”活动25场次；积极开展送书画下乡活动，截至9月，累计送出书画万余幅、图书千余册，受益群众达20余万人次；积极开展送电影下乡展映活动4000余场次。这不仅极大地丰富了群众的文艺文化生活，还显著提升了群众的幸福指数。</w:t>
            </w:r>
          </w:p>
          <w:p w14:paraId="17829222">
            <w:pPr>
              <w:widowControl/>
              <w:spacing w:line="560" w:lineRule="exact"/>
              <w:ind w:firstLine="800" w:firstLineChars="250"/>
              <w:jc w:val="left"/>
              <w:rPr>
                <w:rFonts w:ascii="仿宋" w:hAnsi="仿宋" w:eastAsia="仿宋" w:cs="Times New Roman"/>
                <w:sz w:val="32"/>
                <w:szCs w:val="32"/>
              </w:rPr>
            </w:pPr>
            <w:r>
              <w:rPr>
                <w:rFonts w:ascii="仿宋" w:hAnsi="仿宋" w:eastAsia="仿宋" w:cs="楷体"/>
                <w:sz w:val="32"/>
                <w:szCs w:val="32"/>
              </w:rPr>
              <w:t>6.</w:t>
            </w:r>
            <w:r>
              <w:rPr>
                <w:rFonts w:hint="eastAsia" w:ascii="仿宋" w:hAnsi="仿宋" w:eastAsia="仿宋" w:cs="楷体"/>
                <w:sz w:val="32"/>
                <w:szCs w:val="32"/>
              </w:rPr>
              <w:t>传承和利用，持续激发传统历史文化底蕴的蓬勃活力。</w:t>
            </w:r>
          </w:p>
          <w:p w14:paraId="564E0A40">
            <w:pPr>
              <w:widowControl/>
              <w:jc w:val="left"/>
              <w:rPr>
                <w:rFonts w:ascii="仿宋" w:hAnsi="仿宋" w:eastAsia="仿宋" w:cs="仿宋_GB2312"/>
                <w:sz w:val="32"/>
                <w:szCs w:val="32"/>
              </w:rPr>
            </w:pPr>
            <w:r>
              <w:rPr>
                <w:rFonts w:hint="eastAsia" w:ascii="仿宋" w:hAnsi="仿宋" w:eastAsia="仿宋" w:cs="Times New Roman"/>
                <w:sz w:val="32"/>
                <w:szCs w:val="32"/>
              </w:rPr>
              <w:t>一是非遗传承活力满满。</w:t>
            </w:r>
            <w:r>
              <w:rPr>
                <w:rFonts w:hint="eastAsia" w:ascii="仿宋" w:hAnsi="仿宋" w:eastAsia="仿宋" w:cs="仿宋_GB2312"/>
                <w:sz w:val="32"/>
                <w:szCs w:val="32"/>
              </w:rPr>
              <w:t>我县拥有国家级非遗产名录2项、省级6项、市级18项、县级14项，花瑶挑花非遗文化传习所5个、傩戏传习所2个。着力把非遗产品变成俊俏商品，花瑶挑花等非遗民俗产品成为游客争相购买的“网红”产品，通过开展非遗展演以及线上线下推广，共销售各类非遗产品6000余件，产值600多万元。二是文物保护扎实有力。全面启动了第四次全国文物普查工作，对溆浦县文物资源进行了一次全面梳理和深入挖掘，建立健全34处文物保护单位和183处不可移动文物点信息库。修缮王勋华故居、龙潭战役野战医院旧址等5处文保单位。积极开展考古发掘工作，配合省考古研究院对桥思公路的调查勘探和考古发掘工作。积极申报农民协会革命活动旧址等4处为十二批省级文保单位，申报了龙潭战役野战医院旧址展示工程，溆浦崇实书院防雷工程等5项计划书。三是非遗传承创新成效显著。以时任县委书记孙学辰带领干部群众修建深子湖水库的壮举，弘扬“不占公家一分钱油水”的清廉精神的大型辰河戏《孙学辰》。已完成了《匡国卿尽忠》《蜜蜂头》《松林试道》等剧目的排练，同时，我们为深入怀念革命先烈，进一步弘扬警予精神，正积极编排大型辰河戏《溆浦向警予》。</w:t>
            </w:r>
          </w:p>
          <w:p w14:paraId="19DE3512">
            <w:pPr>
              <w:snapToGrid w:val="0"/>
              <w:spacing w:line="360" w:lineRule="auto"/>
              <w:ind w:firstLine="800" w:firstLineChars="250"/>
              <w:rPr>
                <w:rFonts w:ascii="仿宋" w:hAnsi="仿宋" w:eastAsia="仿宋" w:cs="楷体"/>
                <w:sz w:val="32"/>
                <w:szCs w:val="32"/>
              </w:rPr>
            </w:pPr>
            <w:r>
              <w:rPr>
                <w:rFonts w:ascii="仿宋" w:hAnsi="仿宋" w:eastAsia="仿宋" w:cs="楷体"/>
                <w:sz w:val="32"/>
                <w:szCs w:val="32"/>
              </w:rPr>
              <w:t>7.</w:t>
            </w:r>
            <w:r>
              <w:rPr>
                <w:rFonts w:hint="eastAsia" w:ascii="仿宋" w:hAnsi="仿宋" w:eastAsia="仿宋" w:cs="楷体"/>
                <w:sz w:val="32"/>
                <w:szCs w:val="32"/>
              </w:rPr>
              <w:t>重点经济指标完成情况</w:t>
            </w:r>
          </w:p>
          <w:p w14:paraId="0277797E">
            <w:pPr>
              <w:topLinePunct/>
              <w:snapToGrid w:val="0"/>
              <w:spacing w:line="360" w:lineRule="auto"/>
              <w:ind w:firstLine="640" w:firstLineChars="200"/>
              <w:rPr>
                <w:rFonts w:ascii="仿宋" w:hAnsi="仿宋" w:eastAsia="仿宋" w:cs="仿宋_GB2312"/>
                <w:sz w:val="32"/>
                <w:szCs w:val="32"/>
              </w:rPr>
            </w:pPr>
            <w:r>
              <w:rPr>
                <w:rFonts w:hint="eastAsia" w:ascii="仿宋" w:hAnsi="仿宋" w:eastAsia="仿宋" w:cs="仿宋_GB2312"/>
                <w:sz w:val="32"/>
                <w:szCs w:val="32"/>
              </w:rPr>
              <w:t>①旅游收入及增速。前三季度接待游客678.9785万人次，收入61.0229亿元，分别增长8.92%、9.64%；1-7月规模以上文化和旅游企业营业收入0.8197亿，增速46.15%。</w:t>
            </w:r>
          </w:p>
          <w:p w14:paraId="24B6C129">
            <w:pPr>
              <w:topLinePunct/>
              <w:snapToGrid w:val="0"/>
              <w:spacing w:line="360" w:lineRule="auto"/>
              <w:ind w:firstLine="640" w:firstLineChars="200"/>
              <w:rPr>
                <w:rFonts w:ascii="仿宋" w:hAnsi="仿宋" w:eastAsia="仿宋" w:cs="仿宋_GB2312"/>
                <w:sz w:val="32"/>
                <w:szCs w:val="32"/>
              </w:rPr>
            </w:pPr>
            <w:r>
              <w:rPr>
                <w:rFonts w:hint="eastAsia" w:ascii="仿宋" w:hAnsi="仿宋" w:eastAsia="仿宋" w:cs="仿宋_GB2312"/>
                <w:sz w:val="32"/>
                <w:szCs w:val="32"/>
              </w:rPr>
              <w:t>②“四上”文化企业净增数。争取年度完成1家企业入库。</w:t>
            </w:r>
            <w:r>
              <w:rPr>
                <w:rFonts w:hint="eastAsia" w:ascii="仿宋" w:hAnsi="仿宋" w:eastAsia="仿宋" w:cs="仿宋"/>
                <w:sz w:val="32"/>
                <w:szCs w:val="32"/>
              </w:rPr>
              <w:t>确保实现扶持培育一户、入库进规一户，</w:t>
            </w:r>
            <w:r>
              <w:rPr>
                <w:rFonts w:hint="eastAsia" w:ascii="仿宋" w:hAnsi="仿宋" w:eastAsia="仿宋" w:cs="仿宋_GB2312"/>
                <w:sz w:val="32"/>
                <w:szCs w:val="32"/>
              </w:rPr>
              <w:t>正在培育怀化迅腾文化传媒有限公司，资料已经上传平台等待省、市审核通过。</w:t>
            </w:r>
          </w:p>
          <w:p w14:paraId="7F7C2AA2">
            <w:pPr>
              <w:topLinePunct/>
              <w:snapToGrid w:val="0"/>
              <w:spacing w:line="360" w:lineRule="auto"/>
              <w:ind w:firstLine="640" w:firstLineChars="200"/>
              <w:rPr>
                <w:rFonts w:ascii="仿宋" w:hAnsi="仿宋" w:eastAsia="仿宋" w:cs="仿宋_GB2312"/>
                <w:sz w:val="32"/>
                <w:szCs w:val="32"/>
              </w:rPr>
            </w:pPr>
            <w:r>
              <w:rPr>
                <w:rFonts w:hint="eastAsia" w:ascii="仿宋" w:hAnsi="仿宋" w:eastAsia="仿宋" w:cs="仿宋_GB2312"/>
                <w:sz w:val="32"/>
                <w:szCs w:val="32"/>
              </w:rPr>
              <w:t>③招商引资工作。邀请县领导外出参加招商活动近20次，成功引资湖南阳光华天集团投资入股雪峰山文旅公司，第一期投资已到账4950万元；签约项目溆浦县明月山泉旅游度假区建设项目10亿元，已投资到账14180万元；完成溆浦县湘峰凉都文化旅游项目、月亮岛红色家山深子湖旅游度假区建设项目、刘家渡田园康养综合体建设项目等招商引资。完成湘商回湘投资新注册企业、涉税企业2家。</w:t>
            </w:r>
          </w:p>
          <w:p w14:paraId="66F7419D">
            <w:pPr>
              <w:topLinePunct/>
              <w:snapToGrid w:val="0"/>
              <w:spacing w:line="360" w:lineRule="auto"/>
              <w:ind w:firstLine="640" w:firstLineChars="200"/>
              <w:rPr>
                <w:rFonts w:ascii="仿宋" w:hAnsi="仿宋" w:eastAsia="仿宋" w:cs="仿宋_GB2312"/>
                <w:sz w:val="32"/>
                <w:szCs w:val="32"/>
              </w:rPr>
            </w:pPr>
            <w:r>
              <w:rPr>
                <w:rFonts w:hint="eastAsia" w:ascii="仿宋" w:hAnsi="仿宋" w:eastAsia="仿宋" w:cs="仿宋_GB2312"/>
                <w:sz w:val="32"/>
                <w:szCs w:val="32"/>
              </w:rPr>
              <w:t>④</w:t>
            </w:r>
            <w:r>
              <w:rPr>
                <w:rFonts w:hint="eastAsia" w:ascii="仿宋" w:hAnsi="仿宋" w:eastAsia="仿宋" w:cs="仿宋_GB2312"/>
                <w:color w:val="000000"/>
                <w:sz w:val="32"/>
                <w:szCs w:val="32"/>
              </w:rPr>
              <w:t>文旅项目固定投资（</w:t>
            </w:r>
            <w:r>
              <w:rPr>
                <w:rFonts w:hint="eastAsia" w:ascii="仿宋" w:hAnsi="仿宋" w:eastAsia="仿宋" w:cs="仿宋_GB2312"/>
                <w:sz w:val="32"/>
                <w:szCs w:val="32"/>
              </w:rPr>
              <w:t>任务数6亿元），已完成4.7924亿元（卢峰仙隐生态文化旅游建设项目1亿元、溆浦县山背梯田景区星空泳池建设项目3924万元、溆浦县水生态健康文化展示馆项目1.2亿元、溆浦县湘峰凉都文化旅游项目1.2亿元、湖南省辰洲生态文化旅游综合开发建设项目1亿元）下欠任务数：1.2076亿元。储备项目：溆浦县《辞海》故里田园康养综合体项目2亿元，资料已提交省统计局，待审核通过。</w:t>
            </w:r>
          </w:p>
          <w:p w14:paraId="54D9D106">
            <w:pPr>
              <w:topLinePunct/>
              <w:snapToGrid w:val="0"/>
              <w:spacing w:line="360" w:lineRule="auto"/>
              <w:ind w:firstLine="640" w:firstLineChars="200"/>
              <w:rPr>
                <w:rFonts w:ascii="仿宋" w:hAnsi="仿宋" w:eastAsia="仿宋" w:cs="仿宋_GB2312"/>
                <w:sz w:val="32"/>
                <w:szCs w:val="32"/>
              </w:rPr>
            </w:pPr>
            <w:r>
              <w:rPr>
                <w:rFonts w:hint="eastAsia" w:ascii="仿宋" w:hAnsi="仿宋" w:eastAsia="仿宋" w:cs="楷体"/>
                <w:sz w:val="32"/>
                <w:szCs w:val="32"/>
              </w:rPr>
              <w:t>⑤文旅品牌创建。</w:t>
            </w:r>
            <w:r>
              <w:rPr>
                <w:rFonts w:hint="eastAsia" w:ascii="仿宋" w:hAnsi="仿宋" w:eastAsia="仿宋" w:cs="仿宋_GB2312"/>
                <w:sz w:val="32"/>
                <w:szCs w:val="32"/>
                <w:shd w:val="clear" w:color="auto" w:fill="FFFFFF"/>
              </w:rPr>
              <w:t>已申报江辉工业旅游示范基地；天星堂煤炭康养中心、德源山庄申报了省级五星级乡村旅游区（点）已现场审核通过；穿岩山房车营地申报了省级乡村旅游精品营地；北斗溪镇坪溪村申报了乡村旅游精品村；上下河街休闲街区申报了省级旅游休闲街区。</w:t>
            </w:r>
          </w:p>
          <w:p w14:paraId="54185BC0">
            <w:pPr>
              <w:widowControl/>
              <w:spacing w:line="560" w:lineRule="exact"/>
              <w:ind w:firstLine="640" w:firstLineChars="200"/>
              <w:jc w:val="left"/>
              <w:rPr>
                <w:rFonts w:ascii="仿宋" w:hAnsi="仿宋" w:eastAsia="仿宋" w:cs="黑体"/>
                <w:sz w:val="32"/>
                <w:szCs w:val="32"/>
              </w:rPr>
            </w:pPr>
            <w:r>
              <w:rPr>
                <w:rFonts w:hint="eastAsia" w:ascii="仿宋" w:hAnsi="仿宋" w:eastAsia="仿宋" w:cs="仿宋_GB2312"/>
                <w:sz w:val="32"/>
                <w:szCs w:val="32"/>
              </w:rPr>
              <w:t>⑦</w:t>
            </w:r>
            <w:r>
              <w:rPr>
                <w:rFonts w:hint="eastAsia" w:ascii="仿宋" w:hAnsi="仿宋" w:eastAsia="仿宋" w:cs="楷体"/>
                <w:sz w:val="32"/>
                <w:szCs w:val="32"/>
              </w:rPr>
              <w:t>文旅</w:t>
            </w:r>
            <w:r>
              <w:rPr>
                <w:rFonts w:hint="eastAsia" w:ascii="仿宋" w:hAnsi="仿宋" w:eastAsia="仿宋" w:cs="Times New Roman"/>
                <w:color w:val="000000"/>
                <w:kern w:val="32"/>
                <w:sz w:val="32"/>
                <w:szCs w:val="32"/>
              </w:rPr>
              <w:t>项目建设</w:t>
            </w:r>
            <w:r>
              <w:rPr>
                <w:rFonts w:hint="eastAsia" w:ascii="仿宋" w:hAnsi="仿宋" w:eastAsia="仿宋" w:cs="Times New Roman"/>
                <w:color w:val="000000"/>
                <w:sz w:val="32"/>
                <w:szCs w:val="32"/>
              </w:rPr>
              <w:t>。</w:t>
            </w:r>
            <w:r>
              <w:rPr>
                <w:rFonts w:hint="eastAsia" w:ascii="仿宋" w:hAnsi="仿宋" w:eastAsia="仿宋" w:cs="仿宋_GB2312"/>
                <w:color w:val="000000"/>
                <w:sz w:val="32"/>
                <w:szCs w:val="32"/>
              </w:rPr>
              <w:t>积极筹备2025年省旅发大会，我们重点抓山背花瑶梯田景区观光索道建设项目和雪峰国际大酒店项目2个现场观摩项目，7月15日书记带队到索道调研，目前中下站主体已经基本完工，准备装修；11月4日上站主体封顶，到目前为止所有主体工程已经全部竣工；加快雪峰国际酒店主体已经全面完工。配套绿化用地（业务用房、会议室等功能用房）于2024年11月6日拿到技术会批复，在内部装修上已经与厂家签订定制软装，2024年11月底完成样板房装修，2025年3月底初步完成装修，5月份正式运营。北斗溪北斗航空文化园建设项目，全民健身中心专项债项目今年8月6日确定批复，11月8日先后通过政府常务会议和县委常委会议审核，启动全民健身中心前期工作。以项目建设进一步充实以县城为核心，北斗溪、穿岩山、思蒙为圈的文旅经济产业圈硬核</w:t>
            </w:r>
            <w:r>
              <w:rPr>
                <w:rFonts w:hint="eastAsia" w:ascii="仿宋" w:hAnsi="仿宋" w:eastAsia="仿宋" w:cs="仿宋_GB2312"/>
                <w:sz w:val="32"/>
                <w:szCs w:val="32"/>
              </w:rPr>
              <w:t>。</w:t>
            </w:r>
          </w:p>
          <w:p w14:paraId="43D57646">
            <w:pPr>
              <w:widowControl/>
              <w:spacing w:before="100" w:beforeAutospacing="1" w:after="100" w:afterAutospacing="1"/>
              <w:ind w:firstLine="480" w:firstLineChars="150"/>
              <w:jc w:val="left"/>
              <w:outlineLvl w:val="1"/>
              <w:rPr>
                <w:rFonts w:ascii="仿宋" w:hAnsi="仿宋" w:eastAsia="仿宋" w:cs="黑体"/>
                <w:color w:val="000000" w:themeColor="text1"/>
                <w:kern w:val="0"/>
                <w:sz w:val="32"/>
                <w:szCs w:val="32"/>
              </w:rPr>
            </w:pPr>
            <w:r>
              <w:rPr>
                <w:rFonts w:hint="eastAsia" w:ascii="仿宋" w:hAnsi="仿宋" w:eastAsia="仿宋" w:cs="黑体"/>
                <w:color w:val="000000" w:themeColor="text1"/>
                <w:kern w:val="0"/>
                <w:sz w:val="32"/>
                <w:szCs w:val="32"/>
              </w:rPr>
              <w:t>七、存在的问题及原因分析</w:t>
            </w:r>
          </w:p>
          <w:p w14:paraId="572E8F9E">
            <w:pPr>
              <w:ind w:firstLine="640" w:firstLineChars="200"/>
              <w:jc w:val="left"/>
              <w:rPr>
                <w:rFonts w:ascii="仿宋" w:hAnsi="仿宋" w:eastAsia="仿宋" w:cs="仿宋"/>
                <w:sz w:val="32"/>
                <w:szCs w:val="32"/>
              </w:rPr>
            </w:pPr>
            <w:r>
              <w:rPr>
                <w:rFonts w:hint="eastAsia" w:ascii="仿宋" w:hAnsi="仿宋" w:eastAsia="仿宋" w:cs="仿宋"/>
                <w:sz w:val="32"/>
                <w:szCs w:val="32"/>
              </w:rPr>
              <w:t>（一）经费严重不足。财政每年的预算远远不能维持 正常的工作运转。</w:t>
            </w:r>
          </w:p>
          <w:p w14:paraId="1A5716E7">
            <w:pPr>
              <w:spacing w:line="560" w:lineRule="exact"/>
              <w:ind w:firstLine="640" w:firstLineChars="200"/>
              <w:rPr>
                <w:rFonts w:ascii="仿宋" w:hAnsi="仿宋" w:eastAsia="仿宋" w:cs="Times New Roman"/>
                <w:sz w:val="32"/>
                <w:szCs w:val="32"/>
              </w:rPr>
            </w:pPr>
            <w:r>
              <w:rPr>
                <w:rFonts w:hint="eastAsia" w:ascii="仿宋" w:hAnsi="仿宋" w:eastAsia="仿宋" w:cs="仿宋_GB2312"/>
                <w:sz w:val="32"/>
                <w:szCs w:val="32"/>
              </w:rPr>
              <w:t>（二）内部管理制度有待完善。</w:t>
            </w:r>
          </w:p>
          <w:p w14:paraId="3D217CBB">
            <w:pPr>
              <w:widowControl/>
              <w:spacing w:before="100" w:beforeAutospacing="1" w:after="100" w:afterAutospacing="1"/>
              <w:ind w:firstLine="736" w:firstLineChars="230"/>
              <w:jc w:val="left"/>
              <w:outlineLvl w:val="1"/>
              <w:rPr>
                <w:rFonts w:ascii="仿宋" w:hAnsi="仿宋" w:eastAsia="仿宋" w:cs="黑体"/>
                <w:color w:val="000000" w:themeColor="text1"/>
                <w:kern w:val="0"/>
                <w:sz w:val="32"/>
                <w:szCs w:val="32"/>
              </w:rPr>
            </w:pPr>
            <w:r>
              <w:rPr>
                <w:rFonts w:hint="eastAsia" w:ascii="仿宋" w:hAnsi="仿宋" w:eastAsia="仿宋" w:cs="黑体"/>
                <w:color w:val="000000" w:themeColor="text1"/>
                <w:kern w:val="0"/>
                <w:sz w:val="32"/>
                <w:szCs w:val="32"/>
              </w:rPr>
              <w:t>八、下一步改进措施</w:t>
            </w:r>
          </w:p>
          <w:p w14:paraId="64CE96B5">
            <w:pPr>
              <w:spacing w:line="560" w:lineRule="exact"/>
              <w:ind w:left="160" w:hanging="160" w:hangingChars="50"/>
              <w:rPr>
                <w:rFonts w:ascii="仿宋" w:hAnsi="仿宋" w:eastAsia="仿宋" w:cs="Times New Roman"/>
                <w:sz w:val="32"/>
                <w:szCs w:val="32"/>
              </w:rPr>
            </w:pPr>
            <w:r>
              <w:rPr>
                <w:rFonts w:hint="eastAsia" w:ascii="仿宋" w:hAnsi="仿宋" w:eastAsia="仿宋" w:cs="Times New Roman"/>
                <w:sz w:val="32"/>
                <w:szCs w:val="32"/>
              </w:rPr>
              <w:t>（一）完善管理制度，进一步加强资产管理。严格按照《固定资产管理办法》及时登记、更新合账，加强资产卡片管理，年终前对各类实物资产进行全面盘点，确保账账、账实相符。</w:t>
            </w:r>
          </w:p>
          <w:p w14:paraId="38552CD1">
            <w:pPr>
              <w:spacing w:line="560" w:lineRule="exact"/>
              <w:ind w:left="529" w:leftChars="252"/>
              <w:rPr>
                <w:rFonts w:ascii="仿宋" w:hAnsi="仿宋" w:eastAsia="仿宋" w:cs="Times New Roman"/>
                <w:sz w:val="32"/>
                <w:szCs w:val="32"/>
              </w:rPr>
            </w:pPr>
            <w:r>
              <w:rPr>
                <w:rFonts w:hint="eastAsia" w:ascii="仿宋" w:hAnsi="仿宋" w:eastAsia="仿宋" w:cs="Times New Roman"/>
                <w:sz w:val="32"/>
                <w:szCs w:val="32"/>
              </w:rPr>
              <w:t>（二）细化预算编制工作，认真做好预算的编制。</w:t>
            </w:r>
          </w:p>
          <w:p w14:paraId="072D0CE5">
            <w:pPr>
              <w:spacing w:line="560" w:lineRule="exact"/>
              <w:ind w:firstLine="640" w:firstLineChars="200"/>
              <w:rPr>
                <w:rFonts w:ascii="仿宋" w:hAnsi="仿宋" w:eastAsia="仿宋" w:cs="Times New Roman"/>
                <w:sz w:val="32"/>
                <w:szCs w:val="32"/>
              </w:rPr>
            </w:pPr>
            <w:r>
              <w:rPr>
                <w:rFonts w:hint="eastAsia" w:ascii="仿宋" w:hAnsi="仿宋" w:eastAsia="仿宋" w:cs="Times New Roman"/>
                <w:sz w:val="32"/>
                <w:szCs w:val="32"/>
              </w:rPr>
              <w:t xml:space="preserve">进一步加强站各内设室的预算管理意识，严格按照预算编制的相关制度和要求，本着“勤俭节约、保障运转”的原则进行预算的编制；编制范围尽可能的全面，不漏项；进一步提高预算编制的科学性、合理性、严谨性和可控性。 </w:t>
            </w:r>
          </w:p>
          <w:p w14:paraId="30B8C57D">
            <w:pPr>
              <w:spacing w:line="560" w:lineRule="exact"/>
              <w:ind w:left="530" w:leftChars="100" w:hanging="320" w:hangingChars="100"/>
              <w:rPr>
                <w:rFonts w:ascii="仿宋" w:hAnsi="仿宋" w:eastAsia="仿宋" w:cs="Times New Roman"/>
                <w:sz w:val="32"/>
                <w:szCs w:val="32"/>
              </w:rPr>
            </w:pPr>
            <w:r>
              <w:rPr>
                <w:rFonts w:hint="eastAsia" w:ascii="仿宋" w:hAnsi="仿宋" w:eastAsia="仿宋" w:cs="黑体"/>
                <w:sz w:val="32"/>
                <w:szCs w:val="32"/>
              </w:rPr>
              <w:t>九、其他需要说明的情况</w:t>
            </w:r>
          </w:p>
          <w:p w14:paraId="11731CFB">
            <w:pPr>
              <w:spacing w:line="560" w:lineRule="exact"/>
              <w:ind w:left="210" w:leftChars="100" w:firstLine="320" w:firstLineChars="100"/>
              <w:rPr>
                <w:rFonts w:ascii="仿宋" w:hAnsi="仿宋" w:eastAsia="仿宋" w:cs="Times New Roman"/>
                <w:sz w:val="32"/>
                <w:szCs w:val="32"/>
              </w:rPr>
            </w:pPr>
            <w:r>
              <w:rPr>
                <w:rFonts w:hint="eastAsia" w:ascii="仿宋" w:hAnsi="仿宋" w:eastAsia="仿宋" w:cs="Times New Roman"/>
                <w:sz w:val="32"/>
                <w:szCs w:val="32"/>
              </w:rPr>
              <w:t>无</w:t>
            </w:r>
          </w:p>
          <w:p w14:paraId="27FA43A9">
            <w:pPr>
              <w:spacing w:line="560" w:lineRule="exact"/>
              <w:ind w:left="210" w:leftChars="100" w:firstLine="320" w:firstLineChars="100"/>
              <w:rPr>
                <w:rFonts w:ascii="仿宋" w:hAnsi="仿宋" w:eastAsia="仿宋" w:cs="Times New Roman"/>
                <w:sz w:val="32"/>
                <w:szCs w:val="32"/>
              </w:rPr>
            </w:pPr>
          </w:p>
          <w:p w14:paraId="5D402D4F">
            <w:pPr>
              <w:ind w:firstLine="1760" w:firstLineChars="550"/>
              <w:rPr>
                <w:rFonts w:ascii="仿宋" w:hAnsi="仿宋" w:eastAsia="仿宋"/>
                <w:color w:val="000000" w:themeColor="text1"/>
                <w:sz w:val="32"/>
                <w:szCs w:val="32"/>
              </w:rPr>
            </w:pPr>
          </w:p>
          <w:p w14:paraId="68953C96">
            <w:pPr>
              <w:ind w:firstLine="4160" w:firstLineChars="1300"/>
              <w:rPr>
                <w:rFonts w:ascii="仿宋" w:hAnsi="仿宋" w:eastAsia="仿宋" w:cs="Segoe UI"/>
                <w:color w:val="000000" w:themeColor="text1"/>
                <w:kern w:val="36"/>
                <w:sz w:val="32"/>
                <w:szCs w:val="32"/>
              </w:rPr>
            </w:pPr>
            <w:bookmarkStart w:id="7" w:name="_GoBack"/>
            <w:bookmarkEnd w:id="7"/>
            <w:r>
              <w:rPr>
                <w:rFonts w:hint="eastAsia" w:ascii="仿宋" w:hAnsi="仿宋" w:eastAsia="仿宋"/>
                <w:sz w:val="32"/>
                <w:szCs w:val="32"/>
              </w:rPr>
              <w:t>溆浦县</w:t>
            </w:r>
            <w:r>
              <w:rPr>
                <w:rFonts w:hint="eastAsia" w:ascii="仿宋" w:hAnsi="仿宋" w:eastAsia="仿宋" w:cs="Segoe UI"/>
                <w:color w:val="000000" w:themeColor="text1"/>
                <w:kern w:val="36"/>
                <w:sz w:val="32"/>
                <w:szCs w:val="32"/>
              </w:rPr>
              <w:t>文化旅游广电体育局</w:t>
            </w:r>
          </w:p>
          <w:p w14:paraId="4CE9689E">
            <w:pPr>
              <w:rPr>
                <w:rFonts w:ascii="仿宋" w:hAnsi="仿宋" w:eastAsia="仿宋"/>
                <w:sz w:val="32"/>
                <w:szCs w:val="32"/>
              </w:rPr>
            </w:pPr>
            <w:r>
              <w:rPr>
                <w:rFonts w:ascii="仿宋" w:hAnsi="仿宋" w:eastAsia="仿宋" w:cs="Segoe UI"/>
                <w:color w:val="000000" w:themeColor="text1"/>
                <w:kern w:val="36"/>
                <w:sz w:val="32"/>
                <w:szCs w:val="32"/>
              </w:rPr>
              <w:t xml:space="preserve">                             2025</w:t>
            </w:r>
            <w:r>
              <w:rPr>
                <w:rFonts w:hint="eastAsia" w:ascii="仿宋" w:hAnsi="仿宋" w:eastAsia="仿宋" w:cs="Segoe UI"/>
                <w:color w:val="000000" w:themeColor="text1"/>
                <w:kern w:val="36"/>
                <w:sz w:val="32"/>
                <w:szCs w:val="32"/>
              </w:rPr>
              <w:t>年4月2</w:t>
            </w:r>
            <w:r>
              <w:rPr>
                <w:rFonts w:ascii="仿宋" w:hAnsi="仿宋" w:eastAsia="仿宋" w:cs="Segoe UI"/>
                <w:color w:val="000000" w:themeColor="text1"/>
                <w:kern w:val="36"/>
                <w:sz w:val="32"/>
                <w:szCs w:val="32"/>
              </w:rPr>
              <w:t>3</w:t>
            </w:r>
            <w:r>
              <w:rPr>
                <w:rFonts w:hint="eastAsia" w:ascii="仿宋" w:hAnsi="仿宋" w:eastAsia="仿宋" w:cs="Segoe UI"/>
                <w:color w:val="000000" w:themeColor="text1"/>
                <w:kern w:val="36"/>
                <w:sz w:val="32"/>
                <w:szCs w:val="32"/>
              </w:rPr>
              <w:t>日</w:t>
            </w:r>
          </w:p>
          <w:p w14:paraId="2D1B1382">
            <w:pPr>
              <w:rPr>
                <w:rFonts w:ascii="仿宋" w:hAnsi="仿宋" w:eastAsia="仿宋"/>
                <w:sz w:val="32"/>
                <w:szCs w:val="32"/>
              </w:rPr>
            </w:pPr>
          </w:p>
          <w:p w14:paraId="1DE15CE1">
            <w:pPr>
              <w:widowControl/>
              <w:jc w:val="left"/>
              <w:rPr>
                <w:rFonts w:ascii="仿宋" w:hAnsi="仿宋" w:eastAsia="仿宋" w:cs="宋体"/>
                <w:color w:val="000000"/>
                <w:kern w:val="0"/>
                <w:sz w:val="32"/>
                <w:szCs w:val="32"/>
              </w:rPr>
            </w:pPr>
          </w:p>
        </w:tc>
      </w:tr>
      <w:tr w14:paraId="4A5F4887">
        <w:tblPrEx>
          <w:tblCellMar>
            <w:top w:w="0" w:type="dxa"/>
            <w:left w:w="108" w:type="dxa"/>
            <w:bottom w:w="0" w:type="dxa"/>
            <w:right w:w="108" w:type="dxa"/>
          </w:tblCellMar>
        </w:tblPrEx>
        <w:trPr>
          <w:trHeight w:val="1380" w:hRule="atLeast"/>
        </w:trPr>
        <w:tc>
          <w:tcPr>
            <w:tcW w:w="9901" w:type="dxa"/>
            <w:tcBorders>
              <w:top w:val="nil"/>
              <w:left w:val="nil"/>
              <w:bottom w:val="nil"/>
              <w:right w:val="nil"/>
            </w:tcBorders>
            <w:shd w:val="clear" w:color="auto" w:fill="auto"/>
            <w:vAlign w:val="center"/>
          </w:tcPr>
          <w:p w14:paraId="23311717">
            <w:pPr>
              <w:widowControl/>
              <w:jc w:val="left"/>
              <w:rPr>
                <w:rFonts w:ascii="仿宋" w:hAnsi="仿宋" w:eastAsia="仿宋" w:cs="宋体"/>
                <w:color w:val="000000"/>
                <w:kern w:val="0"/>
                <w:sz w:val="32"/>
                <w:szCs w:val="32"/>
              </w:rPr>
            </w:pPr>
          </w:p>
        </w:tc>
      </w:tr>
      <w:tr w14:paraId="0DE72765">
        <w:tblPrEx>
          <w:tblCellMar>
            <w:top w:w="0" w:type="dxa"/>
            <w:left w:w="108" w:type="dxa"/>
            <w:bottom w:w="0" w:type="dxa"/>
            <w:right w:w="108" w:type="dxa"/>
          </w:tblCellMar>
        </w:tblPrEx>
        <w:trPr>
          <w:trHeight w:val="1080" w:hRule="atLeast"/>
        </w:trPr>
        <w:tc>
          <w:tcPr>
            <w:tcW w:w="9901" w:type="dxa"/>
            <w:tcBorders>
              <w:top w:val="nil"/>
              <w:left w:val="nil"/>
              <w:bottom w:val="nil"/>
              <w:right w:val="nil"/>
            </w:tcBorders>
            <w:shd w:val="clear" w:color="auto" w:fill="auto"/>
            <w:vAlign w:val="center"/>
          </w:tcPr>
          <w:p w14:paraId="12B15F78">
            <w:pPr>
              <w:widowControl/>
              <w:jc w:val="left"/>
              <w:rPr>
                <w:rFonts w:ascii="仿宋" w:hAnsi="仿宋" w:eastAsia="仿宋" w:cs="宋体"/>
                <w:color w:val="000000"/>
                <w:kern w:val="0"/>
                <w:sz w:val="32"/>
                <w:szCs w:val="32"/>
              </w:rPr>
            </w:pPr>
          </w:p>
        </w:tc>
      </w:tr>
      <w:tr w14:paraId="76100F35">
        <w:tblPrEx>
          <w:tblCellMar>
            <w:top w:w="0" w:type="dxa"/>
            <w:left w:w="108" w:type="dxa"/>
            <w:bottom w:w="0" w:type="dxa"/>
            <w:right w:w="108" w:type="dxa"/>
          </w:tblCellMar>
        </w:tblPrEx>
        <w:trPr>
          <w:trHeight w:val="1440" w:hRule="atLeast"/>
        </w:trPr>
        <w:tc>
          <w:tcPr>
            <w:tcW w:w="9901" w:type="dxa"/>
            <w:tcBorders>
              <w:top w:val="nil"/>
              <w:left w:val="nil"/>
              <w:bottom w:val="nil"/>
              <w:right w:val="nil"/>
            </w:tcBorders>
            <w:shd w:val="clear" w:color="auto" w:fill="auto"/>
            <w:vAlign w:val="center"/>
          </w:tcPr>
          <w:p w14:paraId="52F3AA64">
            <w:pPr>
              <w:widowControl/>
              <w:jc w:val="left"/>
              <w:rPr>
                <w:rFonts w:ascii="仿宋" w:hAnsi="仿宋" w:eastAsia="仿宋" w:cs="宋体"/>
                <w:color w:val="000000"/>
                <w:kern w:val="0"/>
                <w:sz w:val="32"/>
                <w:szCs w:val="32"/>
              </w:rPr>
            </w:pPr>
          </w:p>
        </w:tc>
      </w:tr>
      <w:tr w14:paraId="5F748250">
        <w:tblPrEx>
          <w:tblCellMar>
            <w:top w:w="0" w:type="dxa"/>
            <w:left w:w="108" w:type="dxa"/>
            <w:bottom w:w="0" w:type="dxa"/>
            <w:right w:w="108" w:type="dxa"/>
          </w:tblCellMar>
        </w:tblPrEx>
        <w:trPr>
          <w:trHeight w:val="1000" w:hRule="atLeast"/>
        </w:trPr>
        <w:tc>
          <w:tcPr>
            <w:tcW w:w="9901" w:type="dxa"/>
            <w:tcBorders>
              <w:top w:val="nil"/>
              <w:left w:val="nil"/>
              <w:bottom w:val="nil"/>
              <w:right w:val="nil"/>
            </w:tcBorders>
            <w:shd w:val="clear" w:color="auto" w:fill="auto"/>
            <w:vAlign w:val="center"/>
          </w:tcPr>
          <w:p w14:paraId="3DB14070">
            <w:pPr>
              <w:widowControl/>
              <w:jc w:val="left"/>
              <w:rPr>
                <w:rFonts w:ascii="仿宋" w:hAnsi="仿宋" w:eastAsia="仿宋" w:cs="宋体"/>
                <w:color w:val="000000"/>
                <w:kern w:val="0"/>
                <w:sz w:val="32"/>
                <w:szCs w:val="32"/>
              </w:rPr>
            </w:pPr>
          </w:p>
        </w:tc>
      </w:tr>
      <w:tr w14:paraId="794CA7A7">
        <w:tblPrEx>
          <w:tblCellMar>
            <w:top w:w="0" w:type="dxa"/>
            <w:left w:w="108" w:type="dxa"/>
            <w:bottom w:w="0" w:type="dxa"/>
            <w:right w:w="108" w:type="dxa"/>
          </w:tblCellMar>
        </w:tblPrEx>
        <w:trPr>
          <w:trHeight w:val="620" w:hRule="atLeast"/>
        </w:trPr>
        <w:tc>
          <w:tcPr>
            <w:tcW w:w="9901" w:type="dxa"/>
            <w:tcBorders>
              <w:top w:val="nil"/>
              <w:left w:val="nil"/>
              <w:bottom w:val="nil"/>
              <w:right w:val="nil"/>
            </w:tcBorders>
            <w:shd w:val="clear" w:color="auto" w:fill="auto"/>
            <w:noWrap/>
            <w:vAlign w:val="center"/>
          </w:tcPr>
          <w:p w14:paraId="64697F37">
            <w:pPr>
              <w:widowControl/>
              <w:jc w:val="left"/>
              <w:rPr>
                <w:rFonts w:ascii="仿宋" w:hAnsi="仿宋" w:eastAsia="仿宋" w:cs="宋体"/>
                <w:color w:val="000000"/>
                <w:kern w:val="0"/>
                <w:sz w:val="32"/>
                <w:szCs w:val="32"/>
              </w:rPr>
            </w:pPr>
          </w:p>
        </w:tc>
      </w:tr>
      <w:tr w14:paraId="473F5FDE">
        <w:tblPrEx>
          <w:tblCellMar>
            <w:top w:w="0" w:type="dxa"/>
            <w:left w:w="108" w:type="dxa"/>
            <w:bottom w:w="0" w:type="dxa"/>
            <w:right w:w="108" w:type="dxa"/>
          </w:tblCellMar>
        </w:tblPrEx>
        <w:trPr>
          <w:trHeight w:val="685" w:hRule="atLeast"/>
        </w:trPr>
        <w:tc>
          <w:tcPr>
            <w:tcW w:w="9901" w:type="dxa"/>
            <w:tcBorders>
              <w:top w:val="nil"/>
              <w:left w:val="nil"/>
              <w:bottom w:val="nil"/>
              <w:right w:val="nil"/>
            </w:tcBorders>
            <w:shd w:val="clear" w:color="auto" w:fill="auto"/>
            <w:vAlign w:val="center"/>
          </w:tcPr>
          <w:p w14:paraId="1EE6281F">
            <w:pPr>
              <w:widowControl/>
              <w:jc w:val="left"/>
              <w:rPr>
                <w:rFonts w:ascii="仿宋" w:hAnsi="仿宋" w:eastAsia="仿宋" w:cs="宋体"/>
                <w:color w:val="000000"/>
                <w:kern w:val="0"/>
                <w:sz w:val="32"/>
                <w:szCs w:val="32"/>
              </w:rPr>
            </w:pPr>
          </w:p>
        </w:tc>
      </w:tr>
      <w:tr w14:paraId="3E58C8B2">
        <w:tblPrEx>
          <w:tblCellMar>
            <w:top w:w="0" w:type="dxa"/>
            <w:left w:w="108" w:type="dxa"/>
            <w:bottom w:w="0" w:type="dxa"/>
            <w:right w:w="108" w:type="dxa"/>
          </w:tblCellMar>
        </w:tblPrEx>
        <w:trPr>
          <w:trHeight w:val="1220" w:hRule="atLeast"/>
        </w:trPr>
        <w:tc>
          <w:tcPr>
            <w:tcW w:w="9901" w:type="dxa"/>
            <w:tcBorders>
              <w:top w:val="nil"/>
              <w:left w:val="nil"/>
              <w:bottom w:val="nil"/>
              <w:right w:val="nil"/>
            </w:tcBorders>
            <w:shd w:val="clear" w:color="auto" w:fill="auto"/>
            <w:vAlign w:val="center"/>
          </w:tcPr>
          <w:p w14:paraId="2CE26B6B">
            <w:pPr>
              <w:widowControl/>
              <w:jc w:val="left"/>
              <w:rPr>
                <w:rFonts w:ascii="仿宋" w:hAnsi="仿宋" w:eastAsia="仿宋" w:cs="宋体"/>
                <w:color w:val="000000"/>
                <w:kern w:val="0"/>
                <w:sz w:val="32"/>
                <w:szCs w:val="32"/>
              </w:rPr>
            </w:pPr>
          </w:p>
        </w:tc>
      </w:tr>
    </w:tbl>
    <w:p w14:paraId="41AEBB94">
      <w:pPr>
        <w:pStyle w:val="9"/>
        <w:widowControl/>
        <w:numPr>
          <w:ilvl w:val="0"/>
          <w:numId w:val="1"/>
        </w:numPr>
        <w:spacing w:before="100" w:beforeAutospacing="1" w:after="100" w:afterAutospacing="1"/>
        <w:ind w:firstLineChars="0"/>
        <w:jc w:val="left"/>
        <w:outlineLvl w:val="1"/>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Arial Unicode MS">
    <w:altName w:val="Arial"/>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10022FF" w:usb1="C000E47F" w:usb2="00000029" w:usb3="00000000" w:csb0="200001DF" w:csb1="2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DEF1EF"/>
    <w:multiLevelType w:val="singleLevel"/>
    <w:tmpl w:val="9CDEF1EF"/>
    <w:lvl w:ilvl="0" w:tentative="0">
      <w:start w:val="2"/>
      <w:numFmt w:val="decimal"/>
      <w:suff w:val="nothing"/>
      <w:lvlText w:val="%1、"/>
      <w:lvlJc w:val="left"/>
    </w:lvl>
  </w:abstractNum>
  <w:abstractNum w:abstractNumId="1">
    <w:nsid w:val="2B811F3E"/>
    <w:multiLevelType w:val="multilevel"/>
    <w:tmpl w:val="2B811F3E"/>
    <w:lvl w:ilvl="0" w:tentative="0">
      <w:start w:val="1"/>
      <w:numFmt w:val="japaneseCounting"/>
      <w:lvlText w:val="%1、"/>
      <w:lvlJc w:val="left"/>
      <w:pPr>
        <w:ind w:left="892" w:hanging="75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6681B"/>
    <w:rsid w:val="00006BF7"/>
    <w:rsid w:val="00013EB3"/>
    <w:rsid w:val="00027B5A"/>
    <w:rsid w:val="0004434D"/>
    <w:rsid w:val="00045EB9"/>
    <w:rsid w:val="00050103"/>
    <w:rsid w:val="000534BC"/>
    <w:rsid w:val="000666D8"/>
    <w:rsid w:val="00082E0C"/>
    <w:rsid w:val="000B0302"/>
    <w:rsid w:val="000B12A3"/>
    <w:rsid w:val="000C2282"/>
    <w:rsid w:val="000D0452"/>
    <w:rsid w:val="00102C74"/>
    <w:rsid w:val="001259D9"/>
    <w:rsid w:val="00136012"/>
    <w:rsid w:val="0013777C"/>
    <w:rsid w:val="00141AB2"/>
    <w:rsid w:val="00160F7E"/>
    <w:rsid w:val="00181777"/>
    <w:rsid w:val="001911C9"/>
    <w:rsid w:val="001C0A75"/>
    <w:rsid w:val="001E6EDB"/>
    <w:rsid w:val="002068F4"/>
    <w:rsid w:val="00225AB0"/>
    <w:rsid w:val="00226636"/>
    <w:rsid w:val="0024312D"/>
    <w:rsid w:val="002A2FB3"/>
    <w:rsid w:val="002A577C"/>
    <w:rsid w:val="002D2C60"/>
    <w:rsid w:val="003018EE"/>
    <w:rsid w:val="00302A17"/>
    <w:rsid w:val="00316F70"/>
    <w:rsid w:val="00320B13"/>
    <w:rsid w:val="003267F8"/>
    <w:rsid w:val="0034330F"/>
    <w:rsid w:val="00351682"/>
    <w:rsid w:val="003534E7"/>
    <w:rsid w:val="00356318"/>
    <w:rsid w:val="00361268"/>
    <w:rsid w:val="00363736"/>
    <w:rsid w:val="0037478C"/>
    <w:rsid w:val="00390FA5"/>
    <w:rsid w:val="003921D8"/>
    <w:rsid w:val="00394058"/>
    <w:rsid w:val="003B3317"/>
    <w:rsid w:val="003B5058"/>
    <w:rsid w:val="003B752F"/>
    <w:rsid w:val="003C5BF5"/>
    <w:rsid w:val="003D0E73"/>
    <w:rsid w:val="003D7EE0"/>
    <w:rsid w:val="003E0509"/>
    <w:rsid w:val="003E1FD6"/>
    <w:rsid w:val="003E534A"/>
    <w:rsid w:val="003F7A05"/>
    <w:rsid w:val="00414146"/>
    <w:rsid w:val="004172C3"/>
    <w:rsid w:val="004223D2"/>
    <w:rsid w:val="00424BFC"/>
    <w:rsid w:val="00440C23"/>
    <w:rsid w:val="004445F8"/>
    <w:rsid w:val="004646AE"/>
    <w:rsid w:val="0048104B"/>
    <w:rsid w:val="00483A18"/>
    <w:rsid w:val="00491196"/>
    <w:rsid w:val="004D49BC"/>
    <w:rsid w:val="004E4DF1"/>
    <w:rsid w:val="004F5EE9"/>
    <w:rsid w:val="004F6B69"/>
    <w:rsid w:val="0051094F"/>
    <w:rsid w:val="00512F42"/>
    <w:rsid w:val="00514021"/>
    <w:rsid w:val="005158E9"/>
    <w:rsid w:val="0052012C"/>
    <w:rsid w:val="0053093E"/>
    <w:rsid w:val="00546B18"/>
    <w:rsid w:val="005521DC"/>
    <w:rsid w:val="00553D38"/>
    <w:rsid w:val="0056102E"/>
    <w:rsid w:val="00580346"/>
    <w:rsid w:val="00580D10"/>
    <w:rsid w:val="00593774"/>
    <w:rsid w:val="005A518C"/>
    <w:rsid w:val="005B0BF1"/>
    <w:rsid w:val="005E1EDA"/>
    <w:rsid w:val="005E335D"/>
    <w:rsid w:val="005F6C29"/>
    <w:rsid w:val="0062243E"/>
    <w:rsid w:val="00624152"/>
    <w:rsid w:val="0063550A"/>
    <w:rsid w:val="00656A7B"/>
    <w:rsid w:val="00670BDB"/>
    <w:rsid w:val="006751D1"/>
    <w:rsid w:val="0067522B"/>
    <w:rsid w:val="00681616"/>
    <w:rsid w:val="00687815"/>
    <w:rsid w:val="00687A3C"/>
    <w:rsid w:val="006A57A1"/>
    <w:rsid w:val="006A7EAA"/>
    <w:rsid w:val="006C3BC3"/>
    <w:rsid w:val="006E007C"/>
    <w:rsid w:val="006E3A40"/>
    <w:rsid w:val="006F1BF9"/>
    <w:rsid w:val="006F4848"/>
    <w:rsid w:val="006F56C3"/>
    <w:rsid w:val="006F6B20"/>
    <w:rsid w:val="00715262"/>
    <w:rsid w:val="007213FA"/>
    <w:rsid w:val="007430F9"/>
    <w:rsid w:val="00751E10"/>
    <w:rsid w:val="00773913"/>
    <w:rsid w:val="00774656"/>
    <w:rsid w:val="00792B1A"/>
    <w:rsid w:val="007B29D1"/>
    <w:rsid w:val="007C2380"/>
    <w:rsid w:val="007C2C3A"/>
    <w:rsid w:val="007C6254"/>
    <w:rsid w:val="007D0AD4"/>
    <w:rsid w:val="007D41DE"/>
    <w:rsid w:val="007E389E"/>
    <w:rsid w:val="007E66F1"/>
    <w:rsid w:val="007F1F75"/>
    <w:rsid w:val="007F5760"/>
    <w:rsid w:val="007F6CF9"/>
    <w:rsid w:val="00801875"/>
    <w:rsid w:val="00807DED"/>
    <w:rsid w:val="0083028F"/>
    <w:rsid w:val="008328B0"/>
    <w:rsid w:val="00860820"/>
    <w:rsid w:val="00871148"/>
    <w:rsid w:val="008731F7"/>
    <w:rsid w:val="008A35AC"/>
    <w:rsid w:val="008B127A"/>
    <w:rsid w:val="008B2DB0"/>
    <w:rsid w:val="008C01B3"/>
    <w:rsid w:val="008C0485"/>
    <w:rsid w:val="008D4C48"/>
    <w:rsid w:val="008E0827"/>
    <w:rsid w:val="008E338B"/>
    <w:rsid w:val="008E42CB"/>
    <w:rsid w:val="009122D9"/>
    <w:rsid w:val="009171AA"/>
    <w:rsid w:val="00933B2A"/>
    <w:rsid w:val="009714B1"/>
    <w:rsid w:val="009743F2"/>
    <w:rsid w:val="00991E5E"/>
    <w:rsid w:val="00994418"/>
    <w:rsid w:val="009A080B"/>
    <w:rsid w:val="009B65E8"/>
    <w:rsid w:val="009C1CCA"/>
    <w:rsid w:val="009E346D"/>
    <w:rsid w:val="00A5726B"/>
    <w:rsid w:val="00A6099B"/>
    <w:rsid w:val="00A91812"/>
    <w:rsid w:val="00AA21DA"/>
    <w:rsid w:val="00AA265B"/>
    <w:rsid w:val="00AA4918"/>
    <w:rsid w:val="00AB7F64"/>
    <w:rsid w:val="00AC0E41"/>
    <w:rsid w:val="00AC3AE1"/>
    <w:rsid w:val="00B03E38"/>
    <w:rsid w:val="00B1168C"/>
    <w:rsid w:val="00B17724"/>
    <w:rsid w:val="00B1782A"/>
    <w:rsid w:val="00B21195"/>
    <w:rsid w:val="00B34A78"/>
    <w:rsid w:val="00B4671C"/>
    <w:rsid w:val="00B734EF"/>
    <w:rsid w:val="00B83C96"/>
    <w:rsid w:val="00BB2C69"/>
    <w:rsid w:val="00BC10A7"/>
    <w:rsid w:val="00BE2EF6"/>
    <w:rsid w:val="00C07E75"/>
    <w:rsid w:val="00C423AE"/>
    <w:rsid w:val="00C64B4E"/>
    <w:rsid w:val="00C87E38"/>
    <w:rsid w:val="00C951AE"/>
    <w:rsid w:val="00CA65F1"/>
    <w:rsid w:val="00CD4E25"/>
    <w:rsid w:val="00CE784E"/>
    <w:rsid w:val="00D27ABA"/>
    <w:rsid w:val="00D3135E"/>
    <w:rsid w:val="00D90D02"/>
    <w:rsid w:val="00D970A1"/>
    <w:rsid w:val="00DB191B"/>
    <w:rsid w:val="00DD63B4"/>
    <w:rsid w:val="00DE4CC1"/>
    <w:rsid w:val="00DF157A"/>
    <w:rsid w:val="00E01962"/>
    <w:rsid w:val="00E128BE"/>
    <w:rsid w:val="00E214B8"/>
    <w:rsid w:val="00E30A72"/>
    <w:rsid w:val="00E36543"/>
    <w:rsid w:val="00E46D75"/>
    <w:rsid w:val="00E543EB"/>
    <w:rsid w:val="00E6681B"/>
    <w:rsid w:val="00E76C0B"/>
    <w:rsid w:val="00E93D6E"/>
    <w:rsid w:val="00E978F3"/>
    <w:rsid w:val="00EC41CB"/>
    <w:rsid w:val="00ED14DC"/>
    <w:rsid w:val="00F143B5"/>
    <w:rsid w:val="00F363CA"/>
    <w:rsid w:val="00F40685"/>
    <w:rsid w:val="00F50230"/>
    <w:rsid w:val="00F50B62"/>
    <w:rsid w:val="00F65342"/>
    <w:rsid w:val="00F70B01"/>
    <w:rsid w:val="00F877A0"/>
    <w:rsid w:val="00F94D82"/>
    <w:rsid w:val="00FA4A78"/>
    <w:rsid w:val="00FC212B"/>
    <w:rsid w:val="00FE5F93"/>
    <w:rsid w:val="14A93B9D"/>
    <w:rsid w:val="48C42A3E"/>
    <w:rsid w:val="4E6F6FA8"/>
    <w:rsid w:val="53930EDD"/>
    <w:rsid w:val="568355EC"/>
    <w:rsid w:val="59594ADC"/>
    <w:rsid w:val="5DA870AA"/>
    <w:rsid w:val="6BB81675"/>
    <w:rsid w:val="711C00F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2"/>
    <w:semiHidden/>
    <w:unhideWhenUsed/>
    <w:qFormat/>
    <w:uiPriority w:val="99"/>
    <w:pPr>
      <w:spacing w:after="120"/>
      <w:ind w:left="420" w:leftChars="200"/>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6">
    <w:name w:val="Body Text First Indent 2"/>
    <w:basedOn w:val="2"/>
    <w:next w:val="1"/>
    <w:link w:val="13"/>
    <w:qFormat/>
    <w:uiPriority w:val="0"/>
    <w:pPr>
      <w:spacing w:after="0"/>
      <w:ind w:left="0" w:leftChars="0" w:firstLine="420" w:firstLineChars="200"/>
    </w:pPr>
    <w:rPr>
      <w:rFonts w:ascii="Times New Roman" w:hAnsi="Times New Roman" w:eastAsia="仿宋_GB2312" w:cs="Times New Roman"/>
      <w:sz w:val="36"/>
      <w:szCs w:val="36"/>
    </w:rPr>
  </w:style>
  <w:style w:type="paragraph" w:styleId="9">
    <w:name w:val="List Paragraph"/>
    <w:basedOn w:val="1"/>
    <w:qFormat/>
    <w:uiPriority w:val="34"/>
    <w:pPr>
      <w:ind w:firstLine="420" w:firstLineChars="200"/>
    </w:p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正文文本缩进 Char"/>
    <w:basedOn w:val="8"/>
    <w:link w:val="2"/>
    <w:semiHidden/>
    <w:qFormat/>
    <w:uiPriority w:val="99"/>
  </w:style>
  <w:style w:type="character" w:customStyle="1" w:styleId="13">
    <w:name w:val="正文首行缩进 2 Char"/>
    <w:basedOn w:val="12"/>
    <w:link w:val="6"/>
    <w:qFormat/>
    <w:uiPriority w:val="0"/>
    <w:rPr>
      <w:rFonts w:ascii="Times New Roman" w:hAnsi="Times New Roman" w:eastAsia="仿宋_GB2312" w:cs="Times New Roman"/>
      <w:sz w:val="36"/>
      <w:szCs w:val="3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6591</Words>
  <Characters>6861</Characters>
  <Lines>50</Lines>
  <Paragraphs>14</Paragraphs>
  <TotalTime>14</TotalTime>
  <ScaleCrop>false</ScaleCrop>
  <LinksUpToDate>false</LinksUpToDate>
  <CharactersWithSpaces>6945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2025-05-15T00:59:00Z</dcterms:created>
  <dc:creator>Administrator</dc:creator>
  <cp:lastModifiedBy>WPS_1602208604</cp:lastModifiedBy>
  <dcterms:modified xsi:type="dcterms:W3CDTF">2025-05-28T01:15:06Z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eyJoZGlkIjoiMDVhYzc0ZWY5NjFlZjU3NDM3MmZjODVhZWI2Mjk4NzQiLCJ1c2VySWQiOiIxMTI4ODE3MTc5In0=</vt:lpwstr>
  </property>
  <property fmtid="{D5CDD505-2E9C-101B-9397-08002B2CF9AE}" pid="3" name="KSOProductBuildVer">
    <vt:lpwstr>2052-12.1.0.21541</vt:lpwstr>
  </property>
  <property fmtid="{D5CDD505-2E9C-101B-9397-08002B2CF9AE}" pid="4" name="ICV">
    <vt:lpwstr>81339C6B135F40269C21DAA462B4682E_12</vt:lpwstr>
  </property>
</Properties>
</file>