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2209" w:firstLineChars="500"/>
        <w:rPr>
          <w:rFonts w:hint="eastAsia" w:eastAsia="仿宋_GB2312"/>
          <w:sz w:val="44"/>
          <w:szCs w:val="44"/>
          <w:lang w:val="en-US" w:eastAsia="zh-CN"/>
        </w:rPr>
      </w:pPr>
      <w:r>
        <w:rPr>
          <w:rFonts w:hint="eastAsia"/>
          <w:sz w:val="44"/>
          <w:szCs w:val="44"/>
          <w:lang w:val="en-US" w:eastAsia="zh-CN"/>
        </w:rPr>
        <w:t>溆浦县文化旅游广电体育局</w:t>
      </w:r>
    </w:p>
    <w:p>
      <w:pPr>
        <w:pStyle w:val="3"/>
        <w:ind w:firstLine="3092" w:firstLineChars="700"/>
        <w:rPr>
          <w:rFonts w:hint="eastAsia"/>
          <w:sz w:val="44"/>
          <w:szCs w:val="44"/>
          <w:lang w:eastAsia="zh-CN"/>
        </w:rPr>
      </w:pPr>
      <w:bookmarkStart w:id="0" w:name="_GoBack"/>
      <w:bookmarkEnd w:id="0"/>
      <w:r>
        <w:rPr>
          <w:rFonts w:hint="eastAsia"/>
          <w:sz w:val="44"/>
          <w:szCs w:val="44"/>
        </w:rPr>
        <w:t>项目资金</w:t>
      </w:r>
      <w:r>
        <w:rPr>
          <w:rFonts w:hint="eastAsia"/>
          <w:sz w:val="44"/>
          <w:szCs w:val="44"/>
          <w:lang w:eastAsia="zh-CN"/>
        </w:rPr>
        <w:t>管理办法</w:t>
      </w:r>
    </w:p>
    <w:p>
      <w:pPr>
        <w:rPr>
          <w:rFonts w:hint="eastAsia"/>
          <w:lang w:eastAsia="zh-CN"/>
        </w:rPr>
      </w:pP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1.业务风险</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1.1应当支付的金额不准确</w:t>
      </w:r>
      <w:r>
        <w:rPr>
          <w:rFonts w:hint="eastAsia" w:eastAsia="仿宋_GB2312" w:cs="Times New Roman"/>
          <w:sz w:val="28"/>
          <w:szCs w:val="28"/>
          <w:lang w:val="zh-CN" w:eastAsia="zh-CN"/>
        </w:rPr>
        <w:t>；</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1.2项目结算金额超过计划投资或预算且没有追加投资支持性文件</w:t>
      </w:r>
      <w:r>
        <w:rPr>
          <w:rFonts w:hint="eastAsia" w:eastAsia="仿宋_GB2312" w:cs="Times New Roman"/>
          <w:sz w:val="28"/>
          <w:szCs w:val="28"/>
          <w:lang w:val="zh-CN" w:eastAsia="zh-CN"/>
        </w:rPr>
        <w:t>；</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1.3未经适当的审批，工程费用列支依据不充分</w:t>
      </w:r>
      <w:r>
        <w:rPr>
          <w:rFonts w:hint="eastAsia" w:eastAsia="仿宋_GB2312" w:cs="Times New Roman"/>
          <w:sz w:val="28"/>
          <w:szCs w:val="28"/>
          <w:lang w:val="zh-CN" w:eastAsia="zh-CN"/>
        </w:rPr>
        <w:t>；</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1.4工程造价确定的方法、依据和程序不合理，导致工程造价不准确</w:t>
      </w:r>
      <w:r>
        <w:rPr>
          <w:rFonts w:hint="eastAsia" w:eastAsia="仿宋_GB2312" w:cs="Times New Roman"/>
          <w:sz w:val="28"/>
          <w:szCs w:val="28"/>
          <w:lang w:val="zh-CN" w:eastAsia="zh-CN"/>
        </w:rPr>
        <w:t>；</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1.5建设项目资金管理不严格，价款结算不及时，项目资金使用管理混乱，导致工程建设进度延迟或中断，资金损失等风险</w:t>
      </w:r>
      <w:r>
        <w:rPr>
          <w:rFonts w:hint="eastAsia" w:eastAsia="仿宋_GB2312" w:cs="Times New Roman"/>
          <w:sz w:val="28"/>
          <w:szCs w:val="28"/>
          <w:lang w:val="zh-CN" w:eastAsia="zh-CN"/>
        </w:rPr>
        <w:t>；</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1.6虚列建设成本隐匿结余资金，未及时办理竣工验收，导致竣工决算失真和帐外资产等风险</w:t>
      </w:r>
      <w:r>
        <w:rPr>
          <w:rFonts w:hint="eastAsia" w:eastAsia="仿宋_GB2312" w:cs="Times New Roman"/>
          <w:sz w:val="28"/>
          <w:szCs w:val="28"/>
          <w:lang w:val="zh-CN" w:eastAsia="zh-CN"/>
        </w:rPr>
        <w:t>；</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1.7投资节余资金的使用不合理</w:t>
      </w:r>
      <w:r>
        <w:rPr>
          <w:rFonts w:hint="eastAsia" w:eastAsia="仿宋_GB2312" w:cs="Times New Roman"/>
          <w:sz w:val="28"/>
          <w:szCs w:val="28"/>
          <w:lang w:val="zh-CN" w:eastAsia="zh-CN"/>
        </w:rPr>
        <w:t>；</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2.控制措施</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2.1建设单位责任人(或部门、项目负责人）对工程量进行审定，对工程结算金额进行审核并签字（盖章）</w:t>
      </w:r>
      <w:r>
        <w:rPr>
          <w:rFonts w:hint="eastAsia" w:eastAsia="仿宋_GB2312" w:cs="Times New Roman"/>
          <w:sz w:val="28"/>
          <w:szCs w:val="28"/>
          <w:lang w:val="zh-CN" w:eastAsia="zh-CN"/>
        </w:rPr>
        <w:t>；</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2.2建设单位必须将工程结算控制在投资计划或预算之内，并严格执行专款专用相关制度，工程造价中心对超预算且没用追加支持性文件的结算不得审批</w:t>
      </w:r>
      <w:r>
        <w:rPr>
          <w:rFonts w:hint="eastAsia" w:eastAsia="仿宋_GB2312" w:cs="Times New Roman"/>
          <w:sz w:val="28"/>
          <w:szCs w:val="28"/>
          <w:lang w:val="zh-CN" w:eastAsia="zh-CN"/>
        </w:rPr>
        <w:t>；</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2.3工程投资概算一般不允许调整，确需调整，应当履行审核和审批程序，报经批准后才能调整投资概算</w:t>
      </w:r>
      <w:r>
        <w:rPr>
          <w:rFonts w:hint="eastAsia" w:eastAsia="仿宋_GB2312" w:cs="Times New Roman"/>
          <w:sz w:val="28"/>
          <w:szCs w:val="28"/>
          <w:lang w:val="zh-CN" w:eastAsia="zh-CN"/>
        </w:rPr>
        <w:t>；</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2.4财会部门及时掌握工程进度，根据工程进度支付工程款</w:t>
      </w:r>
      <w:r>
        <w:rPr>
          <w:rFonts w:hint="eastAsia" w:eastAsia="仿宋_GB2312" w:cs="Times New Roman"/>
          <w:sz w:val="28"/>
          <w:szCs w:val="28"/>
          <w:lang w:val="zh-CN" w:eastAsia="zh-CN"/>
        </w:rPr>
        <w:t>；</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2.5价款支付要取得监理机构的相关人员的签字确认</w:t>
      </w:r>
      <w:r>
        <w:rPr>
          <w:rFonts w:hint="eastAsia" w:eastAsia="仿宋_GB2312" w:cs="Times New Roman"/>
          <w:sz w:val="28"/>
          <w:szCs w:val="28"/>
          <w:lang w:val="zh-CN" w:eastAsia="zh-CN"/>
        </w:rPr>
        <w:t>；</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2.6基建工程项目结算的初步审查</w:t>
      </w:r>
      <w:r>
        <w:rPr>
          <w:rFonts w:hint="eastAsia" w:eastAsia="仿宋_GB2312" w:cs="Times New Roman"/>
          <w:sz w:val="28"/>
          <w:szCs w:val="28"/>
          <w:lang w:val="zh-CN" w:eastAsia="zh-CN"/>
        </w:rPr>
        <w:t>；</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2.7建设单位责任人(或部门、项目负责人）对工程量进行审定，对工程结算金额进行审核并签字（盖章）。</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2.8所属单位计划科编制投资节余资金使用申请，经所属单位主管领导、</w:t>
      </w:r>
      <w:r>
        <w:rPr>
          <w:rFonts w:hint="eastAsia" w:eastAsia="仿宋_GB2312" w:cs="Times New Roman"/>
          <w:sz w:val="28"/>
          <w:szCs w:val="28"/>
          <w:lang w:val="zh-CN" w:eastAsia="zh-CN"/>
        </w:rPr>
        <w:t>财务股</w:t>
      </w:r>
      <w:r>
        <w:rPr>
          <w:rFonts w:hint="eastAsia" w:ascii="Times New Roman" w:hAnsi="Times New Roman" w:eastAsia="仿宋_GB2312" w:cs="Times New Roman"/>
          <w:sz w:val="28"/>
          <w:szCs w:val="28"/>
          <w:lang w:val="zh-CN" w:eastAsia="zh-CN"/>
        </w:rPr>
        <w:t>投资核算岗、投资计划管理岗、</w:t>
      </w:r>
      <w:r>
        <w:rPr>
          <w:rFonts w:hint="eastAsia" w:ascii="Times New Roman" w:hAnsi="Times New Roman" w:eastAsia="仿宋_GB2312" w:cs="Times New Roman"/>
          <w:sz w:val="28"/>
          <w:szCs w:val="28"/>
          <w:lang w:val="en-US" w:eastAsia="zh-CN"/>
        </w:rPr>
        <w:t>财务</w:t>
      </w:r>
      <w:r>
        <w:rPr>
          <w:rFonts w:hint="eastAsia" w:ascii="Times New Roman" w:hAnsi="Times New Roman" w:eastAsia="仿宋_GB2312" w:cs="Times New Roman"/>
          <w:sz w:val="28"/>
          <w:szCs w:val="28"/>
          <w:lang w:val="zh-CN" w:eastAsia="zh-CN"/>
        </w:rPr>
        <w:t>主管领导审核，审核通过后报</w:t>
      </w:r>
      <w:r>
        <w:rPr>
          <w:rFonts w:hint="eastAsia" w:eastAsia="仿宋_GB2312" w:cs="Times New Roman"/>
          <w:sz w:val="28"/>
          <w:szCs w:val="28"/>
          <w:lang w:val="zh-CN" w:eastAsia="zh-CN"/>
        </w:rPr>
        <w:t>县文化和旅游局</w:t>
      </w:r>
      <w:r>
        <w:rPr>
          <w:rFonts w:hint="eastAsia" w:ascii="Times New Roman" w:hAnsi="Times New Roman" w:eastAsia="仿宋_GB2312" w:cs="Times New Roman"/>
          <w:sz w:val="28"/>
          <w:szCs w:val="28"/>
          <w:lang w:val="zh-CN" w:eastAsia="zh-CN"/>
        </w:rPr>
        <w:t>主管领导审批</w:t>
      </w:r>
      <w:r>
        <w:rPr>
          <w:rFonts w:hint="eastAsia" w:eastAsia="仿宋_GB2312" w:cs="Times New Roman"/>
          <w:sz w:val="28"/>
          <w:szCs w:val="28"/>
          <w:lang w:val="zh-CN" w:eastAsia="zh-CN"/>
        </w:rPr>
        <w:t>；</w:t>
      </w:r>
    </w:p>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3.流程步骤</w:t>
      </w:r>
    </w:p>
    <w:tbl>
      <w:tblPr>
        <w:tblStyle w:val="4"/>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1063"/>
        <w:gridCol w:w="1417"/>
        <w:gridCol w:w="1843"/>
        <w:gridCol w:w="1559"/>
        <w:gridCol w:w="25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24" w:hRule="atLeast"/>
        </w:trPr>
        <w:tc>
          <w:tcPr>
            <w:tcW w:w="1063" w:type="dxa"/>
            <w:noWrap w:val="0"/>
            <w:vAlign w:val="center"/>
          </w:tcPr>
          <w:p>
            <w:pPr>
              <w:spacing w:line="300" w:lineRule="exact"/>
              <w:ind w:firstLine="0" w:firstLineChars="0"/>
              <w:jc w:val="center"/>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序号</w:t>
            </w:r>
          </w:p>
        </w:tc>
        <w:tc>
          <w:tcPr>
            <w:tcW w:w="1417" w:type="dxa"/>
            <w:noWrap w:val="0"/>
            <w:vAlign w:val="center"/>
          </w:tcPr>
          <w:p>
            <w:pPr>
              <w:spacing w:line="300" w:lineRule="exact"/>
              <w:ind w:firstLine="0" w:firstLineChars="0"/>
              <w:jc w:val="center"/>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业务活动</w:t>
            </w:r>
          </w:p>
        </w:tc>
        <w:tc>
          <w:tcPr>
            <w:tcW w:w="1843" w:type="dxa"/>
            <w:noWrap w:val="0"/>
            <w:vAlign w:val="center"/>
          </w:tcPr>
          <w:p>
            <w:pPr>
              <w:spacing w:line="300" w:lineRule="exact"/>
              <w:ind w:firstLine="0" w:firstLineChars="0"/>
              <w:jc w:val="center"/>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操作岗位/部门</w:t>
            </w:r>
          </w:p>
        </w:tc>
        <w:tc>
          <w:tcPr>
            <w:tcW w:w="1559" w:type="dxa"/>
            <w:noWrap w:val="0"/>
            <w:vAlign w:val="center"/>
          </w:tcPr>
          <w:p>
            <w:pPr>
              <w:spacing w:line="300" w:lineRule="exact"/>
              <w:ind w:firstLine="0" w:firstLineChars="0"/>
              <w:jc w:val="center"/>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业务表单</w:t>
            </w:r>
          </w:p>
        </w:tc>
        <w:tc>
          <w:tcPr>
            <w:tcW w:w="2552" w:type="dxa"/>
            <w:noWrap w:val="0"/>
            <w:vAlign w:val="center"/>
          </w:tcPr>
          <w:p>
            <w:pPr>
              <w:spacing w:line="300" w:lineRule="exact"/>
              <w:ind w:firstLine="0" w:firstLineChars="0"/>
              <w:jc w:val="center"/>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1340" w:hRule="atLeast"/>
        </w:trPr>
        <w:tc>
          <w:tcPr>
            <w:tcW w:w="1063"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sz w:val="21"/>
                <w:szCs w:val="21"/>
              </w:rPr>
              <w:t>JS.0</w:t>
            </w:r>
            <w:r>
              <w:rPr>
                <w:rFonts w:hint="eastAsia" w:ascii="仿宋_GB2312" w:hAnsi="仿宋_GB2312" w:eastAsia="仿宋_GB2312" w:cs="仿宋_GB2312"/>
                <w:sz w:val="21"/>
                <w:szCs w:val="21"/>
                <w:lang w:eastAsia="zh-CN"/>
              </w:rPr>
              <w:t>4</w:t>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lang w:eastAsia="zh-CN"/>
              </w:rPr>
              <w:t>1</w:t>
            </w:r>
          </w:p>
        </w:tc>
        <w:tc>
          <w:tcPr>
            <w:tcW w:w="1417"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组织收集已完工资料</w:t>
            </w:r>
          </w:p>
        </w:tc>
        <w:tc>
          <w:tcPr>
            <w:tcW w:w="1843"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造价部门预算员</w:t>
            </w:r>
          </w:p>
        </w:tc>
        <w:tc>
          <w:tcPr>
            <w:tcW w:w="1559"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工程验交报告、工程合同书、审批的预算书</w:t>
            </w:r>
          </w:p>
        </w:tc>
        <w:tc>
          <w:tcPr>
            <w:tcW w:w="2552"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1063"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sz w:val="21"/>
                <w:szCs w:val="21"/>
              </w:rPr>
              <w:t>JS.0</w:t>
            </w:r>
            <w:r>
              <w:rPr>
                <w:rFonts w:hint="eastAsia" w:ascii="仿宋_GB2312" w:hAnsi="仿宋_GB2312" w:eastAsia="仿宋_GB2312" w:cs="仿宋_GB2312"/>
                <w:sz w:val="21"/>
                <w:szCs w:val="21"/>
                <w:lang w:eastAsia="zh-CN"/>
              </w:rPr>
              <w:t>4</w:t>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lang w:eastAsia="zh-CN"/>
              </w:rPr>
              <w:t>2</w:t>
            </w:r>
          </w:p>
        </w:tc>
        <w:tc>
          <w:tcPr>
            <w:tcW w:w="1417"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编制（复审）结算金额</w:t>
            </w:r>
          </w:p>
        </w:tc>
        <w:tc>
          <w:tcPr>
            <w:tcW w:w="1843"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造价部门预算员</w:t>
            </w:r>
          </w:p>
        </w:tc>
        <w:tc>
          <w:tcPr>
            <w:tcW w:w="1559"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工程结算审查单</w:t>
            </w:r>
          </w:p>
        </w:tc>
        <w:tc>
          <w:tcPr>
            <w:tcW w:w="2552"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1063"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sz w:val="21"/>
                <w:szCs w:val="21"/>
              </w:rPr>
              <w:t>JS.0</w:t>
            </w:r>
            <w:r>
              <w:rPr>
                <w:rFonts w:hint="eastAsia" w:ascii="仿宋_GB2312" w:hAnsi="仿宋_GB2312" w:eastAsia="仿宋_GB2312" w:cs="仿宋_GB2312"/>
                <w:sz w:val="21"/>
                <w:szCs w:val="21"/>
                <w:lang w:eastAsia="zh-CN"/>
              </w:rPr>
              <w:t>4</w:t>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lang w:eastAsia="zh-CN"/>
              </w:rPr>
              <w:t>3</w:t>
            </w:r>
          </w:p>
        </w:tc>
        <w:tc>
          <w:tcPr>
            <w:tcW w:w="1417"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审核结算金额</w:t>
            </w:r>
          </w:p>
        </w:tc>
        <w:tc>
          <w:tcPr>
            <w:tcW w:w="1843"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建设单位（或部门)项目负责人</w:t>
            </w:r>
          </w:p>
        </w:tc>
        <w:tc>
          <w:tcPr>
            <w:tcW w:w="1559"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c>
          <w:tcPr>
            <w:tcW w:w="2552"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建设单位责任人(或部门、项目负责人）对工程量进行审定，对工程结算金额进行审核并签字（盖章）。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1063"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sz w:val="21"/>
                <w:szCs w:val="21"/>
              </w:rPr>
              <w:t>JS.0</w:t>
            </w:r>
            <w:r>
              <w:rPr>
                <w:rFonts w:hint="eastAsia" w:ascii="仿宋_GB2312" w:hAnsi="仿宋_GB2312" w:eastAsia="仿宋_GB2312" w:cs="仿宋_GB2312"/>
                <w:sz w:val="21"/>
                <w:szCs w:val="21"/>
                <w:lang w:eastAsia="zh-CN"/>
              </w:rPr>
              <w:t>4</w:t>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lang w:eastAsia="zh-CN"/>
              </w:rPr>
              <w:t>4</w:t>
            </w:r>
          </w:p>
        </w:tc>
        <w:tc>
          <w:tcPr>
            <w:tcW w:w="1417"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是否工程成本项目或服务事业部所属基建工程投资项目单项金额小于10万元及成本项目</w:t>
            </w:r>
          </w:p>
        </w:tc>
        <w:tc>
          <w:tcPr>
            <w:tcW w:w="1843"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建设单位预算负责人</w:t>
            </w:r>
          </w:p>
        </w:tc>
        <w:tc>
          <w:tcPr>
            <w:tcW w:w="1559"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c>
          <w:tcPr>
            <w:tcW w:w="2552"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项目结算的初步审查由建设单位负责。列入成本工程项目结算由建设单位审定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1063"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sz w:val="21"/>
                <w:szCs w:val="21"/>
              </w:rPr>
              <w:t>JS.0</w:t>
            </w:r>
            <w:r>
              <w:rPr>
                <w:rFonts w:hint="eastAsia" w:ascii="仿宋_GB2312" w:hAnsi="仿宋_GB2312" w:eastAsia="仿宋_GB2312" w:cs="仿宋_GB2312"/>
                <w:sz w:val="21"/>
                <w:szCs w:val="21"/>
                <w:lang w:eastAsia="zh-CN"/>
              </w:rPr>
              <w:t>4</w:t>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lang w:eastAsia="zh-CN"/>
              </w:rPr>
              <w:t>5</w:t>
            </w:r>
          </w:p>
        </w:tc>
        <w:tc>
          <w:tcPr>
            <w:tcW w:w="1417"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审定结算金额</w:t>
            </w:r>
          </w:p>
        </w:tc>
        <w:tc>
          <w:tcPr>
            <w:tcW w:w="1843"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工程造价中心工程造价管理岗造价部门</w:t>
            </w:r>
          </w:p>
        </w:tc>
        <w:tc>
          <w:tcPr>
            <w:tcW w:w="1559"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c>
          <w:tcPr>
            <w:tcW w:w="2552"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列入投资的工程项目结算由工程造价中心审定。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1063"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sz w:val="21"/>
                <w:szCs w:val="21"/>
              </w:rPr>
              <w:t>JS.0</w:t>
            </w:r>
            <w:r>
              <w:rPr>
                <w:rFonts w:hint="eastAsia" w:ascii="仿宋_GB2312" w:hAnsi="仿宋_GB2312" w:eastAsia="仿宋_GB2312" w:cs="仿宋_GB2312"/>
                <w:sz w:val="21"/>
                <w:szCs w:val="21"/>
                <w:lang w:eastAsia="zh-CN"/>
              </w:rPr>
              <w:t>4</w:t>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lang w:eastAsia="zh-CN"/>
              </w:rPr>
              <w:t>6</w:t>
            </w:r>
          </w:p>
        </w:tc>
        <w:tc>
          <w:tcPr>
            <w:tcW w:w="1417"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审查结算资料并与概算对比</w:t>
            </w:r>
          </w:p>
        </w:tc>
        <w:tc>
          <w:tcPr>
            <w:tcW w:w="1843"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color w:val="000000"/>
                <w:kern w:val="0"/>
                <w:sz w:val="21"/>
                <w:szCs w:val="21"/>
                <w:lang w:val="zh-CN"/>
              </w:rPr>
              <w:t>造价部门工程造价管理岗</w:t>
            </w:r>
          </w:p>
        </w:tc>
        <w:tc>
          <w:tcPr>
            <w:tcW w:w="1559"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c>
          <w:tcPr>
            <w:tcW w:w="2552"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1063"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sz w:val="21"/>
                <w:szCs w:val="21"/>
              </w:rPr>
              <w:t>JS.0</w:t>
            </w:r>
            <w:r>
              <w:rPr>
                <w:rFonts w:hint="eastAsia" w:ascii="仿宋_GB2312" w:hAnsi="仿宋_GB2312" w:eastAsia="仿宋_GB2312" w:cs="仿宋_GB2312"/>
                <w:sz w:val="21"/>
                <w:szCs w:val="21"/>
                <w:lang w:eastAsia="zh-CN"/>
              </w:rPr>
              <w:t>4</w:t>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lang w:eastAsia="zh-CN"/>
              </w:rPr>
              <w:t>7</w:t>
            </w:r>
          </w:p>
        </w:tc>
        <w:tc>
          <w:tcPr>
            <w:tcW w:w="1417"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上报结余资金使用申请</w:t>
            </w:r>
          </w:p>
        </w:tc>
        <w:tc>
          <w:tcPr>
            <w:tcW w:w="1843"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所属单位计划科</w:t>
            </w:r>
          </w:p>
        </w:tc>
        <w:tc>
          <w:tcPr>
            <w:tcW w:w="1559"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r>
              <w:rPr>
                <w:rFonts w:hint="eastAsia" w:ascii="仿宋_GB2312" w:hAnsi="仿宋_GB2312" w:eastAsia="仿宋_GB2312" w:cs="仿宋_GB2312"/>
                <w:kern w:val="0"/>
                <w:sz w:val="21"/>
                <w:szCs w:val="21"/>
                <w:lang w:val="zh-CN"/>
              </w:rPr>
              <w:t>结余资金使用申请表</w:t>
            </w:r>
          </w:p>
        </w:tc>
        <w:tc>
          <w:tcPr>
            <w:tcW w:w="2552"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1063"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sz w:val="21"/>
                <w:szCs w:val="21"/>
              </w:rPr>
              <w:t>JS.0</w:t>
            </w:r>
            <w:r>
              <w:rPr>
                <w:rFonts w:hint="eastAsia" w:ascii="仿宋_GB2312" w:hAnsi="仿宋_GB2312" w:eastAsia="仿宋_GB2312" w:cs="仿宋_GB2312"/>
                <w:sz w:val="21"/>
                <w:szCs w:val="21"/>
                <w:lang w:eastAsia="zh-CN"/>
              </w:rPr>
              <w:t>4</w:t>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lang w:eastAsia="zh-CN"/>
              </w:rPr>
              <w:t>8</w:t>
            </w:r>
          </w:p>
        </w:tc>
        <w:tc>
          <w:tcPr>
            <w:tcW w:w="1417"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审核</w:t>
            </w:r>
          </w:p>
        </w:tc>
        <w:tc>
          <w:tcPr>
            <w:tcW w:w="1843"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所属单位主管领导</w:t>
            </w:r>
          </w:p>
        </w:tc>
        <w:tc>
          <w:tcPr>
            <w:tcW w:w="1559"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c>
          <w:tcPr>
            <w:tcW w:w="2552"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1063"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sz w:val="21"/>
                <w:szCs w:val="21"/>
              </w:rPr>
              <w:t>JS.0</w:t>
            </w:r>
            <w:r>
              <w:rPr>
                <w:rFonts w:hint="eastAsia" w:ascii="仿宋_GB2312" w:hAnsi="仿宋_GB2312" w:eastAsia="仿宋_GB2312" w:cs="仿宋_GB2312"/>
                <w:sz w:val="21"/>
                <w:szCs w:val="21"/>
                <w:lang w:eastAsia="zh-CN"/>
              </w:rPr>
              <w:t>4</w:t>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lang w:eastAsia="zh-CN"/>
              </w:rPr>
              <w:t>9</w:t>
            </w:r>
          </w:p>
        </w:tc>
        <w:tc>
          <w:tcPr>
            <w:tcW w:w="1417"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审核项目资金结算结余情况</w:t>
            </w:r>
          </w:p>
        </w:tc>
        <w:tc>
          <w:tcPr>
            <w:tcW w:w="1843"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投资管理投资核算岗</w:t>
            </w:r>
          </w:p>
        </w:tc>
        <w:tc>
          <w:tcPr>
            <w:tcW w:w="1559"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c>
          <w:tcPr>
            <w:tcW w:w="2552"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1063"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eastAsia="zh-CN"/>
              </w:rPr>
            </w:pPr>
            <w:r>
              <w:rPr>
                <w:rFonts w:hint="eastAsia" w:ascii="仿宋_GB2312" w:hAnsi="仿宋_GB2312" w:eastAsia="仿宋_GB2312" w:cs="仿宋_GB2312"/>
                <w:sz w:val="21"/>
                <w:szCs w:val="21"/>
              </w:rPr>
              <w:t>JS.0</w:t>
            </w:r>
            <w:r>
              <w:rPr>
                <w:rFonts w:hint="eastAsia" w:ascii="仿宋_GB2312" w:hAnsi="仿宋_GB2312" w:eastAsia="仿宋_GB2312" w:cs="仿宋_GB2312"/>
                <w:sz w:val="21"/>
                <w:szCs w:val="21"/>
                <w:lang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10</w:t>
            </w:r>
          </w:p>
        </w:tc>
        <w:tc>
          <w:tcPr>
            <w:tcW w:w="1417"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审核项目实施情况及结余资金安排情况</w:t>
            </w:r>
          </w:p>
        </w:tc>
        <w:tc>
          <w:tcPr>
            <w:tcW w:w="1843"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投资计划投资计划管理岗</w:t>
            </w:r>
          </w:p>
        </w:tc>
        <w:tc>
          <w:tcPr>
            <w:tcW w:w="1559"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c>
          <w:tcPr>
            <w:tcW w:w="2552"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1063"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eastAsia="zh-CN"/>
              </w:rPr>
            </w:pPr>
            <w:r>
              <w:rPr>
                <w:rFonts w:hint="eastAsia" w:ascii="仿宋_GB2312" w:hAnsi="仿宋_GB2312" w:eastAsia="仿宋_GB2312" w:cs="仿宋_GB2312"/>
                <w:sz w:val="21"/>
                <w:szCs w:val="21"/>
              </w:rPr>
              <w:t>JS.0</w:t>
            </w:r>
            <w:r>
              <w:rPr>
                <w:rFonts w:hint="eastAsia" w:ascii="仿宋_GB2312" w:hAnsi="仿宋_GB2312" w:eastAsia="仿宋_GB2312" w:cs="仿宋_GB2312"/>
                <w:sz w:val="21"/>
                <w:szCs w:val="21"/>
                <w:lang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11</w:t>
            </w:r>
          </w:p>
        </w:tc>
        <w:tc>
          <w:tcPr>
            <w:tcW w:w="1417"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审核</w:t>
            </w:r>
          </w:p>
        </w:tc>
        <w:tc>
          <w:tcPr>
            <w:tcW w:w="1843"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en-US" w:eastAsia="zh-CN"/>
              </w:rPr>
              <w:t>财务股</w:t>
            </w:r>
          </w:p>
        </w:tc>
        <w:tc>
          <w:tcPr>
            <w:tcW w:w="1559"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c>
          <w:tcPr>
            <w:tcW w:w="2552"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32" w:hRule="atLeast"/>
        </w:trPr>
        <w:tc>
          <w:tcPr>
            <w:tcW w:w="1063"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eastAsia="zh-CN"/>
              </w:rPr>
            </w:pPr>
            <w:r>
              <w:rPr>
                <w:rFonts w:hint="eastAsia" w:ascii="仿宋_GB2312" w:hAnsi="仿宋_GB2312" w:eastAsia="仿宋_GB2312" w:cs="仿宋_GB2312"/>
                <w:sz w:val="21"/>
                <w:szCs w:val="21"/>
              </w:rPr>
              <w:t>JS.0</w:t>
            </w:r>
            <w:r>
              <w:rPr>
                <w:rFonts w:hint="eastAsia" w:ascii="仿宋_GB2312" w:hAnsi="仿宋_GB2312" w:eastAsia="仿宋_GB2312" w:cs="仿宋_GB2312"/>
                <w:sz w:val="21"/>
                <w:szCs w:val="21"/>
                <w:lang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12</w:t>
            </w:r>
          </w:p>
        </w:tc>
        <w:tc>
          <w:tcPr>
            <w:tcW w:w="1417"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审批</w:t>
            </w:r>
          </w:p>
        </w:tc>
        <w:tc>
          <w:tcPr>
            <w:tcW w:w="1843"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单位 主管领导</w:t>
            </w:r>
          </w:p>
        </w:tc>
        <w:tc>
          <w:tcPr>
            <w:tcW w:w="1559"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c>
          <w:tcPr>
            <w:tcW w:w="2552"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1063"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eastAsia="zh-CN"/>
              </w:rPr>
            </w:pPr>
            <w:r>
              <w:rPr>
                <w:rFonts w:hint="eastAsia" w:ascii="仿宋_GB2312" w:hAnsi="仿宋_GB2312" w:eastAsia="仿宋_GB2312" w:cs="仿宋_GB2312"/>
                <w:sz w:val="21"/>
                <w:szCs w:val="21"/>
              </w:rPr>
              <w:t>JS.0</w:t>
            </w:r>
            <w:r>
              <w:rPr>
                <w:rFonts w:hint="eastAsia" w:ascii="仿宋_GB2312" w:hAnsi="仿宋_GB2312" w:eastAsia="仿宋_GB2312" w:cs="仿宋_GB2312"/>
                <w:sz w:val="21"/>
                <w:szCs w:val="21"/>
                <w:lang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13</w:t>
            </w:r>
          </w:p>
        </w:tc>
        <w:tc>
          <w:tcPr>
            <w:tcW w:w="1417"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上报县文化和旅游局 规划计划部</w:t>
            </w:r>
          </w:p>
        </w:tc>
        <w:tc>
          <w:tcPr>
            <w:tcW w:w="1843" w:type="dxa"/>
            <w:noWrap w:val="0"/>
            <w:vAlign w:val="center"/>
          </w:tcPr>
          <w:p>
            <w:pPr>
              <w:spacing w:line="300" w:lineRule="exact"/>
              <w:ind w:firstLine="0" w:firstLineChars="0"/>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投资计划 投资计划管理岗</w:t>
            </w:r>
          </w:p>
        </w:tc>
        <w:tc>
          <w:tcPr>
            <w:tcW w:w="1559"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c>
          <w:tcPr>
            <w:tcW w:w="2552" w:type="dxa"/>
            <w:noWrap w:val="0"/>
            <w:vAlign w:val="center"/>
          </w:tcPr>
          <w:p>
            <w:pPr>
              <w:spacing w:line="300" w:lineRule="exact"/>
              <w:ind w:firstLine="0" w:firstLineChars="0"/>
              <w:rPr>
                <w:rFonts w:hint="eastAsia" w:ascii="仿宋_GB2312" w:hAnsi="仿宋_GB2312" w:eastAsia="仿宋_GB2312" w:cs="仿宋_GB2312"/>
                <w:kern w:val="0"/>
                <w:sz w:val="21"/>
                <w:szCs w:val="21"/>
                <w:lang w:val="zh-CN"/>
              </w:rPr>
            </w:pPr>
          </w:p>
        </w:tc>
      </w:tr>
    </w:tbl>
    <w:p>
      <w:pPr>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4.流程接口</w:t>
      </w:r>
      <w:r>
        <w:rPr>
          <w:rFonts w:hint="eastAsia" w:eastAsia="仿宋_GB2312" w:cs="Times New Roman"/>
          <w:sz w:val="28"/>
          <w:szCs w:val="28"/>
          <w:lang w:val="zh-CN" w:eastAsia="zh-CN"/>
        </w:rPr>
        <w:t>：</w:t>
      </w:r>
      <w:r>
        <w:rPr>
          <w:rFonts w:hint="eastAsia" w:ascii="Times New Roman" w:hAnsi="Times New Roman" w:eastAsia="仿宋_GB2312" w:cs="Times New Roman"/>
          <w:sz w:val="28"/>
          <w:szCs w:val="28"/>
          <w:lang w:val="zh-CN" w:eastAsia="zh-CN"/>
        </w:rPr>
        <w:t>项目转资</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val="zh-CN" w:eastAsia="zh-CN"/>
        </w:rPr>
        <w:br w:type="page"/>
      </w:r>
      <w:r>
        <w:rPr>
          <w:rFonts w:hint="eastAsia" w:ascii="仿宋_GB2312" w:hAnsi="仿宋_GB2312" w:eastAsia="仿宋_GB2312" w:cs="仿宋_GB2312"/>
          <w:sz w:val="28"/>
          <w:szCs w:val="28"/>
          <w:lang w:val="en-US" w:eastAsia="zh-CN"/>
        </w:rPr>
        <w:t xml:space="preserve">项目竣工验收管理流程图 </w:t>
      </w:r>
    </w:p>
    <w:p>
      <w:pPr>
        <w:rPr>
          <w:rFonts w:hint="eastAsia"/>
          <w:lang w:val="en-US" w:eastAsia="zh-CN"/>
        </w:rPr>
      </w:pPr>
      <w:r>
        <w:rPr>
          <w:rFonts w:hint="eastAsia"/>
          <w:lang w:val="en-US" w:eastAsia="zh-CN"/>
        </w:rPr>
        <w:object>
          <v:shape id="_x0000_i1025" o:spt="75" type="#_x0000_t75" style="height:610.8pt;width:414.8pt;" o:ole="t" filled="f" o:preferrelative="t" stroked="f" coordsize="21600,21600">
            <v:path/>
            <v:fill on="f" focussize="0,0"/>
            <v:stroke on="f"/>
            <v:imagedata r:id="rId5" o:title=""/>
            <o:lock v:ext="edit" aspectratio="f"/>
            <w10:wrap type="none"/>
            <w10:anchorlock/>
          </v:shape>
          <o:OLEObject Type="Embed" ProgID="Visio.Drawing.11" ShapeID="_x0000_i1025" DrawAspect="Content" ObjectID="_1468075725" r:id="rId4">
            <o:LockedField>false</o:LockedField>
          </o:OLEObject>
        </w:object>
      </w:r>
    </w:p>
    <w:p>
      <w:pPr>
        <w:pageBreakBefore w:val="0"/>
        <w:numPr>
          <w:ilvl w:val="0"/>
          <w:numId w:val="0"/>
        </w:numPr>
        <w:kinsoku/>
        <w:wordWrap/>
        <w:overflowPunct/>
        <w:topLinePunct w:val="0"/>
        <w:autoSpaceDE/>
        <w:autoSpaceDN/>
        <w:bidi w:val="0"/>
        <w:adjustRightInd/>
        <w:snapToGrid w:val="0"/>
        <w:spacing w:line="500" w:lineRule="exact"/>
        <w:ind w:firstLine="420" w:firstLineChars="200"/>
        <w:textAlignment w:val="auto"/>
      </w:pPr>
    </w:p>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工程结算，项目资金支付管理流程图</w:t>
      </w:r>
    </w:p>
    <w:p>
      <w:pPr>
        <w:rPr>
          <w:rFonts w:hint="eastAsia"/>
          <w:lang w:val="en-US" w:eastAsia="zh-CN"/>
        </w:rPr>
      </w:pPr>
      <w:r>
        <w:rPr>
          <w:rFonts w:hint="eastAsia"/>
          <w:lang w:val="en-US" w:eastAsia="zh-CN"/>
        </w:rPr>
        <w:object>
          <v:shape id="_x0000_i1026" o:spt="75" type="#_x0000_t75" style="height:543.1pt;width:414.7pt;" o:ole="t" filled="f" o:preferrelative="t" stroked="f" coordsize="21600,21600">
            <v:path/>
            <v:fill on="f" focussize="0,0"/>
            <v:stroke on="f"/>
            <v:imagedata r:id="rId7" o:title=""/>
            <o:lock v:ext="edit" aspectratio="f"/>
            <w10:wrap type="none"/>
            <w10:anchorlock/>
          </v:shape>
          <o:OLEObject Type="Embed" ProgID="Visio.Drawing.11" ShapeID="_x0000_i1026" DrawAspect="Content" ObjectID="_1468075726" r:id="rId6">
            <o:LockedField>false</o:LockedField>
          </o:OLEObject>
        </w:objec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Yzc0ZWY5NjFlZjU3NDM3MmZjODVhZWI2Mjk4NzQifQ=="/>
  </w:docVars>
  <w:rsids>
    <w:rsidRoot w:val="5EA15747"/>
    <w:rsid w:val="1FBB36A2"/>
    <w:rsid w:val="45216F7A"/>
    <w:rsid w:val="4D1D44CA"/>
    <w:rsid w:val="5EA15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line="500" w:lineRule="exact"/>
      <w:jc w:val="center"/>
      <w:outlineLvl w:val="0"/>
    </w:pPr>
    <w:rPr>
      <w:rFonts w:ascii="Times New Roman" w:hAnsi="Times New Roman" w:eastAsia="黑体"/>
      <w:b/>
      <w:bCs/>
      <w:kern w:val="44"/>
      <w:sz w:val="32"/>
      <w:szCs w:val="44"/>
    </w:rPr>
  </w:style>
  <w:style w:type="paragraph" w:styleId="3">
    <w:name w:val="heading 3"/>
    <w:basedOn w:val="1"/>
    <w:next w:val="1"/>
    <w:unhideWhenUsed/>
    <w:qFormat/>
    <w:uiPriority w:val="0"/>
    <w:pPr>
      <w:keepNext/>
      <w:keepLines/>
      <w:spacing w:line="500" w:lineRule="exact"/>
      <w:ind w:firstLine="883" w:firstLineChars="200"/>
      <w:jc w:val="left"/>
      <w:outlineLvl w:val="2"/>
    </w:pPr>
    <w:rPr>
      <w:rFonts w:ascii="Times New Roman" w:hAnsi="Times New Roman" w:eastAsia="仿宋_GB2312"/>
      <w:b/>
      <w:bCs/>
      <w:sz w:val="28"/>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2023-08-07T09:34:00Z</dcterms:created>
  <dc:creator>溆浦县文化旅游广电体育局</dc:creator>
  <cp:lastModifiedBy>WPS_1602208604</cp:lastModifiedBy>
  <dcterms:modified xsi:type="dcterms:W3CDTF">2024-03-18T07:43:29Z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83438B73CC994D209AC2960DF98FB2D5_11</vt:lpwstr>
  </property>
</Properties>
</file>