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855B47">
      <w:pPr>
        <w:pStyle w:val="3"/>
        <w:ind w:firstLine="2209" w:firstLineChars="500"/>
        <w:rPr>
          <w:rFonts w:hint="eastAsia" w:eastAsia="仿宋_GB2312"/>
          <w:sz w:val="44"/>
          <w:szCs w:val="44"/>
          <w:lang w:val="en-US" w:eastAsia="zh-CN"/>
        </w:rPr>
      </w:pPr>
      <w:r>
        <w:rPr>
          <w:rFonts w:hint="eastAsia"/>
          <w:sz w:val="44"/>
          <w:szCs w:val="44"/>
          <w:lang w:val="en-US" w:eastAsia="zh-CN"/>
        </w:rPr>
        <w:t>溆浦县文化旅游广电体育局</w:t>
      </w:r>
    </w:p>
    <w:p w14:paraId="4EF2196C">
      <w:pPr>
        <w:pStyle w:val="3"/>
        <w:ind w:firstLine="3092" w:firstLineChars="700"/>
        <w:rPr>
          <w:rFonts w:hint="eastAsia"/>
          <w:sz w:val="44"/>
          <w:szCs w:val="44"/>
          <w:lang w:eastAsia="zh-CN"/>
        </w:rPr>
      </w:pPr>
      <w:r>
        <w:rPr>
          <w:rFonts w:hint="eastAsia"/>
          <w:sz w:val="44"/>
          <w:szCs w:val="44"/>
        </w:rPr>
        <w:t>项目资金</w:t>
      </w:r>
      <w:r>
        <w:rPr>
          <w:rFonts w:hint="eastAsia"/>
          <w:sz w:val="44"/>
          <w:szCs w:val="44"/>
          <w:lang w:eastAsia="zh-CN"/>
        </w:rPr>
        <w:t>管理办法</w:t>
      </w:r>
    </w:p>
    <w:p w14:paraId="7914FA6B">
      <w:pPr>
        <w:rPr>
          <w:rFonts w:hint="eastAsia"/>
          <w:lang w:eastAsia="zh-CN"/>
        </w:rPr>
      </w:pPr>
    </w:p>
    <w:p w14:paraId="79DD9424">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1.业务风险</w:t>
      </w:r>
    </w:p>
    <w:p w14:paraId="1D28ADC1">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1.1应当支付的金额不准确</w:t>
      </w:r>
      <w:r>
        <w:rPr>
          <w:rFonts w:hint="eastAsia" w:eastAsia="仿宋_GB2312" w:cs="Times New Roman"/>
          <w:sz w:val="28"/>
          <w:szCs w:val="28"/>
          <w:lang w:val="zh-CN" w:eastAsia="zh-CN"/>
        </w:rPr>
        <w:t>；</w:t>
      </w:r>
    </w:p>
    <w:p w14:paraId="11EEF342">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1.2项目结算金额超过计划投资或预算且没有追加投资支持性文件</w:t>
      </w:r>
      <w:r>
        <w:rPr>
          <w:rFonts w:hint="eastAsia" w:eastAsia="仿宋_GB2312" w:cs="Times New Roman"/>
          <w:sz w:val="28"/>
          <w:szCs w:val="28"/>
          <w:lang w:val="zh-CN" w:eastAsia="zh-CN"/>
        </w:rPr>
        <w:t>；</w:t>
      </w:r>
    </w:p>
    <w:p w14:paraId="1CB3F93A">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1.3未经适当的审批，工程费用列支依据不充分</w:t>
      </w:r>
      <w:r>
        <w:rPr>
          <w:rFonts w:hint="eastAsia" w:eastAsia="仿宋_GB2312" w:cs="Times New Roman"/>
          <w:sz w:val="28"/>
          <w:szCs w:val="28"/>
          <w:lang w:val="zh-CN" w:eastAsia="zh-CN"/>
        </w:rPr>
        <w:t>；</w:t>
      </w:r>
    </w:p>
    <w:p w14:paraId="733E9346">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1.4工程造价确定的方法、依据和程序不合理，导致工程造价不准确</w:t>
      </w:r>
      <w:r>
        <w:rPr>
          <w:rFonts w:hint="eastAsia" w:eastAsia="仿宋_GB2312" w:cs="Times New Roman"/>
          <w:sz w:val="28"/>
          <w:szCs w:val="28"/>
          <w:lang w:val="zh-CN" w:eastAsia="zh-CN"/>
        </w:rPr>
        <w:t>；</w:t>
      </w:r>
    </w:p>
    <w:p w14:paraId="08709D15">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1.5建设项目资金管理不严格，价款结算不及时，项目资金使用管理混乱，导致工程建设进度延迟或中断，资金损失等风险</w:t>
      </w:r>
      <w:r>
        <w:rPr>
          <w:rFonts w:hint="eastAsia" w:eastAsia="仿宋_GB2312" w:cs="Times New Roman"/>
          <w:sz w:val="28"/>
          <w:szCs w:val="28"/>
          <w:lang w:val="zh-CN" w:eastAsia="zh-CN"/>
        </w:rPr>
        <w:t>；</w:t>
      </w:r>
    </w:p>
    <w:p w14:paraId="6A62E541">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1.6虚列建设成本隐匿结余资金，未及时办理竣工验收，导致竣工决算失真和</w:t>
      </w:r>
      <w:r>
        <w:rPr>
          <w:rFonts w:hint="eastAsia" w:eastAsia="仿宋_GB2312" w:cs="Times New Roman"/>
          <w:sz w:val="28"/>
          <w:szCs w:val="28"/>
          <w:lang w:val="en-US" w:eastAsia="zh-CN"/>
        </w:rPr>
        <w:t>账</w:t>
      </w:r>
      <w:r>
        <w:rPr>
          <w:rFonts w:hint="eastAsia" w:ascii="Times New Roman" w:hAnsi="Times New Roman" w:eastAsia="仿宋_GB2312" w:cs="Times New Roman"/>
          <w:sz w:val="28"/>
          <w:szCs w:val="28"/>
          <w:lang w:val="zh-CN" w:eastAsia="zh-CN"/>
        </w:rPr>
        <w:t>外资产等风险</w:t>
      </w:r>
      <w:r>
        <w:rPr>
          <w:rFonts w:hint="eastAsia" w:eastAsia="仿宋_GB2312" w:cs="Times New Roman"/>
          <w:sz w:val="28"/>
          <w:szCs w:val="28"/>
          <w:lang w:val="zh-CN" w:eastAsia="zh-CN"/>
        </w:rPr>
        <w:t>；</w:t>
      </w:r>
    </w:p>
    <w:p w14:paraId="5395B092">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1.7投资节余资金的使用不合理</w:t>
      </w:r>
      <w:r>
        <w:rPr>
          <w:rFonts w:hint="eastAsia" w:eastAsia="仿宋_GB2312" w:cs="Times New Roman"/>
          <w:sz w:val="28"/>
          <w:szCs w:val="28"/>
          <w:lang w:val="zh-CN" w:eastAsia="zh-CN"/>
        </w:rPr>
        <w:t>；</w:t>
      </w:r>
    </w:p>
    <w:p w14:paraId="1B828083">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2.控制措施</w:t>
      </w:r>
    </w:p>
    <w:p w14:paraId="174738E8">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2.1建设单位责任人(或部门、项目负责人）对工程量进行审定，对工程结算金额进行审核并签字（盖章）</w:t>
      </w:r>
      <w:r>
        <w:rPr>
          <w:rFonts w:hint="eastAsia" w:eastAsia="仿宋_GB2312" w:cs="Times New Roman"/>
          <w:sz w:val="28"/>
          <w:szCs w:val="28"/>
          <w:lang w:val="zh-CN" w:eastAsia="zh-CN"/>
        </w:rPr>
        <w:t>；</w:t>
      </w:r>
    </w:p>
    <w:p w14:paraId="0B4FB168">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2.2建设单位必须将工程结算控制在投资计划或预算之内，并严格执行专款专用相关制度，工程造价中心对超预算且没</w:t>
      </w:r>
      <w:r>
        <w:rPr>
          <w:rFonts w:hint="eastAsia" w:eastAsia="仿宋_GB2312" w:cs="Times New Roman"/>
          <w:sz w:val="28"/>
          <w:szCs w:val="28"/>
          <w:lang w:val="en-US" w:eastAsia="zh-CN"/>
        </w:rPr>
        <w:t>有</w:t>
      </w:r>
      <w:bookmarkStart w:id="0" w:name="_GoBack"/>
      <w:bookmarkEnd w:id="0"/>
      <w:r>
        <w:rPr>
          <w:rFonts w:hint="eastAsia" w:ascii="Times New Roman" w:hAnsi="Times New Roman" w:eastAsia="仿宋_GB2312" w:cs="Times New Roman"/>
          <w:sz w:val="28"/>
          <w:szCs w:val="28"/>
          <w:lang w:val="zh-CN" w:eastAsia="zh-CN"/>
        </w:rPr>
        <w:t>追加支持性文件的结算不得审批</w:t>
      </w:r>
      <w:r>
        <w:rPr>
          <w:rFonts w:hint="eastAsia" w:eastAsia="仿宋_GB2312" w:cs="Times New Roman"/>
          <w:sz w:val="28"/>
          <w:szCs w:val="28"/>
          <w:lang w:val="zh-CN" w:eastAsia="zh-CN"/>
        </w:rPr>
        <w:t>；</w:t>
      </w:r>
    </w:p>
    <w:p w14:paraId="29B3A3F2">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2.3工程投资概算一般不允许调整，确需调整，应当履行审核和审批程序，报经批准后才能调整投资概算</w:t>
      </w:r>
      <w:r>
        <w:rPr>
          <w:rFonts w:hint="eastAsia" w:eastAsia="仿宋_GB2312" w:cs="Times New Roman"/>
          <w:sz w:val="28"/>
          <w:szCs w:val="28"/>
          <w:lang w:val="zh-CN" w:eastAsia="zh-CN"/>
        </w:rPr>
        <w:t>；</w:t>
      </w:r>
    </w:p>
    <w:p w14:paraId="1B0524A3">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2.4财会部门及时掌握工程进度，根据工程进度支付工程款</w:t>
      </w:r>
      <w:r>
        <w:rPr>
          <w:rFonts w:hint="eastAsia" w:eastAsia="仿宋_GB2312" w:cs="Times New Roman"/>
          <w:sz w:val="28"/>
          <w:szCs w:val="28"/>
          <w:lang w:val="zh-CN" w:eastAsia="zh-CN"/>
        </w:rPr>
        <w:t>；</w:t>
      </w:r>
    </w:p>
    <w:p w14:paraId="48A801C8">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2.5价款支付要取得监理机构的相关人员的签字确认</w:t>
      </w:r>
      <w:r>
        <w:rPr>
          <w:rFonts w:hint="eastAsia" w:eastAsia="仿宋_GB2312" w:cs="Times New Roman"/>
          <w:sz w:val="28"/>
          <w:szCs w:val="28"/>
          <w:lang w:val="zh-CN" w:eastAsia="zh-CN"/>
        </w:rPr>
        <w:t>；</w:t>
      </w:r>
    </w:p>
    <w:p w14:paraId="24467375">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2.6基建工程项目结算的初步审查</w:t>
      </w:r>
      <w:r>
        <w:rPr>
          <w:rFonts w:hint="eastAsia" w:eastAsia="仿宋_GB2312" w:cs="Times New Roman"/>
          <w:sz w:val="28"/>
          <w:szCs w:val="28"/>
          <w:lang w:val="zh-CN" w:eastAsia="zh-CN"/>
        </w:rPr>
        <w:t>；</w:t>
      </w:r>
    </w:p>
    <w:p w14:paraId="47F1E8AF">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2.7建设单位责任人(或部门、项目负责人）对工程量进行审定，对工程结算金额进行审核并签字（盖章）。</w:t>
      </w:r>
    </w:p>
    <w:p w14:paraId="67A82163">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2.8所属单位计划科编制投资节余资金使用申请，经所属单位主管领导、</w:t>
      </w:r>
      <w:r>
        <w:rPr>
          <w:rFonts w:hint="eastAsia" w:eastAsia="仿宋_GB2312" w:cs="Times New Roman"/>
          <w:sz w:val="28"/>
          <w:szCs w:val="28"/>
          <w:lang w:val="zh-CN" w:eastAsia="zh-CN"/>
        </w:rPr>
        <w:t>财务股</w:t>
      </w:r>
      <w:r>
        <w:rPr>
          <w:rFonts w:hint="eastAsia" w:ascii="Times New Roman" w:hAnsi="Times New Roman" w:eastAsia="仿宋_GB2312" w:cs="Times New Roman"/>
          <w:sz w:val="28"/>
          <w:szCs w:val="28"/>
          <w:lang w:val="zh-CN" w:eastAsia="zh-CN"/>
        </w:rPr>
        <w:t>投资核算岗、投资计划管理岗、</w:t>
      </w:r>
      <w:r>
        <w:rPr>
          <w:rFonts w:hint="eastAsia" w:ascii="Times New Roman" w:hAnsi="Times New Roman" w:eastAsia="仿宋_GB2312" w:cs="Times New Roman"/>
          <w:sz w:val="28"/>
          <w:szCs w:val="28"/>
          <w:lang w:val="en-US" w:eastAsia="zh-CN"/>
        </w:rPr>
        <w:t>财务</w:t>
      </w:r>
      <w:r>
        <w:rPr>
          <w:rFonts w:hint="eastAsia" w:ascii="Times New Roman" w:hAnsi="Times New Roman" w:eastAsia="仿宋_GB2312" w:cs="Times New Roman"/>
          <w:sz w:val="28"/>
          <w:szCs w:val="28"/>
          <w:lang w:val="zh-CN" w:eastAsia="zh-CN"/>
        </w:rPr>
        <w:t>主管领导审核，审核通过后报</w:t>
      </w:r>
      <w:r>
        <w:rPr>
          <w:rFonts w:hint="eastAsia" w:eastAsia="仿宋_GB2312" w:cs="Times New Roman"/>
          <w:sz w:val="28"/>
          <w:szCs w:val="28"/>
          <w:lang w:val="zh-CN" w:eastAsia="zh-CN"/>
        </w:rPr>
        <w:t>县文化和旅游局</w:t>
      </w:r>
      <w:r>
        <w:rPr>
          <w:rFonts w:hint="eastAsia" w:ascii="Times New Roman" w:hAnsi="Times New Roman" w:eastAsia="仿宋_GB2312" w:cs="Times New Roman"/>
          <w:sz w:val="28"/>
          <w:szCs w:val="28"/>
          <w:lang w:val="zh-CN" w:eastAsia="zh-CN"/>
        </w:rPr>
        <w:t>主管领导审批</w:t>
      </w:r>
      <w:r>
        <w:rPr>
          <w:rFonts w:hint="eastAsia" w:eastAsia="仿宋_GB2312" w:cs="Times New Roman"/>
          <w:sz w:val="28"/>
          <w:szCs w:val="28"/>
          <w:lang w:val="zh-CN" w:eastAsia="zh-CN"/>
        </w:rPr>
        <w:t>；</w:t>
      </w:r>
    </w:p>
    <w:p w14:paraId="7F22F4E4">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3.流程步骤</w:t>
      </w:r>
    </w:p>
    <w:tbl>
      <w:tblPr>
        <w:tblStyle w:val="4"/>
        <w:tblW w:w="843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70" w:type="dxa"/>
          <w:bottom w:w="0" w:type="dxa"/>
          <w:right w:w="70" w:type="dxa"/>
        </w:tblCellMar>
      </w:tblPr>
      <w:tblGrid>
        <w:gridCol w:w="1063"/>
        <w:gridCol w:w="1417"/>
        <w:gridCol w:w="1843"/>
        <w:gridCol w:w="1559"/>
        <w:gridCol w:w="2552"/>
      </w:tblGrid>
      <w:tr w14:paraId="46DFED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rPr>
          <w:trHeight w:val="524" w:hRule="atLeast"/>
        </w:trPr>
        <w:tc>
          <w:tcPr>
            <w:tcW w:w="1063" w:type="dxa"/>
            <w:noWrap w:val="0"/>
            <w:vAlign w:val="center"/>
          </w:tcPr>
          <w:p w14:paraId="7CE8AC4F">
            <w:pPr>
              <w:spacing w:line="300" w:lineRule="exact"/>
              <w:ind w:firstLine="0" w:firstLineChars="0"/>
              <w:jc w:val="center"/>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序号</w:t>
            </w:r>
          </w:p>
        </w:tc>
        <w:tc>
          <w:tcPr>
            <w:tcW w:w="1417" w:type="dxa"/>
            <w:noWrap w:val="0"/>
            <w:vAlign w:val="center"/>
          </w:tcPr>
          <w:p w14:paraId="3F790A32">
            <w:pPr>
              <w:spacing w:line="300" w:lineRule="exact"/>
              <w:ind w:firstLine="0" w:firstLineChars="0"/>
              <w:jc w:val="center"/>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业务活动</w:t>
            </w:r>
          </w:p>
        </w:tc>
        <w:tc>
          <w:tcPr>
            <w:tcW w:w="1843" w:type="dxa"/>
            <w:noWrap w:val="0"/>
            <w:vAlign w:val="center"/>
          </w:tcPr>
          <w:p w14:paraId="47E5245A">
            <w:pPr>
              <w:spacing w:line="300" w:lineRule="exact"/>
              <w:ind w:firstLine="0" w:firstLineChars="0"/>
              <w:jc w:val="center"/>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操作岗位/部门</w:t>
            </w:r>
          </w:p>
        </w:tc>
        <w:tc>
          <w:tcPr>
            <w:tcW w:w="1559" w:type="dxa"/>
            <w:noWrap w:val="0"/>
            <w:vAlign w:val="center"/>
          </w:tcPr>
          <w:p w14:paraId="782ED005">
            <w:pPr>
              <w:spacing w:line="300" w:lineRule="exact"/>
              <w:ind w:firstLine="0" w:firstLineChars="0"/>
              <w:jc w:val="center"/>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业务表单</w:t>
            </w:r>
          </w:p>
        </w:tc>
        <w:tc>
          <w:tcPr>
            <w:tcW w:w="2552" w:type="dxa"/>
            <w:noWrap w:val="0"/>
            <w:vAlign w:val="center"/>
          </w:tcPr>
          <w:p w14:paraId="4E898642">
            <w:pPr>
              <w:spacing w:line="300" w:lineRule="exact"/>
              <w:ind w:firstLine="0" w:firstLineChars="0"/>
              <w:jc w:val="center"/>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描述</w:t>
            </w:r>
          </w:p>
        </w:tc>
      </w:tr>
      <w:tr w14:paraId="616524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rPr>
          <w:trHeight w:val="1340" w:hRule="atLeast"/>
        </w:trPr>
        <w:tc>
          <w:tcPr>
            <w:tcW w:w="1063" w:type="dxa"/>
            <w:noWrap w:val="0"/>
            <w:vAlign w:val="center"/>
          </w:tcPr>
          <w:p w14:paraId="6EDFF4AB">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sz w:val="21"/>
                <w:szCs w:val="21"/>
              </w:rPr>
              <w:t>JS.0</w:t>
            </w:r>
            <w:r>
              <w:rPr>
                <w:rFonts w:hint="eastAsia" w:ascii="仿宋_GB2312" w:hAnsi="仿宋_GB2312" w:eastAsia="仿宋_GB2312" w:cs="仿宋_GB2312"/>
                <w:sz w:val="21"/>
                <w:szCs w:val="21"/>
                <w:lang w:eastAsia="zh-CN"/>
              </w:rPr>
              <w:t>4</w:t>
            </w:r>
            <w:r>
              <w:rPr>
                <w:rFonts w:hint="eastAsia" w:ascii="仿宋_GB2312" w:hAnsi="仿宋_GB2312" w:eastAsia="仿宋_GB2312" w:cs="仿宋_GB2312"/>
                <w:sz w:val="21"/>
                <w:szCs w:val="21"/>
              </w:rPr>
              <w:t>.0</w:t>
            </w:r>
            <w:r>
              <w:rPr>
                <w:rFonts w:hint="eastAsia" w:ascii="仿宋_GB2312" w:hAnsi="仿宋_GB2312" w:eastAsia="仿宋_GB2312" w:cs="仿宋_GB2312"/>
                <w:sz w:val="21"/>
                <w:szCs w:val="21"/>
                <w:lang w:eastAsia="zh-CN"/>
              </w:rPr>
              <w:t>1</w:t>
            </w:r>
          </w:p>
        </w:tc>
        <w:tc>
          <w:tcPr>
            <w:tcW w:w="1417" w:type="dxa"/>
            <w:noWrap w:val="0"/>
            <w:vAlign w:val="center"/>
          </w:tcPr>
          <w:p w14:paraId="6C64A336">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color w:val="000000"/>
                <w:kern w:val="0"/>
                <w:sz w:val="21"/>
                <w:szCs w:val="21"/>
                <w:lang w:val="zh-CN"/>
              </w:rPr>
              <w:t>组织收集已完工资料</w:t>
            </w:r>
          </w:p>
        </w:tc>
        <w:tc>
          <w:tcPr>
            <w:tcW w:w="1843" w:type="dxa"/>
            <w:noWrap w:val="0"/>
            <w:vAlign w:val="center"/>
          </w:tcPr>
          <w:p w14:paraId="74EC06A8">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color w:val="000000"/>
                <w:kern w:val="0"/>
                <w:sz w:val="21"/>
                <w:szCs w:val="21"/>
                <w:lang w:val="zh-CN"/>
              </w:rPr>
              <w:t>造价部门预算员</w:t>
            </w:r>
          </w:p>
        </w:tc>
        <w:tc>
          <w:tcPr>
            <w:tcW w:w="1559" w:type="dxa"/>
            <w:noWrap w:val="0"/>
            <w:vAlign w:val="center"/>
          </w:tcPr>
          <w:p w14:paraId="5B044542">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color w:val="000000"/>
                <w:kern w:val="0"/>
                <w:sz w:val="21"/>
                <w:szCs w:val="21"/>
                <w:lang w:val="zh-CN"/>
              </w:rPr>
              <w:t>工程验交报告、工程合同书、审批的预算书</w:t>
            </w:r>
          </w:p>
        </w:tc>
        <w:tc>
          <w:tcPr>
            <w:tcW w:w="2552" w:type="dxa"/>
            <w:noWrap w:val="0"/>
            <w:vAlign w:val="center"/>
          </w:tcPr>
          <w:p w14:paraId="3BF26B02">
            <w:pPr>
              <w:spacing w:line="300" w:lineRule="exact"/>
              <w:ind w:firstLine="0" w:firstLineChars="0"/>
              <w:rPr>
                <w:rFonts w:hint="eastAsia" w:ascii="仿宋_GB2312" w:hAnsi="仿宋_GB2312" w:eastAsia="仿宋_GB2312" w:cs="仿宋_GB2312"/>
                <w:kern w:val="0"/>
                <w:sz w:val="21"/>
                <w:szCs w:val="21"/>
                <w:lang w:val="zh-CN"/>
              </w:rPr>
            </w:pPr>
          </w:p>
        </w:tc>
      </w:tr>
      <w:tr w14:paraId="79D8D8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1063" w:type="dxa"/>
            <w:noWrap w:val="0"/>
            <w:vAlign w:val="center"/>
          </w:tcPr>
          <w:p w14:paraId="651D030D">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sz w:val="21"/>
                <w:szCs w:val="21"/>
              </w:rPr>
              <w:t>JS.0</w:t>
            </w:r>
            <w:r>
              <w:rPr>
                <w:rFonts w:hint="eastAsia" w:ascii="仿宋_GB2312" w:hAnsi="仿宋_GB2312" w:eastAsia="仿宋_GB2312" w:cs="仿宋_GB2312"/>
                <w:sz w:val="21"/>
                <w:szCs w:val="21"/>
                <w:lang w:eastAsia="zh-CN"/>
              </w:rPr>
              <w:t>4</w:t>
            </w:r>
            <w:r>
              <w:rPr>
                <w:rFonts w:hint="eastAsia" w:ascii="仿宋_GB2312" w:hAnsi="仿宋_GB2312" w:eastAsia="仿宋_GB2312" w:cs="仿宋_GB2312"/>
                <w:sz w:val="21"/>
                <w:szCs w:val="21"/>
              </w:rPr>
              <w:t>.0</w:t>
            </w:r>
            <w:r>
              <w:rPr>
                <w:rFonts w:hint="eastAsia" w:ascii="仿宋_GB2312" w:hAnsi="仿宋_GB2312" w:eastAsia="仿宋_GB2312" w:cs="仿宋_GB2312"/>
                <w:sz w:val="21"/>
                <w:szCs w:val="21"/>
                <w:lang w:eastAsia="zh-CN"/>
              </w:rPr>
              <w:t>2</w:t>
            </w:r>
          </w:p>
        </w:tc>
        <w:tc>
          <w:tcPr>
            <w:tcW w:w="1417" w:type="dxa"/>
            <w:noWrap w:val="0"/>
            <w:vAlign w:val="center"/>
          </w:tcPr>
          <w:p w14:paraId="68D20641">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color w:val="000000"/>
                <w:kern w:val="0"/>
                <w:sz w:val="21"/>
                <w:szCs w:val="21"/>
                <w:lang w:val="zh-CN"/>
              </w:rPr>
              <w:t>编制（复审）结算金额</w:t>
            </w:r>
          </w:p>
        </w:tc>
        <w:tc>
          <w:tcPr>
            <w:tcW w:w="1843" w:type="dxa"/>
            <w:noWrap w:val="0"/>
            <w:vAlign w:val="center"/>
          </w:tcPr>
          <w:p w14:paraId="410CBD69">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color w:val="000000"/>
                <w:kern w:val="0"/>
                <w:sz w:val="21"/>
                <w:szCs w:val="21"/>
                <w:lang w:val="zh-CN"/>
              </w:rPr>
              <w:t>造价部门预算员</w:t>
            </w:r>
          </w:p>
        </w:tc>
        <w:tc>
          <w:tcPr>
            <w:tcW w:w="1559" w:type="dxa"/>
            <w:noWrap w:val="0"/>
            <w:vAlign w:val="center"/>
          </w:tcPr>
          <w:p w14:paraId="07944763">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color w:val="000000"/>
                <w:kern w:val="0"/>
                <w:sz w:val="21"/>
                <w:szCs w:val="21"/>
                <w:lang w:val="zh-CN"/>
              </w:rPr>
              <w:t>工程结算审查单</w:t>
            </w:r>
          </w:p>
        </w:tc>
        <w:tc>
          <w:tcPr>
            <w:tcW w:w="2552" w:type="dxa"/>
            <w:noWrap w:val="0"/>
            <w:vAlign w:val="center"/>
          </w:tcPr>
          <w:p w14:paraId="7FBE3DDF">
            <w:pPr>
              <w:spacing w:line="300" w:lineRule="exact"/>
              <w:ind w:firstLine="0" w:firstLineChars="0"/>
              <w:rPr>
                <w:rFonts w:hint="eastAsia" w:ascii="仿宋_GB2312" w:hAnsi="仿宋_GB2312" w:eastAsia="仿宋_GB2312" w:cs="仿宋_GB2312"/>
                <w:kern w:val="0"/>
                <w:sz w:val="21"/>
                <w:szCs w:val="21"/>
                <w:lang w:val="zh-CN"/>
              </w:rPr>
            </w:pPr>
          </w:p>
        </w:tc>
      </w:tr>
      <w:tr w14:paraId="02C0B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1063" w:type="dxa"/>
            <w:noWrap w:val="0"/>
            <w:vAlign w:val="center"/>
          </w:tcPr>
          <w:p w14:paraId="5F737A4F">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sz w:val="21"/>
                <w:szCs w:val="21"/>
              </w:rPr>
              <w:t>JS.0</w:t>
            </w:r>
            <w:r>
              <w:rPr>
                <w:rFonts w:hint="eastAsia" w:ascii="仿宋_GB2312" w:hAnsi="仿宋_GB2312" w:eastAsia="仿宋_GB2312" w:cs="仿宋_GB2312"/>
                <w:sz w:val="21"/>
                <w:szCs w:val="21"/>
                <w:lang w:eastAsia="zh-CN"/>
              </w:rPr>
              <w:t>4</w:t>
            </w:r>
            <w:r>
              <w:rPr>
                <w:rFonts w:hint="eastAsia" w:ascii="仿宋_GB2312" w:hAnsi="仿宋_GB2312" w:eastAsia="仿宋_GB2312" w:cs="仿宋_GB2312"/>
                <w:sz w:val="21"/>
                <w:szCs w:val="21"/>
              </w:rPr>
              <w:t>.0</w:t>
            </w:r>
            <w:r>
              <w:rPr>
                <w:rFonts w:hint="eastAsia" w:ascii="仿宋_GB2312" w:hAnsi="仿宋_GB2312" w:eastAsia="仿宋_GB2312" w:cs="仿宋_GB2312"/>
                <w:sz w:val="21"/>
                <w:szCs w:val="21"/>
                <w:lang w:eastAsia="zh-CN"/>
              </w:rPr>
              <w:t>3</w:t>
            </w:r>
          </w:p>
        </w:tc>
        <w:tc>
          <w:tcPr>
            <w:tcW w:w="1417" w:type="dxa"/>
            <w:noWrap w:val="0"/>
            <w:vAlign w:val="center"/>
          </w:tcPr>
          <w:p w14:paraId="03E4AFAE">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color w:val="000000"/>
                <w:kern w:val="0"/>
                <w:sz w:val="21"/>
                <w:szCs w:val="21"/>
                <w:lang w:val="zh-CN"/>
              </w:rPr>
              <w:t>审核结算金额</w:t>
            </w:r>
          </w:p>
        </w:tc>
        <w:tc>
          <w:tcPr>
            <w:tcW w:w="1843" w:type="dxa"/>
            <w:noWrap w:val="0"/>
            <w:vAlign w:val="center"/>
          </w:tcPr>
          <w:p w14:paraId="7662EF47">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color w:val="000000"/>
                <w:kern w:val="0"/>
                <w:sz w:val="21"/>
                <w:szCs w:val="21"/>
                <w:lang w:val="zh-CN"/>
              </w:rPr>
              <w:t>建设单位（或部门)项目负责人</w:t>
            </w:r>
          </w:p>
        </w:tc>
        <w:tc>
          <w:tcPr>
            <w:tcW w:w="1559" w:type="dxa"/>
            <w:noWrap w:val="0"/>
            <w:vAlign w:val="center"/>
          </w:tcPr>
          <w:p w14:paraId="54ED4783">
            <w:pPr>
              <w:spacing w:line="300" w:lineRule="exact"/>
              <w:ind w:firstLine="0" w:firstLineChars="0"/>
              <w:rPr>
                <w:rFonts w:hint="eastAsia" w:ascii="仿宋_GB2312" w:hAnsi="仿宋_GB2312" w:eastAsia="仿宋_GB2312" w:cs="仿宋_GB2312"/>
                <w:kern w:val="0"/>
                <w:sz w:val="21"/>
                <w:szCs w:val="21"/>
                <w:lang w:val="zh-CN"/>
              </w:rPr>
            </w:pPr>
          </w:p>
        </w:tc>
        <w:tc>
          <w:tcPr>
            <w:tcW w:w="2552" w:type="dxa"/>
            <w:noWrap w:val="0"/>
            <w:vAlign w:val="center"/>
          </w:tcPr>
          <w:p w14:paraId="6A2FEA87">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color w:val="000000"/>
                <w:kern w:val="0"/>
                <w:sz w:val="21"/>
                <w:szCs w:val="21"/>
                <w:lang w:val="zh-CN"/>
              </w:rPr>
              <w:t>建设单位责任人(或部门、项目负责人）对工程量进行审定，对工程结算金额进行审核并签字（盖章）。</w:t>
            </w:r>
          </w:p>
        </w:tc>
      </w:tr>
      <w:tr w14:paraId="461A60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1063" w:type="dxa"/>
            <w:noWrap w:val="0"/>
            <w:vAlign w:val="center"/>
          </w:tcPr>
          <w:p w14:paraId="2182FB72">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sz w:val="21"/>
                <w:szCs w:val="21"/>
              </w:rPr>
              <w:t>JS.0</w:t>
            </w:r>
            <w:r>
              <w:rPr>
                <w:rFonts w:hint="eastAsia" w:ascii="仿宋_GB2312" w:hAnsi="仿宋_GB2312" w:eastAsia="仿宋_GB2312" w:cs="仿宋_GB2312"/>
                <w:sz w:val="21"/>
                <w:szCs w:val="21"/>
                <w:lang w:eastAsia="zh-CN"/>
              </w:rPr>
              <w:t>4</w:t>
            </w:r>
            <w:r>
              <w:rPr>
                <w:rFonts w:hint="eastAsia" w:ascii="仿宋_GB2312" w:hAnsi="仿宋_GB2312" w:eastAsia="仿宋_GB2312" w:cs="仿宋_GB2312"/>
                <w:sz w:val="21"/>
                <w:szCs w:val="21"/>
              </w:rPr>
              <w:t>.0</w:t>
            </w:r>
            <w:r>
              <w:rPr>
                <w:rFonts w:hint="eastAsia" w:ascii="仿宋_GB2312" w:hAnsi="仿宋_GB2312" w:eastAsia="仿宋_GB2312" w:cs="仿宋_GB2312"/>
                <w:sz w:val="21"/>
                <w:szCs w:val="21"/>
                <w:lang w:eastAsia="zh-CN"/>
              </w:rPr>
              <w:t>4</w:t>
            </w:r>
          </w:p>
        </w:tc>
        <w:tc>
          <w:tcPr>
            <w:tcW w:w="1417" w:type="dxa"/>
            <w:noWrap w:val="0"/>
            <w:vAlign w:val="center"/>
          </w:tcPr>
          <w:p w14:paraId="5E985AFE">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color w:val="000000"/>
                <w:kern w:val="0"/>
                <w:sz w:val="21"/>
                <w:szCs w:val="21"/>
                <w:lang w:val="zh-CN"/>
              </w:rPr>
              <w:t>是否工程成本项目或服务事业部所属基建工程投资项目单项金额小于10万元及成本项目</w:t>
            </w:r>
          </w:p>
        </w:tc>
        <w:tc>
          <w:tcPr>
            <w:tcW w:w="1843" w:type="dxa"/>
            <w:noWrap w:val="0"/>
            <w:vAlign w:val="center"/>
          </w:tcPr>
          <w:p w14:paraId="459BC365">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color w:val="000000"/>
                <w:kern w:val="0"/>
                <w:sz w:val="21"/>
                <w:szCs w:val="21"/>
                <w:lang w:val="zh-CN"/>
              </w:rPr>
              <w:t>建设单位预算负责人</w:t>
            </w:r>
          </w:p>
        </w:tc>
        <w:tc>
          <w:tcPr>
            <w:tcW w:w="1559" w:type="dxa"/>
            <w:noWrap w:val="0"/>
            <w:vAlign w:val="center"/>
          </w:tcPr>
          <w:p w14:paraId="28A6103E">
            <w:pPr>
              <w:spacing w:line="300" w:lineRule="exact"/>
              <w:ind w:firstLine="0" w:firstLineChars="0"/>
              <w:rPr>
                <w:rFonts w:hint="eastAsia" w:ascii="仿宋_GB2312" w:hAnsi="仿宋_GB2312" w:eastAsia="仿宋_GB2312" w:cs="仿宋_GB2312"/>
                <w:kern w:val="0"/>
                <w:sz w:val="21"/>
                <w:szCs w:val="21"/>
                <w:lang w:val="zh-CN"/>
              </w:rPr>
            </w:pPr>
          </w:p>
        </w:tc>
        <w:tc>
          <w:tcPr>
            <w:tcW w:w="2552" w:type="dxa"/>
            <w:noWrap w:val="0"/>
            <w:vAlign w:val="center"/>
          </w:tcPr>
          <w:p w14:paraId="2C37B623">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color w:val="000000"/>
                <w:kern w:val="0"/>
                <w:sz w:val="21"/>
                <w:szCs w:val="21"/>
                <w:lang w:val="zh-CN"/>
              </w:rPr>
              <w:t>项目结算的初步审查由建设单位负责。列入成本工程项目结算由建设单位审定</w:t>
            </w:r>
          </w:p>
        </w:tc>
      </w:tr>
      <w:tr w14:paraId="044BE5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1063" w:type="dxa"/>
            <w:noWrap w:val="0"/>
            <w:vAlign w:val="center"/>
          </w:tcPr>
          <w:p w14:paraId="70728287">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sz w:val="21"/>
                <w:szCs w:val="21"/>
              </w:rPr>
              <w:t>JS.0</w:t>
            </w:r>
            <w:r>
              <w:rPr>
                <w:rFonts w:hint="eastAsia" w:ascii="仿宋_GB2312" w:hAnsi="仿宋_GB2312" w:eastAsia="仿宋_GB2312" w:cs="仿宋_GB2312"/>
                <w:sz w:val="21"/>
                <w:szCs w:val="21"/>
                <w:lang w:eastAsia="zh-CN"/>
              </w:rPr>
              <w:t>4</w:t>
            </w:r>
            <w:r>
              <w:rPr>
                <w:rFonts w:hint="eastAsia" w:ascii="仿宋_GB2312" w:hAnsi="仿宋_GB2312" w:eastAsia="仿宋_GB2312" w:cs="仿宋_GB2312"/>
                <w:sz w:val="21"/>
                <w:szCs w:val="21"/>
              </w:rPr>
              <w:t>.0</w:t>
            </w:r>
            <w:r>
              <w:rPr>
                <w:rFonts w:hint="eastAsia" w:ascii="仿宋_GB2312" w:hAnsi="仿宋_GB2312" w:eastAsia="仿宋_GB2312" w:cs="仿宋_GB2312"/>
                <w:sz w:val="21"/>
                <w:szCs w:val="21"/>
                <w:lang w:eastAsia="zh-CN"/>
              </w:rPr>
              <w:t>5</w:t>
            </w:r>
          </w:p>
        </w:tc>
        <w:tc>
          <w:tcPr>
            <w:tcW w:w="1417" w:type="dxa"/>
            <w:noWrap w:val="0"/>
            <w:vAlign w:val="center"/>
          </w:tcPr>
          <w:p w14:paraId="048D3E7F">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color w:val="000000"/>
                <w:kern w:val="0"/>
                <w:sz w:val="21"/>
                <w:szCs w:val="21"/>
                <w:lang w:val="zh-CN"/>
              </w:rPr>
              <w:t>审定结算金额</w:t>
            </w:r>
          </w:p>
        </w:tc>
        <w:tc>
          <w:tcPr>
            <w:tcW w:w="1843" w:type="dxa"/>
            <w:noWrap w:val="0"/>
            <w:vAlign w:val="center"/>
          </w:tcPr>
          <w:p w14:paraId="2F9C6471">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color w:val="000000"/>
                <w:kern w:val="0"/>
                <w:sz w:val="21"/>
                <w:szCs w:val="21"/>
                <w:lang w:val="zh-CN"/>
              </w:rPr>
              <w:t>工程造价中心工程造价管理岗造价部门</w:t>
            </w:r>
          </w:p>
        </w:tc>
        <w:tc>
          <w:tcPr>
            <w:tcW w:w="1559" w:type="dxa"/>
            <w:noWrap w:val="0"/>
            <w:vAlign w:val="center"/>
          </w:tcPr>
          <w:p w14:paraId="4859E1A7">
            <w:pPr>
              <w:spacing w:line="300" w:lineRule="exact"/>
              <w:ind w:firstLine="0" w:firstLineChars="0"/>
              <w:rPr>
                <w:rFonts w:hint="eastAsia" w:ascii="仿宋_GB2312" w:hAnsi="仿宋_GB2312" w:eastAsia="仿宋_GB2312" w:cs="仿宋_GB2312"/>
                <w:kern w:val="0"/>
                <w:sz w:val="21"/>
                <w:szCs w:val="21"/>
                <w:lang w:val="zh-CN"/>
              </w:rPr>
            </w:pPr>
          </w:p>
        </w:tc>
        <w:tc>
          <w:tcPr>
            <w:tcW w:w="2552" w:type="dxa"/>
            <w:noWrap w:val="0"/>
            <w:vAlign w:val="center"/>
          </w:tcPr>
          <w:p w14:paraId="12C99D28">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color w:val="000000"/>
                <w:kern w:val="0"/>
                <w:sz w:val="21"/>
                <w:szCs w:val="21"/>
                <w:lang w:val="zh-CN"/>
              </w:rPr>
              <w:t>列入投资的工程项目结算由工程造价中心审定。</w:t>
            </w:r>
          </w:p>
        </w:tc>
      </w:tr>
      <w:tr w14:paraId="772EFE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1063" w:type="dxa"/>
            <w:noWrap w:val="0"/>
            <w:vAlign w:val="center"/>
          </w:tcPr>
          <w:p w14:paraId="75323FB3">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sz w:val="21"/>
                <w:szCs w:val="21"/>
              </w:rPr>
              <w:t>JS.0</w:t>
            </w:r>
            <w:r>
              <w:rPr>
                <w:rFonts w:hint="eastAsia" w:ascii="仿宋_GB2312" w:hAnsi="仿宋_GB2312" w:eastAsia="仿宋_GB2312" w:cs="仿宋_GB2312"/>
                <w:sz w:val="21"/>
                <w:szCs w:val="21"/>
                <w:lang w:eastAsia="zh-CN"/>
              </w:rPr>
              <w:t>4</w:t>
            </w:r>
            <w:r>
              <w:rPr>
                <w:rFonts w:hint="eastAsia" w:ascii="仿宋_GB2312" w:hAnsi="仿宋_GB2312" w:eastAsia="仿宋_GB2312" w:cs="仿宋_GB2312"/>
                <w:sz w:val="21"/>
                <w:szCs w:val="21"/>
              </w:rPr>
              <w:t>.0</w:t>
            </w:r>
            <w:r>
              <w:rPr>
                <w:rFonts w:hint="eastAsia" w:ascii="仿宋_GB2312" w:hAnsi="仿宋_GB2312" w:eastAsia="仿宋_GB2312" w:cs="仿宋_GB2312"/>
                <w:sz w:val="21"/>
                <w:szCs w:val="21"/>
                <w:lang w:eastAsia="zh-CN"/>
              </w:rPr>
              <w:t>6</w:t>
            </w:r>
          </w:p>
        </w:tc>
        <w:tc>
          <w:tcPr>
            <w:tcW w:w="1417" w:type="dxa"/>
            <w:noWrap w:val="0"/>
            <w:vAlign w:val="center"/>
          </w:tcPr>
          <w:p w14:paraId="5F314747">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color w:val="000000"/>
                <w:kern w:val="0"/>
                <w:sz w:val="21"/>
                <w:szCs w:val="21"/>
                <w:lang w:val="zh-CN"/>
              </w:rPr>
              <w:t>审查结算资料并与概算对比</w:t>
            </w:r>
          </w:p>
        </w:tc>
        <w:tc>
          <w:tcPr>
            <w:tcW w:w="1843" w:type="dxa"/>
            <w:noWrap w:val="0"/>
            <w:vAlign w:val="center"/>
          </w:tcPr>
          <w:p w14:paraId="00B22A0F">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color w:val="000000"/>
                <w:kern w:val="0"/>
                <w:sz w:val="21"/>
                <w:szCs w:val="21"/>
                <w:lang w:val="zh-CN"/>
              </w:rPr>
              <w:t>造价部门工程造价管理岗</w:t>
            </w:r>
          </w:p>
        </w:tc>
        <w:tc>
          <w:tcPr>
            <w:tcW w:w="1559" w:type="dxa"/>
            <w:noWrap w:val="0"/>
            <w:vAlign w:val="center"/>
          </w:tcPr>
          <w:p w14:paraId="558F94A4">
            <w:pPr>
              <w:spacing w:line="300" w:lineRule="exact"/>
              <w:ind w:firstLine="0" w:firstLineChars="0"/>
              <w:rPr>
                <w:rFonts w:hint="eastAsia" w:ascii="仿宋_GB2312" w:hAnsi="仿宋_GB2312" w:eastAsia="仿宋_GB2312" w:cs="仿宋_GB2312"/>
                <w:kern w:val="0"/>
                <w:sz w:val="21"/>
                <w:szCs w:val="21"/>
                <w:lang w:val="zh-CN"/>
              </w:rPr>
            </w:pPr>
          </w:p>
        </w:tc>
        <w:tc>
          <w:tcPr>
            <w:tcW w:w="2552" w:type="dxa"/>
            <w:noWrap w:val="0"/>
            <w:vAlign w:val="center"/>
          </w:tcPr>
          <w:p w14:paraId="6A2F1B5B">
            <w:pPr>
              <w:spacing w:line="300" w:lineRule="exact"/>
              <w:ind w:firstLine="0" w:firstLineChars="0"/>
              <w:rPr>
                <w:rFonts w:hint="eastAsia" w:ascii="仿宋_GB2312" w:hAnsi="仿宋_GB2312" w:eastAsia="仿宋_GB2312" w:cs="仿宋_GB2312"/>
                <w:kern w:val="0"/>
                <w:sz w:val="21"/>
                <w:szCs w:val="21"/>
                <w:lang w:val="zh-CN"/>
              </w:rPr>
            </w:pPr>
          </w:p>
        </w:tc>
      </w:tr>
      <w:tr w14:paraId="4878C5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1063" w:type="dxa"/>
            <w:noWrap w:val="0"/>
            <w:vAlign w:val="center"/>
          </w:tcPr>
          <w:p w14:paraId="4C2D1AE0">
            <w:pPr>
              <w:spacing w:line="300" w:lineRule="exact"/>
              <w:ind w:firstLine="0" w:firstLineChars="0"/>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sz w:val="21"/>
                <w:szCs w:val="21"/>
              </w:rPr>
              <w:t>JS.0</w:t>
            </w:r>
            <w:r>
              <w:rPr>
                <w:rFonts w:hint="eastAsia" w:ascii="仿宋_GB2312" w:hAnsi="仿宋_GB2312" w:eastAsia="仿宋_GB2312" w:cs="仿宋_GB2312"/>
                <w:sz w:val="21"/>
                <w:szCs w:val="21"/>
                <w:lang w:eastAsia="zh-CN"/>
              </w:rPr>
              <w:t>4</w:t>
            </w:r>
            <w:r>
              <w:rPr>
                <w:rFonts w:hint="eastAsia" w:ascii="仿宋_GB2312" w:hAnsi="仿宋_GB2312" w:eastAsia="仿宋_GB2312" w:cs="仿宋_GB2312"/>
                <w:sz w:val="21"/>
                <w:szCs w:val="21"/>
              </w:rPr>
              <w:t>.0</w:t>
            </w:r>
            <w:r>
              <w:rPr>
                <w:rFonts w:hint="eastAsia" w:ascii="仿宋_GB2312" w:hAnsi="仿宋_GB2312" w:eastAsia="仿宋_GB2312" w:cs="仿宋_GB2312"/>
                <w:sz w:val="21"/>
                <w:szCs w:val="21"/>
                <w:lang w:eastAsia="zh-CN"/>
              </w:rPr>
              <w:t>7</w:t>
            </w:r>
          </w:p>
        </w:tc>
        <w:tc>
          <w:tcPr>
            <w:tcW w:w="1417" w:type="dxa"/>
            <w:noWrap w:val="0"/>
            <w:vAlign w:val="center"/>
          </w:tcPr>
          <w:p w14:paraId="050345DC">
            <w:pPr>
              <w:spacing w:line="300" w:lineRule="exact"/>
              <w:ind w:firstLine="0" w:firstLineChars="0"/>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上报结余资金使用申请</w:t>
            </w:r>
          </w:p>
        </w:tc>
        <w:tc>
          <w:tcPr>
            <w:tcW w:w="1843" w:type="dxa"/>
            <w:noWrap w:val="0"/>
            <w:vAlign w:val="center"/>
          </w:tcPr>
          <w:p w14:paraId="4FCD146B">
            <w:pPr>
              <w:spacing w:line="300" w:lineRule="exact"/>
              <w:ind w:firstLine="0" w:firstLineChars="0"/>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所属单位计划科</w:t>
            </w:r>
          </w:p>
        </w:tc>
        <w:tc>
          <w:tcPr>
            <w:tcW w:w="1559" w:type="dxa"/>
            <w:noWrap w:val="0"/>
            <w:vAlign w:val="center"/>
          </w:tcPr>
          <w:p w14:paraId="10452C66">
            <w:pPr>
              <w:spacing w:line="300" w:lineRule="exact"/>
              <w:ind w:firstLine="0" w:firstLineChars="0"/>
              <w:rPr>
                <w:rFonts w:hint="eastAsia" w:ascii="仿宋_GB2312" w:hAnsi="仿宋_GB2312" w:eastAsia="仿宋_GB2312" w:cs="仿宋_GB2312"/>
                <w:kern w:val="0"/>
                <w:sz w:val="21"/>
                <w:szCs w:val="21"/>
                <w:lang w:val="zh-CN"/>
              </w:rPr>
            </w:pPr>
            <w:r>
              <w:rPr>
                <w:rFonts w:hint="eastAsia" w:ascii="仿宋_GB2312" w:hAnsi="仿宋_GB2312" w:eastAsia="仿宋_GB2312" w:cs="仿宋_GB2312"/>
                <w:kern w:val="0"/>
                <w:sz w:val="21"/>
                <w:szCs w:val="21"/>
                <w:lang w:val="zh-CN"/>
              </w:rPr>
              <w:t>结余资金使用申请表</w:t>
            </w:r>
          </w:p>
        </w:tc>
        <w:tc>
          <w:tcPr>
            <w:tcW w:w="2552" w:type="dxa"/>
            <w:noWrap w:val="0"/>
            <w:vAlign w:val="center"/>
          </w:tcPr>
          <w:p w14:paraId="6B064E0E">
            <w:pPr>
              <w:spacing w:line="300" w:lineRule="exact"/>
              <w:ind w:firstLine="0" w:firstLineChars="0"/>
              <w:rPr>
                <w:rFonts w:hint="eastAsia" w:ascii="仿宋_GB2312" w:hAnsi="仿宋_GB2312" w:eastAsia="仿宋_GB2312" w:cs="仿宋_GB2312"/>
                <w:kern w:val="0"/>
                <w:sz w:val="21"/>
                <w:szCs w:val="21"/>
                <w:lang w:val="zh-CN"/>
              </w:rPr>
            </w:pPr>
          </w:p>
        </w:tc>
      </w:tr>
      <w:tr w14:paraId="44ADCF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1063" w:type="dxa"/>
            <w:noWrap w:val="0"/>
            <w:vAlign w:val="center"/>
          </w:tcPr>
          <w:p w14:paraId="22BC6E9E">
            <w:pPr>
              <w:spacing w:line="300" w:lineRule="exact"/>
              <w:ind w:firstLine="0" w:firstLineChars="0"/>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sz w:val="21"/>
                <w:szCs w:val="21"/>
              </w:rPr>
              <w:t>JS.0</w:t>
            </w:r>
            <w:r>
              <w:rPr>
                <w:rFonts w:hint="eastAsia" w:ascii="仿宋_GB2312" w:hAnsi="仿宋_GB2312" w:eastAsia="仿宋_GB2312" w:cs="仿宋_GB2312"/>
                <w:sz w:val="21"/>
                <w:szCs w:val="21"/>
                <w:lang w:eastAsia="zh-CN"/>
              </w:rPr>
              <w:t>4</w:t>
            </w:r>
            <w:r>
              <w:rPr>
                <w:rFonts w:hint="eastAsia" w:ascii="仿宋_GB2312" w:hAnsi="仿宋_GB2312" w:eastAsia="仿宋_GB2312" w:cs="仿宋_GB2312"/>
                <w:sz w:val="21"/>
                <w:szCs w:val="21"/>
              </w:rPr>
              <w:t>.0</w:t>
            </w:r>
            <w:r>
              <w:rPr>
                <w:rFonts w:hint="eastAsia" w:ascii="仿宋_GB2312" w:hAnsi="仿宋_GB2312" w:eastAsia="仿宋_GB2312" w:cs="仿宋_GB2312"/>
                <w:sz w:val="21"/>
                <w:szCs w:val="21"/>
                <w:lang w:eastAsia="zh-CN"/>
              </w:rPr>
              <w:t>8</w:t>
            </w:r>
          </w:p>
        </w:tc>
        <w:tc>
          <w:tcPr>
            <w:tcW w:w="1417" w:type="dxa"/>
            <w:noWrap w:val="0"/>
            <w:vAlign w:val="center"/>
          </w:tcPr>
          <w:p w14:paraId="51A5EEB0">
            <w:pPr>
              <w:spacing w:line="300" w:lineRule="exact"/>
              <w:ind w:firstLine="0" w:firstLineChars="0"/>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审核</w:t>
            </w:r>
          </w:p>
        </w:tc>
        <w:tc>
          <w:tcPr>
            <w:tcW w:w="1843" w:type="dxa"/>
            <w:noWrap w:val="0"/>
            <w:vAlign w:val="center"/>
          </w:tcPr>
          <w:p w14:paraId="450F634C">
            <w:pPr>
              <w:spacing w:line="300" w:lineRule="exact"/>
              <w:ind w:firstLine="0" w:firstLineChars="0"/>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所属单位主管领导</w:t>
            </w:r>
          </w:p>
        </w:tc>
        <w:tc>
          <w:tcPr>
            <w:tcW w:w="1559" w:type="dxa"/>
            <w:noWrap w:val="0"/>
            <w:vAlign w:val="center"/>
          </w:tcPr>
          <w:p w14:paraId="0BAA0265">
            <w:pPr>
              <w:spacing w:line="300" w:lineRule="exact"/>
              <w:ind w:firstLine="0" w:firstLineChars="0"/>
              <w:rPr>
                <w:rFonts w:hint="eastAsia" w:ascii="仿宋_GB2312" w:hAnsi="仿宋_GB2312" w:eastAsia="仿宋_GB2312" w:cs="仿宋_GB2312"/>
                <w:kern w:val="0"/>
                <w:sz w:val="21"/>
                <w:szCs w:val="21"/>
                <w:lang w:val="zh-CN"/>
              </w:rPr>
            </w:pPr>
          </w:p>
        </w:tc>
        <w:tc>
          <w:tcPr>
            <w:tcW w:w="2552" w:type="dxa"/>
            <w:noWrap w:val="0"/>
            <w:vAlign w:val="center"/>
          </w:tcPr>
          <w:p w14:paraId="2219CBA3">
            <w:pPr>
              <w:spacing w:line="300" w:lineRule="exact"/>
              <w:ind w:firstLine="0" w:firstLineChars="0"/>
              <w:rPr>
                <w:rFonts w:hint="eastAsia" w:ascii="仿宋_GB2312" w:hAnsi="仿宋_GB2312" w:eastAsia="仿宋_GB2312" w:cs="仿宋_GB2312"/>
                <w:kern w:val="0"/>
                <w:sz w:val="21"/>
                <w:szCs w:val="21"/>
                <w:lang w:val="zh-CN"/>
              </w:rPr>
            </w:pPr>
          </w:p>
        </w:tc>
      </w:tr>
      <w:tr w14:paraId="1C1D77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1063" w:type="dxa"/>
            <w:noWrap w:val="0"/>
            <w:vAlign w:val="center"/>
          </w:tcPr>
          <w:p w14:paraId="4455C69E">
            <w:pPr>
              <w:spacing w:line="300" w:lineRule="exact"/>
              <w:ind w:firstLine="0" w:firstLineChars="0"/>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sz w:val="21"/>
                <w:szCs w:val="21"/>
              </w:rPr>
              <w:t>JS.0</w:t>
            </w:r>
            <w:r>
              <w:rPr>
                <w:rFonts w:hint="eastAsia" w:ascii="仿宋_GB2312" w:hAnsi="仿宋_GB2312" w:eastAsia="仿宋_GB2312" w:cs="仿宋_GB2312"/>
                <w:sz w:val="21"/>
                <w:szCs w:val="21"/>
                <w:lang w:eastAsia="zh-CN"/>
              </w:rPr>
              <w:t>4</w:t>
            </w:r>
            <w:r>
              <w:rPr>
                <w:rFonts w:hint="eastAsia" w:ascii="仿宋_GB2312" w:hAnsi="仿宋_GB2312" w:eastAsia="仿宋_GB2312" w:cs="仿宋_GB2312"/>
                <w:sz w:val="21"/>
                <w:szCs w:val="21"/>
              </w:rPr>
              <w:t>.0</w:t>
            </w:r>
            <w:r>
              <w:rPr>
                <w:rFonts w:hint="eastAsia" w:ascii="仿宋_GB2312" w:hAnsi="仿宋_GB2312" w:eastAsia="仿宋_GB2312" w:cs="仿宋_GB2312"/>
                <w:sz w:val="21"/>
                <w:szCs w:val="21"/>
                <w:lang w:eastAsia="zh-CN"/>
              </w:rPr>
              <w:t>9</w:t>
            </w:r>
          </w:p>
        </w:tc>
        <w:tc>
          <w:tcPr>
            <w:tcW w:w="1417" w:type="dxa"/>
            <w:noWrap w:val="0"/>
            <w:vAlign w:val="center"/>
          </w:tcPr>
          <w:p w14:paraId="118BEFCF">
            <w:pPr>
              <w:spacing w:line="300" w:lineRule="exact"/>
              <w:ind w:firstLine="0" w:firstLineChars="0"/>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审核项目资金结算结余情况</w:t>
            </w:r>
          </w:p>
        </w:tc>
        <w:tc>
          <w:tcPr>
            <w:tcW w:w="1843" w:type="dxa"/>
            <w:noWrap w:val="0"/>
            <w:vAlign w:val="center"/>
          </w:tcPr>
          <w:p w14:paraId="234E4FD9">
            <w:pPr>
              <w:spacing w:line="300" w:lineRule="exact"/>
              <w:ind w:firstLine="0" w:firstLineChars="0"/>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投资管理投资核算岗</w:t>
            </w:r>
          </w:p>
        </w:tc>
        <w:tc>
          <w:tcPr>
            <w:tcW w:w="1559" w:type="dxa"/>
            <w:noWrap w:val="0"/>
            <w:vAlign w:val="center"/>
          </w:tcPr>
          <w:p w14:paraId="45E88C01">
            <w:pPr>
              <w:spacing w:line="300" w:lineRule="exact"/>
              <w:ind w:firstLine="0" w:firstLineChars="0"/>
              <w:rPr>
                <w:rFonts w:hint="eastAsia" w:ascii="仿宋_GB2312" w:hAnsi="仿宋_GB2312" w:eastAsia="仿宋_GB2312" w:cs="仿宋_GB2312"/>
                <w:kern w:val="0"/>
                <w:sz w:val="21"/>
                <w:szCs w:val="21"/>
                <w:lang w:val="zh-CN"/>
              </w:rPr>
            </w:pPr>
          </w:p>
        </w:tc>
        <w:tc>
          <w:tcPr>
            <w:tcW w:w="2552" w:type="dxa"/>
            <w:noWrap w:val="0"/>
            <w:vAlign w:val="center"/>
          </w:tcPr>
          <w:p w14:paraId="7AE851B5">
            <w:pPr>
              <w:spacing w:line="300" w:lineRule="exact"/>
              <w:ind w:firstLine="0" w:firstLineChars="0"/>
              <w:rPr>
                <w:rFonts w:hint="eastAsia" w:ascii="仿宋_GB2312" w:hAnsi="仿宋_GB2312" w:eastAsia="仿宋_GB2312" w:cs="仿宋_GB2312"/>
                <w:kern w:val="0"/>
                <w:sz w:val="21"/>
                <w:szCs w:val="21"/>
                <w:lang w:val="zh-CN"/>
              </w:rPr>
            </w:pPr>
          </w:p>
        </w:tc>
      </w:tr>
      <w:tr w14:paraId="2DFFD4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1063" w:type="dxa"/>
            <w:noWrap w:val="0"/>
            <w:vAlign w:val="center"/>
          </w:tcPr>
          <w:p w14:paraId="040B7E74">
            <w:pPr>
              <w:spacing w:line="300" w:lineRule="exact"/>
              <w:ind w:firstLine="0" w:firstLineChars="0"/>
              <w:rPr>
                <w:rFonts w:hint="eastAsia" w:ascii="仿宋_GB2312" w:hAnsi="仿宋_GB2312" w:eastAsia="仿宋_GB2312" w:cs="仿宋_GB2312"/>
                <w:color w:val="000000"/>
                <w:kern w:val="0"/>
                <w:sz w:val="21"/>
                <w:szCs w:val="21"/>
                <w:lang w:val="zh-CN" w:eastAsia="zh-CN"/>
              </w:rPr>
            </w:pPr>
            <w:r>
              <w:rPr>
                <w:rFonts w:hint="eastAsia" w:ascii="仿宋_GB2312" w:hAnsi="仿宋_GB2312" w:eastAsia="仿宋_GB2312" w:cs="仿宋_GB2312"/>
                <w:sz w:val="21"/>
                <w:szCs w:val="21"/>
              </w:rPr>
              <w:t>JS.0</w:t>
            </w:r>
            <w:r>
              <w:rPr>
                <w:rFonts w:hint="eastAsia" w:ascii="仿宋_GB2312" w:hAnsi="仿宋_GB2312" w:eastAsia="仿宋_GB2312" w:cs="仿宋_GB2312"/>
                <w:sz w:val="21"/>
                <w:szCs w:val="21"/>
                <w:lang w:eastAsia="zh-CN"/>
              </w:rPr>
              <w:t>4</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eastAsia="zh-CN"/>
              </w:rPr>
              <w:t>10</w:t>
            </w:r>
          </w:p>
        </w:tc>
        <w:tc>
          <w:tcPr>
            <w:tcW w:w="1417" w:type="dxa"/>
            <w:noWrap w:val="0"/>
            <w:vAlign w:val="center"/>
          </w:tcPr>
          <w:p w14:paraId="6AD82A0C">
            <w:pPr>
              <w:spacing w:line="300" w:lineRule="exact"/>
              <w:ind w:firstLine="0" w:firstLineChars="0"/>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审核项目实施情况及结余资金安排情况</w:t>
            </w:r>
          </w:p>
        </w:tc>
        <w:tc>
          <w:tcPr>
            <w:tcW w:w="1843" w:type="dxa"/>
            <w:noWrap w:val="0"/>
            <w:vAlign w:val="center"/>
          </w:tcPr>
          <w:p w14:paraId="2DFA5CB1">
            <w:pPr>
              <w:spacing w:line="300" w:lineRule="exact"/>
              <w:ind w:firstLine="0" w:firstLineChars="0"/>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投资计划投资计划管理岗</w:t>
            </w:r>
          </w:p>
        </w:tc>
        <w:tc>
          <w:tcPr>
            <w:tcW w:w="1559" w:type="dxa"/>
            <w:noWrap w:val="0"/>
            <w:vAlign w:val="center"/>
          </w:tcPr>
          <w:p w14:paraId="6BCE0495">
            <w:pPr>
              <w:spacing w:line="300" w:lineRule="exact"/>
              <w:ind w:firstLine="0" w:firstLineChars="0"/>
              <w:rPr>
                <w:rFonts w:hint="eastAsia" w:ascii="仿宋_GB2312" w:hAnsi="仿宋_GB2312" w:eastAsia="仿宋_GB2312" w:cs="仿宋_GB2312"/>
                <w:kern w:val="0"/>
                <w:sz w:val="21"/>
                <w:szCs w:val="21"/>
                <w:lang w:val="zh-CN"/>
              </w:rPr>
            </w:pPr>
          </w:p>
        </w:tc>
        <w:tc>
          <w:tcPr>
            <w:tcW w:w="2552" w:type="dxa"/>
            <w:noWrap w:val="0"/>
            <w:vAlign w:val="center"/>
          </w:tcPr>
          <w:p w14:paraId="6C125472">
            <w:pPr>
              <w:spacing w:line="300" w:lineRule="exact"/>
              <w:ind w:firstLine="0" w:firstLineChars="0"/>
              <w:rPr>
                <w:rFonts w:hint="eastAsia" w:ascii="仿宋_GB2312" w:hAnsi="仿宋_GB2312" w:eastAsia="仿宋_GB2312" w:cs="仿宋_GB2312"/>
                <w:kern w:val="0"/>
                <w:sz w:val="21"/>
                <w:szCs w:val="21"/>
                <w:lang w:val="zh-CN"/>
              </w:rPr>
            </w:pPr>
          </w:p>
        </w:tc>
      </w:tr>
      <w:tr w14:paraId="1E5380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1063" w:type="dxa"/>
            <w:noWrap w:val="0"/>
            <w:vAlign w:val="center"/>
          </w:tcPr>
          <w:p w14:paraId="7223FB29">
            <w:pPr>
              <w:spacing w:line="300" w:lineRule="exact"/>
              <w:ind w:firstLine="0" w:firstLineChars="0"/>
              <w:rPr>
                <w:rFonts w:hint="eastAsia" w:ascii="仿宋_GB2312" w:hAnsi="仿宋_GB2312" w:eastAsia="仿宋_GB2312" w:cs="仿宋_GB2312"/>
                <w:color w:val="000000"/>
                <w:kern w:val="0"/>
                <w:sz w:val="21"/>
                <w:szCs w:val="21"/>
                <w:lang w:val="zh-CN" w:eastAsia="zh-CN"/>
              </w:rPr>
            </w:pPr>
            <w:r>
              <w:rPr>
                <w:rFonts w:hint="eastAsia" w:ascii="仿宋_GB2312" w:hAnsi="仿宋_GB2312" w:eastAsia="仿宋_GB2312" w:cs="仿宋_GB2312"/>
                <w:sz w:val="21"/>
                <w:szCs w:val="21"/>
              </w:rPr>
              <w:t>JS.0</w:t>
            </w:r>
            <w:r>
              <w:rPr>
                <w:rFonts w:hint="eastAsia" w:ascii="仿宋_GB2312" w:hAnsi="仿宋_GB2312" w:eastAsia="仿宋_GB2312" w:cs="仿宋_GB2312"/>
                <w:sz w:val="21"/>
                <w:szCs w:val="21"/>
                <w:lang w:eastAsia="zh-CN"/>
              </w:rPr>
              <w:t>4</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eastAsia="zh-CN"/>
              </w:rPr>
              <w:t>11</w:t>
            </w:r>
          </w:p>
        </w:tc>
        <w:tc>
          <w:tcPr>
            <w:tcW w:w="1417" w:type="dxa"/>
            <w:noWrap w:val="0"/>
            <w:vAlign w:val="center"/>
          </w:tcPr>
          <w:p w14:paraId="45271A50">
            <w:pPr>
              <w:spacing w:line="300" w:lineRule="exact"/>
              <w:ind w:firstLine="0" w:firstLineChars="0"/>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审核</w:t>
            </w:r>
          </w:p>
        </w:tc>
        <w:tc>
          <w:tcPr>
            <w:tcW w:w="1843" w:type="dxa"/>
            <w:noWrap w:val="0"/>
            <w:vAlign w:val="center"/>
          </w:tcPr>
          <w:p w14:paraId="3DDC57CE">
            <w:pPr>
              <w:spacing w:line="300" w:lineRule="exact"/>
              <w:ind w:firstLine="0" w:firstLineChars="0"/>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en-US" w:eastAsia="zh-CN"/>
              </w:rPr>
              <w:t>财务股</w:t>
            </w:r>
          </w:p>
        </w:tc>
        <w:tc>
          <w:tcPr>
            <w:tcW w:w="1559" w:type="dxa"/>
            <w:noWrap w:val="0"/>
            <w:vAlign w:val="center"/>
          </w:tcPr>
          <w:p w14:paraId="18C00F4F">
            <w:pPr>
              <w:spacing w:line="300" w:lineRule="exact"/>
              <w:ind w:firstLine="0" w:firstLineChars="0"/>
              <w:rPr>
                <w:rFonts w:hint="eastAsia" w:ascii="仿宋_GB2312" w:hAnsi="仿宋_GB2312" w:eastAsia="仿宋_GB2312" w:cs="仿宋_GB2312"/>
                <w:kern w:val="0"/>
                <w:sz w:val="21"/>
                <w:szCs w:val="21"/>
                <w:lang w:val="zh-CN"/>
              </w:rPr>
            </w:pPr>
          </w:p>
        </w:tc>
        <w:tc>
          <w:tcPr>
            <w:tcW w:w="2552" w:type="dxa"/>
            <w:noWrap w:val="0"/>
            <w:vAlign w:val="center"/>
          </w:tcPr>
          <w:p w14:paraId="0A583089">
            <w:pPr>
              <w:spacing w:line="300" w:lineRule="exact"/>
              <w:ind w:firstLine="0" w:firstLineChars="0"/>
              <w:rPr>
                <w:rFonts w:hint="eastAsia" w:ascii="仿宋_GB2312" w:hAnsi="仿宋_GB2312" w:eastAsia="仿宋_GB2312" w:cs="仿宋_GB2312"/>
                <w:kern w:val="0"/>
                <w:sz w:val="21"/>
                <w:szCs w:val="21"/>
                <w:lang w:val="zh-CN"/>
              </w:rPr>
            </w:pPr>
          </w:p>
        </w:tc>
      </w:tr>
      <w:tr w14:paraId="0FC6E3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rPr>
          <w:trHeight w:val="432" w:hRule="atLeast"/>
        </w:trPr>
        <w:tc>
          <w:tcPr>
            <w:tcW w:w="1063" w:type="dxa"/>
            <w:noWrap w:val="0"/>
            <w:vAlign w:val="center"/>
          </w:tcPr>
          <w:p w14:paraId="040603B8">
            <w:pPr>
              <w:spacing w:line="300" w:lineRule="exact"/>
              <w:ind w:firstLine="0" w:firstLineChars="0"/>
              <w:rPr>
                <w:rFonts w:hint="eastAsia" w:ascii="仿宋_GB2312" w:hAnsi="仿宋_GB2312" w:eastAsia="仿宋_GB2312" w:cs="仿宋_GB2312"/>
                <w:color w:val="000000"/>
                <w:kern w:val="0"/>
                <w:sz w:val="21"/>
                <w:szCs w:val="21"/>
                <w:lang w:val="zh-CN" w:eastAsia="zh-CN"/>
              </w:rPr>
            </w:pPr>
            <w:r>
              <w:rPr>
                <w:rFonts w:hint="eastAsia" w:ascii="仿宋_GB2312" w:hAnsi="仿宋_GB2312" w:eastAsia="仿宋_GB2312" w:cs="仿宋_GB2312"/>
                <w:sz w:val="21"/>
                <w:szCs w:val="21"/>
              </w:rPr>
              <w:t>JS.0</w:t>
            </w:r>
            <w:r>
              <w:rPr>
                <w:rFonts w:hint="eastAsia" w:ascii="仿宋_GB2312" w:hAnsi="仿宋_GB2312" w:eastAsia="仿宋_GB2312" w:cs="仿宋_GB2312"/>
                <w:sz w:val="21"/>
                <w:szCs w:val="21"/>
                <w:lang w:eastAsia="zh-CN"/>
              </w:rPr>
              <w:t>4</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eastAsia="zh-CN"/>
              </w:rPr>
              <w:t>12</w:t>
            </w:r>
          </w:p>
        </w:tc>
        <w:tc>
          <w:tcPr>
            <w:tcW w:w="1417" w:type="dxa"/>
            <w:noWrap w:val="0"/>
            <w:vAlign w:val="center"/>
          </w:tcPr>
          <w:p w14:paraId="44AB7879">
            <w:pPr>
              <w:spacing w:line="300" w:lineRule="exact"/>
              <w:ind w:firstLine="0" w:firstLineChars="0"/>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审批</w:t>
            </w:r>
          </w:p>
        </w:tc>
        <w:tc>
          <w:tcPr>
            <w:tcW w:w="1843" w:type="dxa"/>
            <w:noWrap w:val="0"/>
            <w:vAlign w:val="center"/>
          </w:tcPr>
          <w:p w14:paraId="27DFF16A">
            <w:pPr>
              <w:spacing w:line="300" w:lineRule="exact"/>
              <w:ind w:firstLine="0" w:firstLineChars="0"/>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单位 主管领导</w:t>
            </w:r>
          </w:p>
        </w:tc>
        <w:tc>
          <w:tcPr>
            <w:tcW w:w="1559" w:type="dxa"/>
            <w:noWrap w:val="0"/>
            <w:vAlign w:val="center"/>
          </w:tcPr>
          <w:p w14:paraId="4835D207">
            <w:pPr>
              <w:spacing w:line="300" w:lineRule="exact"/>
              <w:ind w:firstLine="0" w:firstLineChars="0"/>
              <w:rPr>
                <w:rFonts w:hint="eastAsia" w:ascii="仿宋_GB2312" w:hAnsi="仿宋_GB2312" w:eastAsia="仿宋_GB2312" w:cs="仿宋_GB2312"/>
                <w:kern w:val="0"/>
                <w:sz w:val="21"/>
                <w:szCs w:val="21"/>
                <w:lang w:val="zh-CN"/>
              </w:rPr>
            </w:pPr>
          </w:p>
        </w:tc>
        <w:tc>
          <w:tcPr>
            <w:tcW w:w="2552" w:type="dxa"/>
            <w:noWrap w:val="0"/>
            <w:vAlign w:val="center"/>
          </w:tcPr>
          <w:p w14:paraId="6356F8AB">
            <w:pPr>
              <w:spacing w:line="300" w:lineRule="exact"/>
              <w:ind w:firstLine="0" w:firstLineChars="0"/>
              <w:rPr>
                <w:rFonts w:hint="eastAsia" w:ascii="仿宋_GB2312" w:hAnsi="仿宋_GB2312" w:eastAsia="仿宋_GB2312" w:cs="仿宋_GB2312"/>
                <w:kern w:val="0"/>
                <w:sz w:val="21"/>
                <w:szCs w:val="21"/>
                <w:lang w:val="zh-CN"/>
              </w:rPr>
            </w:pPr>
          </w:p>
        </w:tc>
      </w:tr>
      <w:tr w14:paraId="27B63E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70" w:type="dxa"/>
            <w:bottom w:w="0" w:type="dxa"/>
            <w:right w:w="70" w:type="dxa"/>
          </w:tblCellMar>
        </w:tblPrEx>
        <w:tc>
          <w:tcPr>
            <w:tcW w:w="1063" w:type="dxa"/>
            <w:noWrap w:val="0"/>
            <w:vAlign w:val="center"/>
          </w:tcPr>
          <w:p w14:paraId="618916CF">
            <w:pPr>
              <w:spacing w:line="300" w:lineRule="exact"/>
              <w:ind w:firstLine="0" w:firstLineChars="0"/>
              <w:rPr>
                <w:rFonts w:hint="eastAsia" w:ascii="仿宋_GB2312" w:hAnsi="仿宋_GB2312" w:eastAsia="仿宋_GB2312" w:cs="仿宋_GB2312"/>
                <w:color w:val="000000"/>
                <w:kern w:val="0"/>
                <w:sz w:val="21"/>
                <w:szCs w:val="21"/>
                <w:lang w:val="zh-CN" w:eastAsia="zh-CN"/>
              </w:rPr>
            </w:pPr>
            <w:r>
              <w:rPr>
                <w:rFonts w:hint="eastAsia" w:ascii="仿宋_GB2312" w:hAnsi="仿宋_GB2312" w:eastAsia="仿宋_GB2312" w:cs="仿宋_GB2312"/>
                <w:sz w:val="21"/>
                <w:szCs w:val="21"/>
              </w:rPr>
              <w:t>JS.0</w:t>
            </w:r>
            <w:r>
              <w:rPr>
                <w:rFonts w:hint="eastAsia" w:ascii="仿宋_GB2312" w:hAnsi="仿宋_GB2312" w:eastAsia="仿宋_GB2312" w:cs="仿宋_GB2312"/>
                <w:sz w:val="21"/>
                <w:szCs w:val="21"/>
                <w:lang w:eastAsia="zh-CN"/>
              </w:rPr>
              <w:t>4</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eastAsia="zh-CN"/>
              </w:rPr>
              <w:t>13</w:t>
            </w:r>
          </w:p>
        </w:tc>
        <w:tc>
          <w:tcPr>
            <w:tcW w:w="1417" w:type="dxa"/>
            <w:noWrap w:val="0"/>
            <w:vAlign w:val="center"/>
          </w:tcPr>
          <w:p w14:paraId="25282593">
            <w:pPr>
              <w:spacing w:line="300" w:lineRule="exact"/>
              <w:ind w:firstLine="0" w:firstLineChars="0"/>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上报县文化和旅游局 规划计划部</w:t>
            </w:r>
          </w:p>
        </w:tc>
        <w:tc>
          <w:tcPr>
            <w:tcW w:w="1843" w:type="dxa"/>
            <w:noWrap w:val="0"/>
            <w:vAlign w:val="center"/>
          </w:tcPr>
          <w:p w14:paraId="6B813812">
            <w:pPr>
              <w:spacing w:line="300" w:lineRule="exact"/>
              <w:ind w:firstLine="0" w:firstLineChars="0"/>
              <w:rPr>
                <w:rFonts w:hint="eastAsia" w:ascii="仿宋_GB2312" w:hAnsi="仿宋_GB2312" w:eastAsia="仿宋_GB2312" w:cs="仿宋_GB2312"/>
                <w:color w:val="000000"/>
                <w:kern w:val="0"/>
                <w:sz w:val="21"/>
                <w:szCs w:val="21"/>
                <w:lang w:val="zh-CN"/>
              </w:rPr>
            </w:pPr>
            <w:r>
              <w:rPr>
                <w:rFonts w:hint="eastAsia" w:ascii="仿宋_GB2312" w:hAnsi="仿宋_GB2312" w:eastAsia="仿宋_GB2312" w:cs="仿宋_GB2312"/>
                <w:color w:val="000000"/>
                <w:kern w:val="0"/>
                <w:sz w:val="21"/>
                <w:szCs w:val="21"/>
                <w:lang w:val="zh-CN"/>
              </w:rPr>
              <w:t>投资计划 投资计划管理岗</w:t>
            </w:r>
          </w:p>
        </w:tc>
        <w:tc>
          <w:tcPr>
            <w:tcW w:w="1559" w:type="dxa"/>
            <w:noWrap w:val="0"/>
            <w:vAlign w:val="center"/>
          </w:tcPr>
          <w:p w14:paraId="1B2D8E9F">
            <w:pPr>
              <w:spacing w:line="300" w:lineRule="exact"/>
              <w:ind w:firstLine="0" w:firstLineChars="0"/>
              <w:rPr>
                <w:rFonts w:hint="eastAsia" w:ascii="仿宋_GB2312" w:hAnsi="仿宋_GB2312" w:eastAsia="仿宋_GB2312" w:cs="仿宋_GB2312"/>
                <w:kern w:val="0"/>
                <w:sz w:val="21"/>
                <w:szCs w:val="21"/>
                <w:lang w:val="zh-CN"/>
              </w:rPr>
            </w:pPr>
          </w:p>
        </w:tc>
        <w:tc>
          <w:tcPr>
            <w:tcW w:w="2552" w:type="dxa"/>
            <w:noWrap w:val="0"/>
            <w:vAlign w:val="center"/>
          </w:tcPr>
          <w:p w14:paraId="3B73E542">
            <w:pPr>
              <w:spacing w:line="300" w:lineRule="exact"/>
              <w:ind w:firstLine="0" w:firstLineChars="0"/>
              <w:rPr>
                <w:rFonts w:hint="eastAsia" w:ascii="仿宋_GB2312" w:hAnsi="仿宋_GB2312" w:eastAsia="仿宋_GB2312" w:cs="仿宋_GB2312"/>
                <w:kern w:val="0"/>
                <w:sz w:val="21"/>
                <w:szCs w:val="21"/>
                <w:lang w:val="zh-CN"/>
              </w:rPr>
            </w:pPr>
          </w:p>
        </w:tc>
      </w:tr>
    </w:tbl>
    <w:p w14:paraId="032B381B">
      <w:pPr>
        <w:pageBreakBefore w:val="0"/>
        <w:numPr>
          <w:ilvl w:val="0"/>
          <w:numId w:val="0"/>
        </w:numPr>
        <w:kinsoku/>
        <w:wordWrap/>
        <w:overflowPunct/>
        <w:topLinePunct w:val="0"/>
        <w:autoSpaceDE/>
        <w:autoSpaceDN/>
        <w:bidi w:val="0"/>
        <w:adjustRightInd/>
        <w:snapToGrid w:val="0"/>
        <w:spacing w:line="500" w:lineRule="exact"/>
        <w:ind w:firstLine="560" w:firstLineChars="200"/>
        <w:textAlignment w:val="auto"/>
        <w:rPr>
          <w:rFonts w:hint="eastAsia" w:ascii="Times New Roman" w:hAnsi="Times New Roman" w:eastAsia="仿宋_GB2312" w:cs="Times New Roman"/>
          <w:sz w:val="28"/>
          <w:szCs w:val="28"/>
          <w:lang w:val="zh-CN" w:eastAsia="zh-CN"/>
        </w:rPr>
      </w:pPr>
      <w:r>
        <w:rPr>
          <w:rFonts w:hint="eastAsia" w:ascii="Times New Roman" w:hAnsi="Times New Roman" w:eastAsia="仿宋_GB2312" w:cs="Times New Roman"/>
          <w:sz w:val="28"/>
          <w:szCs w:val="28"/>
          <w:lang w:val="zh-CN" w:eastAsia="zh-CN"/>
        </w:rPr>
        <w:t>4.流程接口</w:t>
      </w:r>
      <w:r>
        <w:rPr>
          <w:rFonts w:hint="eastAsia" w:eastAsia="仿宋_GB2312" w:cs="Times New Roman"/>
          <w:sz w:val="28"/>
          <w:szCs w:val="28"/>
          <w:lang w:val="zh-CN" w:eastAsia="zh-CN"/>
        </w:rPr>
        <w:t>：</w:t>
      </w:r>
      <w:r>
        <w:rPr>
          <w:rFonts w:hint="eastAsia" w:ascii="Times New Roman" w:hAnsi="Times New Roman" w:eastAsia="仿宋_GB2312" w:cs="Times New Roman"/>
          <w:sz w:val="28"/>
          <w:szCs w:val="28"/>
          <w:lang w:val="zh-CN" w:eastAsia="zh-CN"/>
        </w:rPr>
        <w:t>项目转资</w:t>
      </w:r>
    </w:p>
    <w:p w14:paraId="064232D2">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eastAsia" w:ascii="Times New Roman" w:hAnsi="Times New Roman" w:eastAsia="仿宋_GB2312" w:cs="Times New Roman"/>
          <w:sz w:val="28"/>
          <w:szCs w:val="28"/>
          <w:lang w:val="zh-CN" w:eastAsia="zh-CN"/>
        </w:rPr>
        <w:br w:type="page"/>
      </w:r>
      <w:r>
        <w:rPr>
          <w:rFonts w:hint="eastAsia" w:ascii="仿宋_GB2312" w:hAnsi="仿宋_GB2312" w:eastAsia="仿宋_GB2312" w:cs="仿宋_GB2312"/>
          <w:sz w:val="28"/>
          <w:szCs w:val="28"/>
          <w:lang w:val="en-US" w:eastAsia="zh-CN"/>
        </w:rPr>
        <w:t xml:space="preserve">项目竣工验收管理流程图 </w:t>
      </w:r>
    </w:p>
    <w:p w14:paraId="5B210611">
      <w:pPr>
        <w:rPr>
          <w:rFonts w:hint="eastAsia"/>
          <w:lang w:val="en-US" w:eastAsia="zh-CN"/>
        </w:rPr>
      </w:pPr>
      <w:r>
        <w:rPr>
          <w:rFonts w:hint="eastAsia"/>
          <w:lang w:val="en-US" w:eastAsia="zh-CN"/>
        </w:rPr>
        <w:object>
          <v:shape id="_x0000_i1025" o:spt="75" type="#_x0000_t75" style="height:610.8pt;width:414.8pt;" o:ole="t" filled="f" o:preferrelative="t" stroked="f" coordsize="21600,21600">
            <v:path/>
            <v:fill on="f" focussize="0,0"/>
            <v:stroke on="f"/>
            <v:imagedata r:id="rId5" o:title=""/>
            <o:lock v:ext="edit" aspectratio="f"/>
            <w10:wrap type="none"/>
            <w10:anchorlock/>
          </v:shape>
          <o:OLEObject Type="Embed" ProgID="Visio.Drawing.11" ShapeID="_x0000_i1025" DrawAspect="Content" ObjectID="_1468075725" r:id="rId4">
            <o:LockedField>false</o:LockedField>
          </o:OLEObject>
        </w:object>
      </w:r>
    </w:p>
    <w:p w14:paraId="3E88AEBB">
      <w:pPr>
        <w:pageBreakBefore w:val="0"/>
        <w:numPr>
          <w:ilvl w:val="0"/>
          <w:numId w:val="0"/>
        </w:numPr>
        <w:kinsoku/>
        <w:wordWrap/>
        <w:overflowPunct/>
        <w:topLinePunct w:val="0"/>
        <w:autoSpaceDE/>
        <w:autoSpaceDN/>
        <w:bidi w:val="0"/>
        <w:adjustRightInd/>
        <w:snapToGrid w:val="0"/>
        <w:spacing w:line="500" w:lineRule="exact"/>
        <w:ind w:firstLine="420" w:firstLineChars="200"/>
        <w:textAlignment w:val="auto"/>
      </w:pPr>
    </w:p>
    <w:p w14:paraId="62248D80"/>
    <w:p w14:paraId="558FED4D">
      <w:pPr>
        <w:pStyle w:val="2"/>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工程结算，项目资金支付管理流程图</w:t>
      </w:r>
    </w:p>
    <w:p w14:paraId="142108F4">
      <w:pPr>
        <w:rPr>
          <w:rFonts w:hint="eastAsia"/>
          <w:lang w:val="en-US" w:eastAsia="zh-CN"/>
        </w:rPr>
      </w:pPr>
      <w:r>
        <w:rPr>
          <w:rFonts w:hint="eastAsia"/>
          <w:lang w:val="en-US" w:eastAsia="zh-CN"/>
        </w:rPr>
        <w:object>
          <v:shape id="_x0000_i1026" o:spt="75" type="#_x0000_t75" style="height:543.1pt;width:414.7pt;" o:ole="t" filled="f" o:preferrelative="t" stroked="f" coordsize="21600,21600">
            <v:path/>
            <v:fill on="f" focussize="0,0"/>
            <v:stroke on="f"/>
            <v:imagedata r:id="rId7" o:title=""/>
            <o:lock v:ext="edit" aspectratio="f"/>
            <w10:wrap type="none"/>
            <w10:anchorlock/>
          </v:shape>
          <o:OLEObject Type="Embed" ProgID="Visio.Drawing.11" ShapeID="_x0000_i1026" DrawAspect="Content" ObjectID="_1468075726" r:id="rId6">
            <o:LockedField>false</o:LockedField>
          </o:OLEObject>
        </w:object>
      </w:r>
    </w:p>
    <w:p w14:paraId="3D5E9E4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Yzc0ZWY5NjFlZjU3NDM3MmZjODVhZWI2Mjk4NzQifQ=="/>
  </w:docVars>
  <w:rsids>
    <w:rsidRoot w:val="5EA15747"/>
    <w:rsid w:val="19E31224"/>
    <w:rsid w:val="1FBB36A2"/>
    <w:rsid w:val="45216F7A"/>
    <w:rsid w:val="4D1D44CA"/>
    <w:rsid w:val="5EA15747"/>
    <w:rsid w:val="62D66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240" w:after="240" w:line="500" w:lineRule="exact"/>
      <w:jc w:val="center"/>
      <w:outlineLvl w:val="0"/>
    </w:pPr>
    <w:rPr>
      <w:rFonts w:ascii="Times New Roman" w:hAnsi="Times New Roman" w:eastAsia="黑体"/>
      <w:b/>
      <w:bCs/>
      <w:kern w:val="44"/>
      <w:sz w:val="32"/>
      <w:szCs w:val="44"/>
    </w:rPr>
  </w:style>
  <w:style w:type="paragraph" w:styleId="3">
    <w:name w:val="heading 3"/>
    <w:basedOn w:val="1"/>
    <w:next w:val="1"/>
    <w:unhideWhenUsed/>
    <w:qFormat/>
    <w:uiPriority w:val="0"/>
    <w:pPr>
      <w:keepNext/>
      <w:keepLines/>
      <w:spacing w:line="500" w:lineRule="exact"/>
      <w:ind w:firstLine="883" w:firstLineChars="200"/>
      <w:jc w:val="left"/>
      <w:outlineLvl w:val="2"/>
    </w:pPr>
    <w:rPr>
      <w:rFonts w:ascii="Times New Roman" w:hAnsi="Times New Roman" w:eastAsia="仿宋_GB2312"/>
      <w:b/>
      <w:bCs/>
      <w:sz w:val="28"/>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1033</Words>
  <Characters>1159</Characters>
  <Lines>0</Lines>
  <Paragraphs>0</Paragraphs>
  <TotalTime>0</TotalTime>
  <ScaleCrop>false</ScaleCrop>
  <LinksUpToDate>false</LinksUpToDate>
  <CharactersWithSpaces>1163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2023-08-07T09:34:00Z</dcterms:created>
  <dc:creator>溆浦县文化旅游广电体育局</dc:creator>
  <cp:lastModifiedBy>敷衍</cp:lastModifiedBy>
  <dcterms:modified xsi:type="dcterms:W3CDTF">2026-07-15T06:57:35Z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CF258D27025D459494B11BFA4EA4B7F1_13</vt:lpwstr>
  </property>
  <property fmtid="{D5CDD505-2E9C-101B-9397-08002B2CF9AE}" pid="4" name="KSOTemplateDocerSaveRecord">
    <vt:lpwstr>eyJoZGlkIjoiNDc4MWVmYWJkZTllNTNiZWFiODgyNWFlMTkxMjZhM2MiLCJ1c2VySWQiOiI5NTkxMTI2OTEifQ==</vt:lpwstr>
  </property>
</Properties>
</file>