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溆浦县文化旅游广电体育局</w:t>
      </w: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ind w:firstLine="4337" w:firstLineChars="1200"/>
        <w:jc w:val="both"/>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溆浦县文化旅游广电体育局</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溆浦县文化旅游广电体育局</w:t>
      </w:r>
      <w:r>
        <w:rPr>
          <w:rFonts w:hint="eastAsia" w:ascii="方正小标宋_GBK" w:hAnsi="方正小标宋_GBK" w:eastAsia="方正小标宋_GBK" w:cs="方正小标宋_GBK"/>
          <w:sz w:val="84"/>
          <w:szCs w:val="84"/>
        </w:rPr>
        <w:t>概况</w:t>
      </w: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0"/>
        </w:numPr>
        <w:ind w:leftChars="0"/>
        <w:jc w:val="left"/>
        <w:rPr>
          <w:rFonts w:hint="eastAsia" w:ascii="黑体" w:hAnsi="黑体" w:eastAsia="黑体" w:cs="黑体"/>
          <w:b w:val="0"/>
          <w:bCs w:val="0"/>
          <w:sz w:val="32"/>
          <w:szCs w:val="32"/>
        </w:rPr>
      </w:pPr>
    </w:p>
    <w:p>
      <w:pPr>
        <w:pStyle w:val="10"/>
        <w:ind w:firstLine="960" w:firstLineChars="300"/>
        <w:jc w:val="left"/>
        <w:rPr>
          <w:rFonts w:hint="eastAsia" w:ascii="仿宋" w:hAnsi="仿宋" w:eastAsia="仿宋" w:cs="仿宋"/>
          <w:sz w:val="32"/>
          <w:szCs w:val="32"/>
        </w:rPr>
      </w:pPr>
      <w:r>
        <w:rPr>
          <w:rFonts w:hint="eastAsia" w:ascii="黑体" w:hAnsi="黑体" w:eastAsia="黑体" w:cs="黑体"/>
          <w:sz w:val="32"/>
          <w:szCs w:val="32"/>
        </w:rPr>
        <w:t>一、部门职责</w:t>
      </w:r>
    </w:p>
    <w:p>
      <w:pPr>
        <w:numPr>
          <w:ilvl w:val="0"/>
          <w:numId w:val="1"/>
        </w:numPr>
        <w:ind w:firstLine="640"/>
        <w:rPr>
          <w:rFonts w:hint="eastAsia" w:ascii="仿宋" w:hAnsi="仿宋" w:eastAsia="仿宋" w:cs="仿宋"/>
          <w:sz w:val="32"/>
          <w:szCs w:val="32"/>
        </w:rPr>
      </w:pPr>
      <w:r>
        <w:rPr>
          <w:rFonts w:hint="eastAsia" w:ascii="仿宋" w:hAnsi="仿宋" w:eastAsia="仿宋" w:cs="仿宋"/>
          <w:sz w:val="32"/>
          <w:szCs w:val="32"/>
        </w:rPr>
        <w:t>贯彻党和国家有关文化、旅游、广播电视、体育工作方针、政策和法律、法规。</w:t>
      </w:r>
    </w:p>
    <w:p>
      <w:pPr>
        <w:numPr>
          <w:ilvl w:val="0"/>
          <w:numId w:val="1"/>
        </w:numPr>
        <w:ind w:firstLine="640"/>
        <w:rPr>
          <w:rFonts w:hint="eastAsia" w:ascii="仿宋" w:hAnsi="仿宋" w:eastAsia="仿宋" w:cs="仿宋"/>
          <w:sz w:val="32"/>
          <w:szCs w:val="32"/>
        </w:rPr>
      </w:pPr>
      <w:r>
        <w:rPr>
          <w:rFonts w:hint="eastAsia" w:ascii="仿宋" w:hAnsi="仿宋" w:eastAsia="仿宋" w:cs="仿宋"/>
          <w:sz w:val="32"/>
          <w:szCs w:val="32"/>
        </w:rPr>
        <w:t>拟订全县文化、旅游、广播电视、体育事业发展规划并指导实施，指导、推进全县文化、旅游、广播电视、体育、文物等事业发展。</w:t>
      </w:r>
    </w:p>
    <w:p>
      <w:pPr>
        <w:widowControl/>
        <w:spacing w:line="600" w:lineRule="exact"/>
        <w:ind w:firstLine="960" w:firstLineChars="300"/>
        <w:rPr>
          <w:rFonts w:hint="eastAsia"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3" w:firstLineChars="200"/>
        <w:rPr>
          <w:rFonts w:hint="eastAsia" w:ascii="仿宋" w:hAnsi="仿宋" w:eastAsia="仿宋" w:cs="仿宋"/>
          <w:kern w:val="0"/>
          <w:sz w:val="32"/>
          <w:szCs w:val="32"/>
        </w:rPr>
      </w:pPr>
      <w:r>
        <w:rPr>
          <w:rFonts w:hint="eastAsia" w:ascii="仿宋" w:hAnsi="仿宋" w:eastAsia="仿宋" w:cs="仿宋"/>
          <w:b/>
          <w:bCs w:val="0"/>
          <w:kern w:val="0"/>
          <w:sz w:val="32"/>
          <w:szCs w:val="32"/>
        </w:rPr>
        <w:t>（一）内设机构设置。</w:t>
      </w:r>
      <w:r>
        <w:rPr>
          <w:rFonts w:hint="eastAsia" w:ascii="仿宋" w:hAnsi="仿宋" w:eastAsia="仿宋" w:cs="仿宋"/>
          <w:bCs/>
          <w:kern w:val="0"/>
          <w:sz w:val="32"/>
          <w:szCs w:val="32"/>
        </w:rPr>
        <w:t>溆浦县文化旅游广电体育局内设机构包括：</w:t>
      </w:r>
      <w:r>
        <w:rPr>
          <w:rFonts w:hint="eastAsia" w:ascii="仿宋" w:hAnsi="仿宋" w:eastAsia="仿宋" w:cs="仿宋"/>
          <w:kern w:val="0"/>
          <w:sz w:val="32"/>
          <w:szCs w:val="32"/>
        </w:rPr>
        <w:t>内设4个二级事业单位，分别是县旅游发展事务中心、县业余体校、县</w:t>
      </w:r>
      <w:r>
        <w:rPr>
          <w:rFonts w:hint="eastAsia" w:ascii="仿宋" w:hAnsi="仿宋" w:eastAsia="仿宋" w:cs="仿宋"/>
          <w:kern w:val="0"/>
          <w:sz w:val="32"/>
          <w:szCs w:val="32"/>
          <w:lang w:eastAsia="zh-CN"/>
        </w:rPr>
        <w:t>文物保护和考古研究</w:t>
      </w:r>
      <w:r>
        <w:rPr>
          <w:rFonts w:hint="eastAsia" w:ascii="仿宋" w:hAnsi="仿宋" w:eastAsia="仿宋" w:cs="仿宋"/>
          <w:kern w:val="0"/>
          <w:sz w:val="32"/>
          <w:szCs w:val="32"/>
        </w:rPr>
        <w:t xml:space="preserve">中心、县旅游质量监督所；内设7个职能股室，分别是办公室、产业发展股、政策法规股、文化艺术股、文物保护股、体育股、资源开发与全域旅游推进股。 </w:t>
      </w:r>
    </w:p>
    <w:p>
      <w:pPr>
        <w:widowControl/>
        <w:spacing w:line="600" w:lineRule="exact"/>
        <w:ind w:firstLine="643" w:firstLineChars="200"/>
        <w:rPr>
          <w:rFonts w:hint="eastAsia" w:ascii="仿宋" w:hAnsi="仿宋" w:eastAsia="仿宋" w:cs="仿宋"/>
          <w:bCs/>
          <w:kern w:val="0"/>
          <w:sz w:val="32"/>
          <w:szCs w:val="32"/>
        </w:rPr>
      </w:pPr>
      <w:r>
        <w:rPr>
          <w:rFonts w:hint="eastAsia" w:ascii="仿宋" w:hAnsi="仿宋" w:eastAsia="仿宋" w:cs="仿宋"/>
          <w:b/>
          <w:bCs w:val="0"/>
          <w:kern w:val="0"/>
          <w:sz w:val="32"/>
          <w:szCs w:val="32"/>
        </w:rPr>
        <w:t>（二）决算单位构成。</w:t>
      </w:r>
      <w:r>
        <w:rPr>
          <w:rFonts w:hint="eastAsia" w:ascii="仿宋" w:hAnsi="仿宋" w:eastAsia="仿宋" w:cs="仿宋"/>
          <w:bCs/>
          <w:kern w:val="0"/>
          <w:sz w:val="32"/>
          <w:szCs w:val="32"/>
        </w:rPr>
        <w:t>溆浦县文化旅游广电体育局202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年部门决算汇总公开单位构成包括：溆浦县文化旅游广电体育局（本级）。</w:t>
      </w:r>
    </w:p>
    <w:p>
      <w:pPr>
        <w:widowControl/>
        <w:spacing w:line="600" w:lineRule="exact"/>
        <w:ind w:firstLine="640" w:firstLineChars="200"/>
        <w:rPr>
          <w:rFonts w:hint="eastAsia" w:ascii="仿宋" w:hAnsi="仿宋" w:eastAsia="仿宋" w:cs="仿宋"/>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pStyle w:val="9"/>
        <w:jc w:val="both"/>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sectPr>
          <w:pgSz w:w="11906" w:h="16838"/>
          <w:pgMar w:top="720" w:right="720" w:bottom="720" w:left="720" w:header="851" w:footer="992" w:gutter="0"/>
          <w:cols w:space="0" w:num="1"/>
          <w:rtlGutter w:val="0"/>
          <w:docGrid w:type="lines" w:linePitch="317" w:charSpace="0"/>
        </w:sectPr>
      </w:pPr>
    </w:p>
    <w:p>
      <w:pPr>
        <w:jc w:val="center"/>
        <w:rPr>
          <w:sz w:val="72"/>
          <w:szCs w:val="72"/>
        </w:rPr>
      </w:pPr>
    </w:p>
    <w:tbl>
      <w:tblPr>
        <w:tblStyle w:val="5"/>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7"/>
        <w:gridCol w:w="628"/>
        <w:gridCol w:w="2156"/>
        <w:gridCol w:w="3004"/>
        <w:gridCol w:w="1158"/>
        <w:gridCol w:w="3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470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0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6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0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3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369"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1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20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8"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1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58"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0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1,930.20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2,108.92</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0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20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4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2,108.92</w:t>
            </w:r>
          </w:p>
        </w:tc>
        <w:tc>
          <w:tcPr>
            <w:tcW w:w="3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2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70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jc w:val="center"/>
        <w:rPr>
          <w:sz w:val="72"/>
          <w:szCs w:val="72"/>
        </w:rPr>
      </w:pPr>
    </w:p>
    <w:p>
      <w:pPr>
        <w:jc w:val="left"/>
        <w:rPr>
          <w:sz w:val="32"/>
          <w:szCs w:val="32"/>
        </w:rPr>
      </w:pPr>
    </w:p>
    <w:tbl>
      <w:tblPr>
        <w:tblStyle w:val="5"/>
        <w:tblW w:w="14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0"/>
        <w:gridCol w:w="3731"/>
        <w:gridCol w:w="1931"/>
        <w:gridCol w:w="1969"/>
        <w:gridCol w:w="1256"/>
        <w:gridCol w:w="1105"/>
        <w:gridCol w:w="845"/>
        <w:gridCol w:w="90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14878"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37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81"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3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96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5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3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3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81"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81"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2,108.92</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2,108.92</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317.28</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1,485.83</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1,485.83</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1,160.69</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1,160.69</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367.16</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367.16</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2070105</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2070113</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旅游宣传</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720.28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720.28</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245.01</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245.01</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193.76</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193.76</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2070308</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群众体育</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2070399</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37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9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78"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4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5"/>
        <w:gridCol w:w="318"/>
        <w:gridCol w:w="240"/>
        <w:gridCol w:w="3660"/>
        <w:gridCol w:w="1688"/>
        <w:gridCol w:w="1500"/>
        <w:gridCol w:w="1369"/>
        <w:gridCol w:w="1087"/>
        <w:gridCol w:w="1163"/>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44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7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3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6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8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6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2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6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2,108.92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755.36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1,353.56</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1,485.83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664.86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820.97</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1,160.69</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603.87</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556.82</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2070105</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2070113</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旅游宣传</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720.28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556.82</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237.65</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49.25</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2070308</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群众体育</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2070399</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51.63</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51.63</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3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4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5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527"/>
        <w:gridCol w:w="1328"/>
        <w:gridCol w:w="3516"/>
        <w:gridCol w:w="527"/>
        <w:gridCol w:w="1096"/>
        <w:gridCol w:w="1327"/>
        <w:gridCol w:w="108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1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5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3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4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5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1,930.20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2,108.92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2,108.92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3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6"/>
        <w:gridCol w:w="222"/>
        <w:gridCol w:w="222"/>
        <w:gridCol w:w="3956"/>
        <w:gridCol w:w="1802"/>
        <w:gridCol w:w="1613"/>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65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1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1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3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5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1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1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1,930.20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755.36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317.28</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1,485.83</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664.86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1,160.69</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603.87</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367.16</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旅游宣传</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720.28</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245.01</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193.76</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群众体育</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51.63</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51.63</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
        <w:gridCol w:w="3086"/>
        <w:gridCol w:w="1185"/>
        <w:gridCol w:w="1174"/>
        <w:gridCol w:w="1680"/>
        <w:gridCol w:w="1320"/>
        <w:gridCol w:w="855"/>
        <w:gridCol w:w="3165"/>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51"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0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3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2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699"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7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455.47</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264.24</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191.02</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83.84</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47.72</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34.85</w:t>
            </w:r>
          </w:p>
        </w:tc>
        <w:tc>
          <w:tcPr>
            <w:tcW w:w="8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1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16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08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38.81</w:t>
            </w:r>
          </w:p>
        </w:tc>
        <w:tc>
          <w:tcPr>
            <w:tcW w:w="85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16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37"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466.98</w:t>
            </w:r>
          </w:p>
        </w:tc>
        <w:tc>
          <w:tcPr>
            <w:tcW w:w="8194"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5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3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2"/>
        <w:gridCol w:w="240"/>
        <w:gridCol w:w="240"/>
        <w:gridCol w:w="3570"/>
        <w:gridCol w:w="1470"/>
        <w:gridCol w:w="1309"/>
        <w:gridCol w:w="1229"/>
        <w:gridCol w:w="721"/>
        <w:gridCol w:w="1155"/>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58"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4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92"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10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7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2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7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7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2"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2"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178.72</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178.72</w:t>
            </w:r>
          </w:p>
        </w:tc>
        <w:tc>
          <w:tcPr>
            <w:tcW w:w="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178.72</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5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5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35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7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178.72</w:t>
            </w:r>
          </w:p>
        </w:tc>
        <w:tc>
          <w:tcPr>
            <w:tcW w:w="12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7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0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8"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47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6"/>
        <w:gridCol w:w="222"/>
        <w:gridCol w:w="222"/>
        <w:gridCol w:w="1887"/>
        <w:gridCol w:w="1560"/>
        <w:gridCol w:w="1890"/>
        <w:gridCol w:w="4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84"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4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3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8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9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8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8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47"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47"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7"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8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jc w:val="left"/>
        <w:rPr>
          <w:rFonts w:asciiTheme="minorEastAsia" w:hAnsiTheme="minorEastAsia"/>
          <w:sz w:val="32"/>
          <w:szCs w:val="32"/>
        </w:rPr>
      </w:pPr>
      <w:r>
        <w:rPr>
          <w:rFonts w:hint="eastAsia" w:ascii="楷体" w:hAnsi="楷体" w:eastAsia="楷体" w:cs="楷体"/>
          <w:b/>
          <w:bCs/>
          <w:i w:val="0"/>
          <w:color w:val="auto"/>
          <w:kern w:val="0"/>
          <w:sz w:val="24"/>
          <w:szCs w:val="24"/>
          <w:u w:val="none"/>
          <w:lang w:val="en-US" w:eastAsia="zh-CN" w:bidi="ar"/>
        </w:rPr>
        <w:t xml:space="preserve">说明：我单位没有使用国有资本经营预算安排的支出，故本表无数据。 </w:t>
      </w: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5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2010"/>
        <w:gridCol w:w="1530"/>
        <w:gridCol w:w="1395"/>
        <w:gridCol w:w="1285"/>
        <w:gridCol w:w="959"/>
        <w:gridCol w:w="983"/>
        <w:gridCol w:w="1238"/>
        <w:gridCol w:w="955"/>
        <w:gridCol w:w="955"/>
        <w:gridCol w:w="96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795"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0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0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0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部门：溆浦县文化旅游广电体育局（本级）</w:t>
            </w:r>
          </w:p>
        </w:tc>
        <w:tc>
          <w:tcPr>
            <w:tcW w:w="20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08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709"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07"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1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5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8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872"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7"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5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8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07"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9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795"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jc w:val="left"/>
        <w:rPr>
          <w:rFonts w:asciiTheme="minorEastAsia" w:hAnsiTheme="minorEastAsia"/>
          <w:sz w:val="32"/>
          <w:szCs w:val="32"/>
        </w:rPr>
        <w:sectPr>
          <w:pgSz w:w="16838" w:h="11906" w:orient="landscape"/>
          <w:pgMar w:top="720" w:right="720" w:bottom="720" w:left="720" w:header="851" w:footer="992" w:gutter="0"/>
          <w:cols w:space="0" w:num="1"/>
          <w:rtlGutter w:val="0"/>
          <w:docGrid w:type="lines" w:linePitch="317" w:charSpace="0"/>
        </w:sectPr>
      </w:pPr>
    </w:p>
    <w:p>
      <w:pPr>
        <w:pStyle w:val="9"/>
        <w:rPr>
          <w:sz w:val="72"/>
          <w:szCs w:val="72"/>
        </w:rPr>
      </w:pPr>
      <w:bookmarkStart w:id="0" w:name="RANGE!A1:I22"/>
      <w:bookmarkEnd w:id="0"/>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2108.92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2185.62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50.89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文化旅游建设、文物本体修缮项目等资金收支的减少。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2108.92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2108.92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2108.92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755.36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35.82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1353.56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64.18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2108.92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2167.63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50.68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文化旅游建设、文物本体修缮项目等资金的收支减少。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1930.20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91.53</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1887.5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49.44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文化旅游建设、文物本体修缮项目等资金支出减少。</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1930.20</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317.28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 xml:space="preserve">16.44 </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lang w:val="en-US" w:eastAsia="zh-CN"/>
        </w:rPr>
        <w:t>1485.83万元，占76.98%；社会保障和就业支出44.91万元，占2.33%；卫生健康支出22.12万元，占1.15%；农林水支出41万元，占2.12%；住房保障支出19.06万元，占0.98%；</w:t>
      </w:r>
      <w:r>
        <w:rPr>
          <w:rFonts w:hint="eastAsia" w:ascii="楷体" w:hAnsi="楷体" w:eastAsia="楷体" w:cs="楷体"/>
          <w:b/>
          <w:bCs/>
          <w:i/>
          <w:color w:val="auto"/>
          <w:sz w:val="32"/>
          <w:szCs w:val="32"/>
          <w:lang w:val="en-US" w:eastAsia="zh-CN"/>
        </w:rPr>
        <w:t xml:space="preserve"> </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899.37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1930.20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234.49</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4.41</w:t>
      </w:r>
      <w:r>
        <w:rPr>
          <w:rFonts w:hint="eastAsia" w:ascii="Times New Roman" w:hAnsi="Times New Roman" w:eastAsia="仿宋_GB2312"/>
          <w:sz w:val="32"/>
          <w:szCs w:val="32"/>
        </w:rPr>
        <w:t>万元，决算数大于小于年初预算数的主要原因是：</w:t>
      </w:r>
      <w:r>
        <w:rPr>
          <w:rFonts w:hint="eastAsia" w:ascii="Times New Roman" w:hAnsi="Times New Roman" w:eastAsia="仿宋_GB2312"/>
          <w:sz w:val="32"/>
          <w:szCs w:val="32"/>
          <w:lang w:eastAsia="zh-CN"/>
        </w:rPr>
        <w:t>该项为基本工资，年初列入</w:t>
      </w:r>
      <w:r>
        <w:rPr>
          <w:rFonts w:hint="eastAsia" w:ascii="Times New Roman" w:hAnsi="Times New Roman" w:eastAsia="仿宋_GB2312"/>
          <w:sz w:val="32"/>
          <w:szCs w:val="32"/>
          <w:lang w:val="en-US" w:eastAsia="zh-CN"/>
        </w:rPr>
        <w:t>2070101科目。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其他发展与改革事务支出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312.87</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增加旅游项目支出（上级资金），年初未列入预算。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万元，决算数小于年初预算数的主要原因是：</w:t>
      </w:r>
      <w:r>
        <w:rPr>
          <w:rFonts w:hint="eastAsia" w:ascii="Times New Roman" w:hAnsi="Times New Roman" w:eastAsia="仿宋_GB2312"/>
          <w:sz w:val="32"/>
          <w:szCs w:val="32"/>
          <w:lang w:eastAsia="zh-CN"/>
        </w:rPr>
        <w:t>该项为旅游工作经费，</w:t>
      </w:r>
      <w:r>
        <w:rPr>
          <w:rFonts w:hint="eastAsia" w:ascii="仿宋" w:hAnsi="仿宋" w:eastAsia="仿宋" w:cs="仿宋"/>
          <w:sz w:val="32"/>
          <w:szCs w:val="32"/>
        </w:rPr>
        <w:t>经费结转到下年度列支</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366.25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367.16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100.25%，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因普调工资等支出有所增加。</w:t>
      </w:r>
    </w:p>
    <w:p>
      <w:pPr>
        <w:pStyle w:val="9"/>
        <w:keepNext w:val="0"/>
        <w:keepLines w:val="0"/>
        <w:pageBreakBefore w:val="0"/>
        <w:widowControl w:val="0"/>
        <w:numPr>
          <w:ilvl w:val="0"/>
          <w:numId w:val="2"/>
        </w:numPr>
        <w:kinsoku/>
        <w:wordWrap/>
        <w:overflowPunct/>
        <w:topLinePunct w:val="0"/>
        <w:bidi w:val="0"/>
        <w:snapToGrid/>
        <w:spacing w:line="600" w:lineRule="exact"/>
        <w:ind w:left="840" w:leftChars="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文化展示及纪念机构</w:t>
      </w:r>
    </w:p>
    <w:p>
      <w:pPr>
        <w:pStyle w:val="9"/>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万元，决算数大于年初预算数的主要原因是：</w:t>
      </w:r>
      <w:r>
        <w:rPr>
          <w:rFonts w:hint="eastAsia" w:ascii="仿宋" w:hAnsi="仿宋" w:eastAsia="仿宋" w:cs="仿宋"/>
          <w:sz w:val="32"/>
          <w:szCs w:val="32"/>
        </w:rPr>
        <w:t>开展文化活动经费，年初未列预算。</w:t>
      </w:r>
    </w:p>
    <w:p>
      <w:pPr>
        <w:pStyle w:val="9"/>
        <w:numPr>
          <w:ilvl w:val="0"/>
          <w:numId w:val="2"/>
        </w:numPr>
        <w:ind w:left="840" w:leftChars="0" w:firstLine="0" w:firstLineChars="0"/>
        <w:rPr>
          <w:rFonts w:hint="eastAsia" w:ascii="仿宋" w:hAnsi="仿宋" w:eastAsia="仿宋" w:cs="仿宋"/>
          <w:sz w:val="32"/>
          <w:szCs w:val="32"/>
        </w:rPr>
      </w:pP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文化活动</w:t>
      </w:r>
      <w:r>
        <w:rPr>
          <w:rFonts w:hint="eastAsia" w:ascii="Times New Roman" w:hAnsi="Times New Roman" w:eastAsia="仿宋_GB2312"/>
          <w:sz w:val="32"/>
          <w:szCs w:val="32"/>
        </w:rPr>
        <w:t>（项）。年</w:t>
      </w:r>
    </w:p>
    <w:p>
      <w:pPr>
        <w:pStyle w:val="9"/>
        <w:numPr>
          <w:ilvl w:val="0"/>
          <w:numId w:val="0"/>
        </w:numPr>
        <w:rPr>
          <w:rFonts w:hint="eastAsia" w:ascii="仿宋" w:hAnsi="仿宋" w:eastAsia="仿宋" w:cs="仿宋"/>
          <w:sz w:val="32"/>
          <w:szCs w:val="32"/>
        </w:rPr>
      </w:pPr>
      <w:r>
        <w:rPr>
          <w:rFonts w:hint="eastAsia" w:ascii="Times New Roman" w:hAnsi="Times New Roman" w:eastAsia="仿宋_GB2312"/>
          <w:sz w:val="32"/>
          <w:szCs w:val="32"/>
        </w:rPr>
        <w:t>初预算为</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28.07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46.78%。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仿宋" w:hAnsi="仿宋" w:eastAsia="仿宋" w:cs="仿宋"/>
          <w:sz w:val="32"/>
          <w:szCs w:val="32"/>
        </w:rPr>
        <w:t>该预算为</w:t>
      </w:r>
      <w:r>
        <w:rPr>
          <w:rFonts w:hint="eastAsia" w:ascii="仿宋" w:hAnsi="仿宋" w:eastAsia="仿宋" w:cs="仿宋"/>
          <w:sz w:val="32"/>
          <w:szCs w:val="32"/>
          <w:lang w:eastAsia="zh-CN"/>
        </w:rPr>
        <w:t>体育及</w:t>
      </w:r>
      <w:r>
        <w:rPr>
          <w:rFonts w:hint="eastAsia" w:ascii="仿宋" w:hAnsi="仿宋" w:eastAsia="仿宋" w:cs="仿宋"/>
          <w:sz w:val="32"/>
          <w:szCs w:val="32"/>
        </w:rPr>
        <w:t>公益性文化活动经费，经费结转到下年度列支。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7、</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文化和旅游（室）及相关机构事务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文化和旅游管理事务</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万元，决算数小于年初预算数的主要原因是：</w:t>
      </w:r>
      <w:r>
        <w:rPr>
          <w:rFonts w:hint="eastAsia" w:ascii="Times New Roman" w:hAnsi="Times New Roman" w:eastAsia="仿宋_GB2312"/>
          <w:sz w:val="32"/>
          <w:szCs w:val="32"/>
          <w:lang w:eastAsia="zh-CN"/>
        </w:rPr>
        <w:t>该项为缴纳旅游营销联盟旅游宣传营销会费，</w:t>
      </w:r>
      <w:r>
        <w:rPr>
          <w:rFonts w:hint="eastAsia" w:ascii="仿宋" w:hAnsi="仿宋" w:eastAsia="仿宋" w:cs="仿宋"/>
          <w:sz w:val="32"/>
          <w:szCs w:val="32"/>
          <w:lang w:eastAsia="zh-CN"/>
        </w:rPr>
        <w:t>由市财政和县财政直接结算。</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文化创作与保护</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该项为工资支出，年初列入</w:t>
      </w:r>
      <w:r>
        <w:rPr>
          <w:rFonts w:hint="eastAsia" w:ascii="Times New Roman" w:hAnsi="Times New Roman" w:eastAsia="仿宋_GB2312"/>
          <w:sz w:val="32"/>
          <w:szCs w:val="32"/>
          <w:lang w:val="en-US" w:eastAsia="zh-CN"/>
        </w:rPr>
        <w:t>2070101科目</w:t>
      </w:r>
      <w:r>
        <w:rPr>
          <w:rFonts w:hint="eastAsia" w:ascii="仿宋" w:hAnsi="仿宋" w:eastAsia="仿宋" w:cs="仿宋"/>
          <w:sz w:val="32"/>
          <w:szCs w:val="32"/>
        </w:rPr>
        <w:t>。</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旅游宣传</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万元，决算数大于年初预算数的主要原因是：</w:t>
      </w:r>
      <w:r>
        <w:rPr>
          <w:rFonts w:hint="eastAsia" w:ascii="仿宋" w:hAnsi="仿宋" w:eastAsia="仿宋" w:cs="仿宋"/>
          <w:sz w:val="32"/>
          <w:szCs w:val="32"/>
        </w:rPr>
        <w:t>该预算为</w:t>
      </w:r>
      <w:r>
        <w:rPr>
          <w:rFonts w:hint="eastAsia" w:ascii="仿宋" w:hAnsi="仿宋" w:eastAsia="仿宋" w:cs="仿宋"/>
          <w:sz w:val="32"/>
          <w:szCs w:val="32"/>
          <w:lang w:eastAsia="zh-CN"/>
        </w:rPr>
        <w:t>旅游宣传支出，年初未列入预算。</w:t>
      </w:r>
    </w:p>
    <w:p>
      <w:pPr>
        <w:pStyle w:val="9"/>
        <w:keepNext w:val="0"/>
        <w:keepLines w:val="0"/>
        <w:pageBreakBefore w:val="0"/>
        <w:widowControl w:val="0"/>
        <w:numPr>
          <w:ilvl w:val="0"/>
          <w:numId w:val="0"/>
        </w:numPr>
        <w:kinsoku/>
        <w:wordWrap/>
        <w:overflowPunct/>
        <w:topLinePunct w:val="0"/>
        <w:bidi w:val="0"/>
        <w:snapToGrid/>
        <w:spacing w:line="600" w:lineRule="exact"/>
        <w:ind w:left="640" w:leftChars="0"/>
        <w:textAlignment w:val="auto"/>
        <w:rPr>
          <w:rFonts w:hint="default" w:ascii="仿宋" w:hAnsi="仿宋" w:eastAsia="仿宋" w:cs="仿宋"/>
          <w:sz w:val="32"/>
          <w:szCs w:val="32"/>
          <w:lang w:val="en-US" w:eastAsia="zh-CN"/>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其他文化和旅游支出</w:t>
      </w:r>
    </w:p>
    <w:p>
      <w:pPr>
        <w:pStyle w:val="9"/>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32"/>
          <w:szCs w:val="32"/>
          <w:lang w:eastAsia="zh-CN"/>
        </w:rPr>
      </w:pP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720.28</w:t>
      </w:r>
      <w:r>
        <w:rPr>
          <w:rFonts w:hint="eastAsia" w:ascii="Times New Roman" w:hAnsi="Times New Roman" w:eastAsia="仿宋_GB2312"/>
          <w:sz w:val="32"/>
          <w:szCs w:val="32"/>
        </w:rPr>
        <w:t>万元，决算数大于年初预算数的主要原因是：</w:t>
      </w:r>
      <w:r>
        <w:rPr>
          <w:rFonts w:hint="eastAsia" w:ascii="仿宋" w:hAnsi="仿宋" w:eastAsia="仿宋" w:cs="仿宋"/>
          <w:sz w:val="32"/>
          <w:szCs w:val="32"/>
          <w:lang w:eastAsia="zh-CN"/>
        </w:rPr>
        <w:t>增加文化旅游等项目支出（上级资金），年初未列入预算。</w:t>
      </w:r>
    </w:p>
    <w:p>
      <w:pPr>
        <w:pStyle w:val="9"/>
        <w:keepNext w:val="0"/>
        <w:keepLines w:val="0"/>
        <w:pageBreakBefore w:val="0"/>
        <w:widowControl w:val="0"/>
        <w:numPr>
          <w:ilvl w:val="0"/>
          <w:numId w:val="0"/>
        </w:numPr>
        <w:kinsoku/>
        <w:wordWrap/>
        <w:overflowPunct/>
        <w:topLinePunct w:val="0"/>
        <w:bidi w:val="0"/>
        <w:snapToGrid/>
        <w:spacing w:line="600" w:lineRule="exact"/>
        <w:ind w:left="630" w:leftChars="0"/>
        <w:textAlignment w:val="auto"/>
        <w:rPr>
          <w:rFonts w:hint="eastAsia" w:ascii="仿宋" w:hAnsi="仿宋" w:eastAsia="仿宋" w:cs="仿宋"/>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文物保护</w:t>
      </w:r>
      <w:r>
        <w:rPr>
          <w:rFonts w:hint="eastAsia" w:ascii="Times New Roman" w:hAnsi="Times New Roman" w:eastAsia="仿宋_GB2312"/>
          <w:sz w:val="32"/>
          <w:szCs w:val="32"/>
        </w:rPr>
        <w:t>（项）。年初预算</w:t>
      </w:r>
    </w:p>
    <w:p>
      <w:pPr>
        <w:pStyle w:val="9"/>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113.60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51.25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45.11%。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仿宋" w:hAnsi="仿宋" w:eastAsia="仿宋" w:cs="仿宋"/>
          <w:sz w:val="32"/>
          <w:szCs w:val="32"/>
        </w:rPr>
        <w:t>该预算为</w:t>
      </w:r>
      <w:r>
        <w:rPr>
          <w:rFonts w:hint="eastAsia" w:ascii="仿宋" w:hAnsi="仿宋" w:eastAsia="仿宋" w:cs="仿宋"/>
          <w:sz w:val="32"/>
          <w:szCs w:val="32"/>
          <w:lang w:eastAsia="zh-CN"/>
        </w:rPr>
        <w:t>文物保护经费</w:t>
      </w:r>
      <w:r>
        <w:rPr>
          <w:rFonts w:hint="eastAsia" w:ascii="仿宋" w:hAnsi="仿宋" w:eastAsia="仿宋" w:cs="仿宋"/>
          <w:sz w:val="32"/>
          <w:szCs w:val="32"/>
        </w:rPr>
        <w:t>，经费结转到下年度列支。</w:t>
      </w:r>
    </w:p>
    <w:p>
      <w:pPr>
        <w:pStyle w:val="9"/>
        <w:keepNext w:val="0"/>
        <w:keepLines w:val="0"/>
        <w:pageBreakBefore w:val="0"/>
        <w:widowControl w:val="0"/>
        <w:numPr>
          <w:ilvl w:val="0"/>
          <w:numId w:val="0"/>
        </w:numPr>
        <w:kinsoku/>
        <w:wordWrap/>
        <w:overflowPunct/>
        <w:topLinePunct w:val="0"/>
        <w:bidi w:val="0"/>
        <w:snapToGrid/>
        <w:spacing w:line="600" w:lineRule="exact"/>
        <w:ind w:left="630" w:leftChars="0"/>
        <w:textAlignment w:val="auto"/>
        <w:rPr>
          <w:rFonts w:hint="eastAsia" w:ascii="仿宋" w:hAnsi="仿宋" w:eastAsia="仿宋" w:cs="仿宋"/>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其他文物支出</w:t>
      </w:r>
      <w:r>
        <w:rPr>
          <w:rFonts w:hint="eastAsia" w:ascii="Times New Roman" w:hAnsi="Times New Roman" w:eastAsia="仿宋_GB2312"/>
          <w:sz w:val="32"/>
          <w:szCs w:val="32"/>
        </w:rPr>
        <w:t>（项）。年初</w:t>
      </w:r>
    </w:p>
    <w:p>
      <w:pPr>
        <w:pStyle w:val="9"/>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193.76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增加</w:t>
      </w:r>
      <w:r>
        <w:rPr>
          <w:rFonts w:hint="eastAsia" w:ascii="仿宋" w:hAnsi="仿宋" w:eastAsia="仿宋" w:cs="仿宋"/>
          <w:sz w:val="32"/>
          <w:szCs w:val="32"/>
          <w:lang w:eastAsia="zh-CN"/>
        </w:rPr>
        <w:t>文物保护项目经费（上级资金）</w:t>
      </w:r>
      <w:r>
        <w:rPr>
          <w:rFonts w:hint="eastAsia" w:ascii="仿宋" w:hAnsi="仿宋" w:eastAsia="仿宋" w:cs="仿宋"/>
          <w:sz w:val="32"/>
          <w:szCs w:val="32"/>
        </w:rPr>
        <w:t>，</w:t>
      </w:r>
      <w:r>
        <w:rPr>
          <w:rFonts w:hint="eastAsia" w:ascii="仿宋" w:hAnsi="仿宋" w:eastAsia="仿宋" w:cs="仿宋"/>
          <w:sz w:val="32"/>
          <w:szCs w:val="32"/>
          <w:lang w:eastAsia="zh-CN"/>
        </w:rPr>
        <w:t>年初未列入预算</w:t>
      </w:r>
      <w:r>
        <w:rPr>
          <w:rFonts w:hint="eastAsia" w:ascii="仿宋" w:hAnsi="仿宋" w:eastAsia="仿宋" w:cs="仿宋"/>
          <w:sz w:val="32"/>
          <w:szCs w:val="32"/>
        </w:rPr>
        <w:t>。</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博物馆</w:t>
      </w:r>
      <w:r>
        <w:rPr>
          <w:rFonts w:hint="eastAsia" w:ascii="Times New Roman" w:hAnsi="Times New Roman" w:eastAsia="仿宋_GB2312"/>
          <w:sz w:val="32"/>
          <w:szCs w:val="32"/>
        </w:rPr>
        <w:t>（项）。年初预算</w:t>
      </w:r>
    </w:p>
    <w:p>
      <w:pPr>
        <w:pStyle w:val="9"/>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 w:hAnsi="仿宋" w:eastAsia="仿宋" w:cs="仿宋"/>
          <w:sz w:val="32"/>
          <w:szCs w:val="32"/>
          <w:lang w:val="en-US" w:eastAsia="zh-CN"/>
        </w:rPr>
      </w:pP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项目为舒新城故居管理费，</w:t>
      </w:r>
      <w:r>
        <w:rPr>
          <w:rFonts w:hint="eastAsia" w:ascii="仿宋" w:hAnsi="仿宋" w:eastAsia="仿宋" w:cs="仿宋"/>
          <w:sz w:val="32"/>
          <w:szCs w:val="32"/>
        </w:rPr>
        <w:t>经费结转到下年度列支。</w:t>
      </w:r>
    </w:p>
    <w:p>
      <w:pPr>
        <w:pStyle w:val="9"/>
        <w:keepNext w:val="0"/>
        <w:keepLines w:val="0"/>
        <w:pageBreakBefore w:val="0"/>
        <w:widowControl w:val="0"/>
        <w:numPr>
          <w:ilvl w:val="0"/>
          <w:numId w:val="0"/>
        </w:numPr>
        <w:kinsoku/>
        <w:wordWrap/>
        <w:overflowPunct/>
        <w:topLinePunct w:val="0"/>
        <w:bidi w:val="0"/>
        <w:snapToGrid/>
        <w:spacing w:line="600" w:lineRule="exact"/>
        <w:ind w:left="630" w:leftChars="0"/>
        <w:textAlignment w:val="auto"/>
        <w:rPr>
          <w:rFonts w:hint="default" w:ascii="仿宋" w:hAnsi="仿宋" w:eastAsia="仿宋" w:cs="仿宋"/>
          <w:sz w:val="32"/>
          <w:szCs w:val="32"/>
          <w:lang w:val="en-US" w:eastAsia="zh-CN"/>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体育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群众体育</w:t>
      </w:r>
      <w:r>
        <w:rPr>
          <w:rFonts w:hint="eastAsia" w:ascii="Times New Roman" w:hAnsi="Times New Roman" w:eastAsia="仿宋_GB2312"/>
          <w:sz w:val="32"/>
          <w:szCs w:val="32"/>
        </w:rPr>
        <w:t>（项）。年初预算</w:t>
      </w:r>
    </w:p>
    <w:p>
      <w:pPr>
        <w:pStyle w:val="9"/>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增加</w:t>
      </w:r>
      <w:r>
        <w:rPr>
          <w:rFonts w:hint="eastAsia" w:ascii="仿宋" w:hAnsi="仿宋" w:eastAsia="仿宋" w:cs="仿宋"/>
          <w:sz w:val="32"/>
          <w:szCs w:val="32"/>
          <w:lang w:eastAsia="zh-CN"/>
        </w:rPr>
        <w:t>群众体育支出</w:t>
      </w:r>
      <w:r>
        <w:rPr>
          <w:rFonts w:hint="eastAsia" w:ascii="仿宋" w:hAnsi="仿宋" w:eastAsia="仿宋" w:cs="仿宋"/>
          <w:sz w:val="32"/>
          <w:szCs w:val="32"/>
        </w:rPr>
        <w:t>，</w:t>
      </w:r>
      <w:r>
        <w:rPr>
          <w:rFonts w:hint="eastAsia" w:ascii="仿宋" w:hAnsi="仿宋" w:eastAsia="仿宋" w:cs="仿宋"/>
          <w:sz w:val="32"/>
          <w:szCs w:val="32"/>
          <w:lang w:eastAsia="zh-CN"/>
        </w:rPr>
        <w:t>年初未列入预算</w:t>
      </w:r>
      <w:r>
        <w:rPr>
          <w:rFonts w:hint="eastAsia" w:ascii="仿宋" w:hAnsi="仿宋" w:eastAsia="仿宋" w:cs="仿宋"/>
          <w:sz w:val="32"/>
          <w:szCs w:val="32"/>
        </w:rPr>
        <w:t>。</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文化旅游体育与传媒支出（类）体育（款）其他体育支出（项）。</w:t>
      </w:r>
    </w:p>
    <w:p>
      <w:pPr>
        <w:pStyle w:val="9"/>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00万元，支出决算为</w:t>
      </w:r>
      <w:r>
        <w:rPr>
          <w:rFonts w:hint="eastAsia" w:ascii="仿宋" w:hAnsi="仿宋" w:eastAsia="仿宋" w:cs="仿宋"/>
          <w:sz w:val="32"/>
          <w:szCs w:val="32"/>
          <w:lang w:val="en-US" w:eastAsia="zh-CN"/>
        </w:rPr>
        <w:t>22.5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11.25</w:t>
      </w:r>
      <w:r>
        <w:rPr>
          <w:rFonts w:hint="eastAsia" w:ascii="仿宋" w:hAnsi="仿宋" w:eastAsia="仿宋" w:cs="仿宋"/>
          <w:sz w:val="32"/>
          <w:szCs w:val="32"/>
        </w:rPr>
        <w:t>%，决算数小于年初预算数的主要原因是：年初预算为体彩销售优秀网点奖励金，本年度符合奖励条件的体彩销售网点奖励金未达到。</w:t>
      </w:r>
    </w:p>
    <w:p>
      <w:pPr>
        <w:pStyle w:val="9"/>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文化旅游体育与传媒支出（类）</w:t>
      </w:r>
      <w:r>
        <w:rPr>
          <w:rFonts w:hint="eastAsia" w:ascii="仿宋" w:hAnsi="仿宋" w:eastAsia="仿宋" w:cs="仿宋"/>
          <w:sz w:val="32"/>
          <w:szCs w:val="32"/>
          <w:lang w:eastAsia="zh-CN"/>
        </w:rPr>
        <w:t>其他文化旅游体育与传媒支出</w:t>
      </w:r>
      <w:r>
        <w:rPr>
          <w:rFonts w:hint="eastAsia" w:ascii="仿宋" w:hAnsi="仿宋" w:eastAsia="仿宋" w:cs="仿宋"/>
          <w:sz w:val="32"/>
          <w:szCs w:val="32"/>
        </w:rPr>
        <w:t>（款）</w:t>
      </w:r>
      <w:r>
        <w:rPr>
          <w:rFonts w:hint="eastAsia" w:ascii="仿宋" w:hAnsi="仿宋" w:eastAsia="仿宋" w:cs="仿宋"/>
          <w:sz w:val="32"/>
          <w:szCs w:val="32"/>
          <w:lang w:eastAsia="zh-CN"/>
        </w:rPr>
        <w:t>其他文化旅游体育与传媒支出</w:t>
      </w:r>
      <w:r>
        <w:rPr>
          <w:rFonts w:hint="eastAsia" w:ascii="仿宋" w:hAnsi="仿宋" w:eastAsia="仿宋" w:cs="仿宋"/>
          <w:sz w:val="32"/>
          <w:szCs w:val="32"/>
        </w:rPr>
        <w:t>（项）。年初预算为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55.63</w:t>
      </w:r>
      <w:r>
        <w:rPr>
          <w:rFonts w:hint="eastAsia" w:ascii="仿宋" w:hAnsi="仿宋" w:eastAsia="仿宋" w:cs="仿宋"/>
          <w:sz w:val="32"/>
          <w:szCs w:val="32"/>
        </w:rPr>
        <w:t>万元，决算数</w:t>
      </w:r>
      <w:r>
        <w:rPr>
          <w:rFonts w:hint="eastAsia" w:ascii="仿宋" w:hAnsi="仿宋" w:eastAsia="仿宋" w:cs="仿宋"/>
          <w:sz w:val="32"/>
          <w:szCs w:val="32"/>
          <w:lang w:eastAsia="zh-CN"/>
        </w:rPr>
        <w:t>大</w:t>
      </w:r>
      <w:r>
        <w:rPr>
          <w:rFonts w:hint="eastAsia" w:ascii="仿宋" w:hAnsi="仿宋" w:eastAsia="仿宋" w:cs="仿宋"/>
          <w:sz w:val="32"/>
          <w:szCs w:val="32"/>
        </w:rPr>
        <w:t>于年初预算数的主要原因是：</w:t>
      </w:r>
      <w:r>
        <w:rPr>
          <w:rFonts w:hint="eastAsia" w:ascii="仿宋" w:hAnsi="仿宋" w:eastAsia="仿宋" w:cs="仿宋"/>
          <w:sz w:val="32"/>
          <w:szCs w:val="32"/>
          <w:lang w:eastAsia="zh-CN"/>
        </w:rPr>
        <w:t>该项目为送戏下乡等文体项目，年初未列入预算。</w:t>
      </w:r>
    </w:p>
    <w:p>
      <w:pPr>
        <w:pStyle w:val="9"/>
        <w:numPr>
          <w:ilvl w:val="0"/>
          <w:numId w:val="0"/>
        </w:numPr>
        <w:ind w:left="630" w:leftChars="0"/>
        <w:rPr>
          <w:rFonts w:hint="eastAsia" w:ascii="仿宋" w:hAnsi="仿宋" w:eastAsia="仿宋" w:cs="仿宋"/>
          <w:sz w:val="32"/>
          <w:szCs w:val="32"/>
          <w:lang w:eastAsia="zh-CN"/>
        </w:rPr>
      </w:pP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行政单位</w:t>
      </w:r>
    </w:p>
    <w:p>
      <w:pPr>
        <w:pStyle w:val="9"/>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离退休</w:t>
      </w:r>
      <w:r>
        <w:rPr>
          <w:rFonts w:hint="eastAsia" w:ascii="仿宋" w:hAnsi="仿宋" w:eastAsia="仿宋" w:cs="仿宋"/>
          <w:sz w:val="32"/>
          <w:szCs w:val="32"/>
        </w:rPr>
        <w:t>（项）。年初预算为</w:t>
      </w:r>
      <w:r>
        <w:rPr>
          <w:rFonts w:hint="eastAsia" w:ascii="仿宋" w:hAnsi="仿宋" w:eastAsia="仿宋" w:cs="仿宋"/>
          <w:sz w:val="32"/>
          <w:szCs w:val="32"/>
          <w:lang w:val="en-US" w:eastAsia="zh-CN"/>
        </w:rPr>
        <w:t>17.26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z w:val="32"/>
          <w:szCs w:val="32"/>
          <w:lang w:eastAsia="zh-CN"/>
        </w:rPr>
        <w:t>离退休养老支出在社保，没有在单位支付。</w:t>
      </w:r>
    </w:p>
    <w:p>
      <w:pPr>
        <w:pStyle w:val="9"/>
        <w:numPr>
          <w:ilvl w:val="0"/>
          <w:numId w:val="3"/>
        </w:numPr>
        <w:ind w:left="630" w:leftChars="0"/>
        <w:rPr>
          <w:rFonts w:hint="eastAsia" w:ascii="仿宋" w:hAnsi="仿宋" w:eastAsia="仿宋" w:cs="仿宋"/>
          <w:sz w:val="32"/>
          <w:szCs w:val="32"/>
          <w:lang w:eastAsia="zh-CN"/>
        </w:rPr>
      </w:pP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行政事业</w:t>
      </w:r>
    </w:p>
    <w:p>
      <w:pPr>
        <w:pStyle w:val="9"/>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eastAsia="zh-CN"/>
        </w:rPr>
        <w:t>单位养老保险缴费支出</w:t>
      </w:r>
      <w:r>
        <w:rPr>
          <w:rFonts w:hint="eastAsia" w:ascii="仿宋" w:hAnsi="仿宋" w:eastAsia="仿宋" w:cs="仿宋"/>
          <w:sz w:val="32"/>
          <w:szCs w:val="32"/>
        </w:rPr>
        <w:t>（项）。年初预算为</w:t>
      </w:r>
      <w:r>
        <w:rPr>
          <w:rFonts w:hint="eastAsia" w:ascii="仿宋" w:hAnsi="仿宋" w:eastAsia="仿宋" w:cs="仿宋"/>
          <w:sz w:val="32"/>
          <w:szCs w:val="32"/>
          <w:lang w:val="en-US" w:eastAsia="zh-CN"/>
        </w:rPr>
        <w:t>44.61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44.03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98.70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z w:val="32"/>
          <w:szCs w:val="32"/>
          <w:lang w:eastAsia="zh-CN"/>
        </w:rPr>
        <w:t>因人员调整产生的差异。</w:t>
      </w:r>
    </w:p>
    <w:p>
      <w:pPr>
        <w:pStyle w:val="9"/>
        <w:numPr>
          <w:ilvl w:val="0"/>
          <w:numId w:val="3"/>
        </w:numPr>
        <w:ind w:left="630" w:leftChars="0" w:firstLine="0" w:firstLineChars="0"/>
        <w:rPr>
          <w:rFonts w:hint="eastAsia" w:ascii="仿宋" w:hAnsi="仿宋" w:eastAsia="仿宋" w:cs="仿宋"/>
          <w:sz w:val="32"/>
          <w:szCs w:val="32"/>
        </w:rPr>
      </w:pP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抚恤</w:t>
      </w:r>
      <w:r>
        <w:rPr>
          <w:rFonts w:hint="eastAsia" w:ascii="仿宋" w:hAnsi="仿宋" w:eastAsia="仿宋" w:cs="仿宋"/>
          <w:sz w:val="32"/>
          <w:szCs w:val="32"/>
        </w:rPr>
        <w:t>（款）</w:t>
      </w:r>
      <w:r>
        <w:rPr>
          <w:rFonts w:hint="eastAsia" w:ascii="仿宋" w:hAnsi="仿宋" w:eastAsia="仿宋" w:cs="仿宋"/>
          <w:sz w:val="32"/>
          <w:szCs w:val="32"/>
          <w:lang w:eastAsia="zh-CN"/>
        </w:rPr>
        <w:t>死亡抚恤</w:t>
      </w:r>
      <w:r>
        <w:rPr>
          <w:rFonts w:hint="eastAsia" w:ascii="仿宋" w:hAnsi="仿宋" w:eastAsia="仿宋" w:cs="仿宋"/>
          <w:sz w:val="32"/>
          <w:szCs w:val="32"/>
        </w:rPr>
        <w:t>（项）。年初预算</w:t>
      </w:r>
    </w:p>
    <w:p>
      <w:pPr>
        <w:pStyle w:val="9"/>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val="en-US" w:eastAsia="zh-CN"/>
        </w:rPr>
        <w:t>1.04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0.88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84.62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z w:val="32"/>
          <w:szCs w:val="32"/>
          <w:lang w:eastAsia="zh-CN"/>
        </w:rPr>
        <w:t>此项为遗属补助费，</w:t>
      </w:r>
      <w:r>
        <w:rPr>
          <w:rFonts w:hint="eastAsia" w:ascii="仿宋" w:hAnsi="仿宋" w:eastAsia="仿宋" w:cs="仿宋"/>
          <w:sz w:val="32"/>
          <w:szCs w:val="32"/>
        </w:rPr>
        <w:t>经费结转到下年度列支</w:t>
      </w:r>
      <w:r>
        <w:rPr>
          <w:rFonts w:hint="eastAsia" w:ascii="仿宋" w:hAnsi="仿宋" w:eastAsia="仿宋" w:cs="仿宋"/>
          <w:sz w:val="32"/>
          <w:szCs w:val="32"/>
          <w:lang w:eastAsia="zh-CN"/>
        </w:rPr>
        <w:t>。</w:t>
      </w:r>
    </w:p>
    <w:p>
      <w:pPr>
        <w:pStyle w:val="9"/>
        <w:numPr>
          <w:ilvl w:val="0"/>
          <w:numId w:val="3"/>
        </w:numPr>
        <w:ind w:left="630" w:leftChars="0" w:firstLine="0" w:firstLineChars="0"/>
        <w:rPr>
          <w:rFonts w:hint="eastAsia" w:ascii="仿宋" w:hAnsi="仿宋" w:eastAsia="仿宋" w:cs="仿宋"/>
          <w:sz w:val="32"/>
          <w:szCs w:val="32"/>
        </w:rPr>
      </w:pP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行政事业单位医疗</w:t>
      </w:r>
      <w:r>
        <w:rPr>
          <w:rFonts w:hint="eastAsia" w:ascii="仿宋" w:hAnsi="仿宋" w:eastAsia="仿宋" w:cs="仿宋"/>
          <w:sz w:val="32"/>
          <w:szCs w:val="32"/>
        </w:rPr>
        <w:t>（</w:t>
      </w:r>
      <w:r>
        <w:rPr>
          <w:rFonts w:hint="eastAsia" w:ascii="仿宋" w:hAnsi="仿宋" w:eastAsia="仿宋" w:cs="仿宋"/>
          <w:sz w:val="32"/>
          <w:szCs w:val="32"/>
          <w:lang w:eastAsia="zh-CN"/>
        </w:rPr>
        <w:t>款</w:t>
      </w:r>
      <w:r>
        <w:rPr>
          <w:rFonts w:hint="eastAsia" w:ascii="仿宋" w:hAnsi="仿宋" w:eastAsia="仿宋" w:cs="仿宋"/>
          <w:sz w:val="32"/>
          <w:szCs w:val="32"/>
        </w:rPr>
        <w:t>）</w:t>
      </w:r>
      <w:r>
        <w:rPr>
          <w:rFonts w:hint="eastAsia" w:ascii="仿宋" w:hAnsi="仿宋" w:eastAsia="仿宋" w:cs="仿宋"/>
          <w:sz w:val="32"/>
          <w:szCs w:val="32"/>
          <w:lang w:eastAsia="zh-CN"/>
        </w:rPr>
        <w:t>行政单位医疗（项）</w:t>
      </w:r>
      <w:r>
        <w:rPr>
          <w:rFonts w:hint="eastAsia" w:ascii="仿宋" w:hAnsi="仿宋" w:eastAsia="仿宋" w:cs="仿宋"/>
          <w:sz w:val="32"/>
          <w:szCs w:val="32"/>
        </w:rPr>
        <w:t>。</w:t>
      </w:r>
    </w:p>
    <w:p>
      <w:pPr>
        <w:pStyle w:val="9"/>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21.17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22.12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104.49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大</w:t>
      </w:r>
      <w:r>
        <w:rPr>
          <w:rFonts w:hint="eastAsia" w:ascii="仿宋" w:hAnsi="仿宋" w:eastAsia="仿宋" w:cs="仿宋"/>
          <w:sz w:val="32"/>
          <w:szCs w:val="32"/>
        </w:rPr>
        <w:t>于年初预算数的主要原因是</w:t>
      </w:r>
      <w:r>
        <w:rPr>
          <w:rFonts w:hint="eastAsia" w:ascii="仿宋" w:hAnsi="仿宋" w:eastAsia="仿宋" w:cs="仿宋"/>
          <w:sz w:val="32"/>
          <w:szCs w:val="32"/>
          <w:lang w:eastAsia="zh-CN"/>
        </w:rPr>
        <w:t>：缴费基数有所变动。</w:t>
      </w:r>
    </w:p>
    <w:p>
      <w:pPr>
        <w:pStyle w:val="9"/>
        <w:numPr>
          <w:ilvl w:val="0"/>
          <w:numId w:val="3"/>
        </w:numPr>
        <w:ind w:left="630"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农林水支出</w:t>
      </w:r>
      <w:r>
        <w:rPr>
          <w:rFonts w:hint="eastAsia" w:ascii="仿宋" w:hAnsi="仿宋" w:eastAsia="仿宋" w:cs="仿宋"/>
          <w:sz w:val="32"/>
          <w:szCs w:val="32"/>
        </w:rPr>
        <w:t>（类）</w:t>
      </w:r>
      <w:r>
        <w:rPr>
          <w:rFonts w:hint="eastAsia" w:ascii="仿宋" w:hAnsi="仿宋" w:eastAsia="仿宋" w:cs="仿宋"/>
          <w:sz w:val="32"/>
          <w:szCs w:val="32"/>
          <w:lang w:eastAsia="zh-CN"/>
        </w:rPr>
        <w:t>巩固脱贫衔接乡村振兴</w:t>
      </w:r>
      <w:r>
        <w:rPr>
          <w:rFonts w:hint="eastAsia" w:ascii="仿宋" w:hAnsi="仿宋" w:eastAsia="仿宋" w:cs="仿宋"/>
          <w:sz w:val="32"/>
          <w:szCs w:val="32"/>
        </w:rPr>
        <w:t>（</w:t>
      </w:r>
      <w:r>
        <w:rPr>
          <w:rFonts w:hint="eastAsia" w:ascii="仿宋" w:hAnsi="仿宋" w:eastAsia="仿宋" w:cs="仿宋"/>
          <w:sz w:val="32"/>
          <w:szCs w:val="32"/>
          <w:lang w:eastAsia="zh-CN"/>
        </w:rPr>
        <w:t>款</w:t>
      </w:r>
      <w:r>
        <w:rPr>
          <w:rFonts w:hint="eastAsia" w:ascii="仿宋" w:hAnsi="仿宋" w:eastAsia="仿宋" w:cs="仿宋"/>
          <w:sz w:val="32"/>
          <w:szCs w:val="32"/>
        </w:rPr>
        <w:t>）</w:t>
      </w:r>
      <w:r>
        <w:rPr>
          <w:rFonts w:hint="eastAsia" w:ascii="仿宋" w:hAnsi="仿宋" w:eastAsia="仿宋" w:cs="仿宋"/>
          <w:sz w:val="32"/>
          <w:szCs w:val="32"/>
          <w:lang w:eastAsia="zh-CN"/>
        </w:rPr>
        <w:t>农村基础设施建设</w:t>
      </w:r>
    </w:p>
    <w:p>
      <w:pPr>
        <w:pStyle w:val="9"/>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eastAsia="zh-CN"/>
        </w:rPr>
        <w:t>（项）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41</w:t>
      </w:r>
      <w:r>
        <w:rPr>
          <w:rFonts w:hint="eastAsia" w:ascii="仿宋" w:hAnsi="仿宋" w:eastAsia="仿宋" w:cs="仿宋"/>
          <w:sz w:val="32"/>
          <w:szCs w:val="32"/>
        </w:rPr>
        <w:t>万元，决算数</w:t>
      </w:r>
      <w:r>
        <w:rPr>
          <w:rFonts w:hint="eastAsia" w:ascii="仿宋" w:hAnsi="仿宋" w:eastAsia="仿宋" w:cs="仿宋"/>
          <w:sz w:val="32"/>
          <w:szCs w:val="32"/>
          <w:lang w:eastAsia="zh-CN"/>
        </w:rPr>
        <w:t>大</w:t>
      </w:r>
      <w:r>
        <w:rPr>
          <w:rFonts w:hint="eastAsia" w:ascii="仿宋" w:hAnsi="仿宋" w:eastAsia="仿宋" w:cs="仿宋"/>
          <w:sz w:val="32"/>
          <w:szCs w:val="32"/>
        </w:rPr>
        <w:t>于年初预算数的主要原因是</w:t>
      </w:r>
      <w:r>
        <w:rPr>
          <w:rFonts w:hint="eastAsia" w:ascii="仿宋" w:hAnsi="仿宋" w:eastAsia="仿宋" w:cs="仿宋"/>
          <w:sz w:val="32"/>
          <w:szCs w:val="32"/>
          <w:lang w:eastAsia="zh-CN"/>
        </w:rPr>
        <w:t>：该项目为龙泉山游步道一期工程款，年初未列预算。</w:t>
      </w:r>
    </w:p>
    <w:p>
      <w:pPr>
        <w:pStyle w:val="9"/>
        <w:numPr>
          <w:ilvl w:val="0"/>
          <w:numId w:val="3"/>
        </w:numPr>
        <w:ind w:left="630" w:leftChars="0" w:firstLine="0" w:firstLineChars="0"/>
        <w:rPr>
          <w:rFonts w:hint="eastAsia" w:ascii="仿宋" w:hAnsi="仿宋" w:eastAsia="仿宋" w:cs="仿宋"/>
          <w:sz w:val="32"/>
          <w:szCs w:val="32"/>
        </w:rPr>
      </w:pPr>
      <w:r>
        <w:rPr>
          <w:rFonts w:hint="eastAsia" w:ascii="仿宋" w:hAnsi="仿宋" w:eastAsia="仿宋" w:cs="仿宋"/>
          <w:sz w:val="32"/>
          <w:szCs w:val="32"/>
          <w:lang w:eastAsia="zh-CN"/>
        </w:rPr>
        <w:t>住房保障支出</w:t>
      </w:r>
      <w:r>
        <w:rPr>
          <w:rFonts w:hint="eastAsia" w:ascii="仿宋" w:hAnsi="仿宋" w:eastAsia="仿宋" w:cs="仿宋"/>
          <w:sz w:val="32"/>
          <w:szCs w:val="32"/>
        </w:rPr>
        <w:t>（类）</w:t>
      </w:r>
      <w:r>
        <w:rPr>
          <w:rFonts w:hint="eastAsia" w:ascii="仿宋" w:hAnsi="仿宋" w:eastAsia="仿宋" w:cs="仿宋"/>
          <w:sz w:val="32"/>
          <w:szCs w:val="32"/>
          <w:lang w:eastAsia="zh-CN"/>
        </w:rPr>
        <w:t>住房改革支出</w:t>
      </w:r>
      <w:r>
        <w:rPr>
          <w:rFonts w:hint="eastAsia" w:ascii="仿宋" w:hAnsi="仿宋" w:eastAsia="仿宋" w:cs="仿宋"/>
          <w:sz w:val="32"/>
          <w:szCs w:val="32"/>
        </w:rPr>
        <w:t>（</w:t>
      </w:r>
      <w:r>
        <w:rPr>
          <w:rFonts w:hint="eastAsia" w:ascii="仿宋" w:hAnsi="仿宋" w:eastAsia="仿宋" w:cs="仿宋"/>
          <w:sz w:val="32"/>
          <w:szCs w:val="32"/>
          <w:lang w:eastAsia="zh-CN"/>
        </w:rPr>
        <w:t>款</w:t>
      </w:r>
      <w:r>
        <w:rPr>
          <w:rFonts w:hint="eastAsia" w:ascii="仿宋" w:hAnsi="仿宋" w:eastAsia="仿宋" w:cs="仿宋"/>
          <w:sz w:val="32"/>
          <w:szCs w:val="32"/>
        </w:rPr>
        <w:t>）</w:t>
      </w:r>
      <w:r>
        <w:rPr>
          <w:rFonts w:hint="eastAsia" w:ascii="仿宋" w:hAnsi="仿宋" w:eastAsia="仿宋" w:cs="仿宋"/>
          <w:sz w:val="32"/>
          <w:szCs w:val="32"/>
          <w:lang w:eastAsia="zh-CN"/>
        </w:rPr>
        <w:t>住房公积金（项）</w:t>
      </w:r>
      <w:r>
        <w:rPr>
          <w:rFonts w:hint="eastAsia" w:ascii="仿宋" w:hAnsi="仿宋" w:eastAsia="仿宋" w:cs="仿宋"/>
          <w:sz w:val="32"/>
          <w:szCs w:val="32"/>
        </w:rPr>
        <w:t>。年初</w:t>
      </w:r>
    </w:p>
    <w:p>
      <w:pPr>
        <w:pStyle w:val="9"/>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rPr>
        <w:t>预算为</w:t>
      </w:r>
      <w:r>
        <w:rPr>
          <w:rFonts w:hint="eastAsia" w:ascii="仿宋" w:hAnsi="仿宋" w:eastAsia="仿宋" w:cs="仿宋"/>
          <w:sz w:val="32"/>
          <w:szCs w:val="32"/>
          <w:lang w:val="en-US" w:eastAsia="zh-CN"/>
        </w:rPr>
        <w:t>17.44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19.06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109.29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大</w:t>
      </w:r>
      <w:r>
        <w:rPr>
          <w:rFonts w:hint="eastAsia" w:ascii="仿宋" w:hAnsi="仿宋" w:eastAsia="仿宋" w:cs="仿宋"/>
          <w:sz w:val="32"/>
          <w:szCs w:val="32"/>
        </w:rPr>
        <w:t>于年初预算数的主要原因是</w:t>
      </w:r>
      <w:r>
        <w:rPr>
          <w:rFonts w:hint="eastAsia" w:ascii="仿宋" w:hAnsi="仿宋" w:eastAsia="仿宋" w:cs="仿宋"/>
          <w:sz w:val="32"/>
          <w:szCs w:val="32"/>
          <w:lang w:eastAsia="zh-CN"/>
        </w:rPr>
        <w:t>：缴费基数有所变动。</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755.36</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466.98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61.82</w:t>
      </w:r>
      <w:r>
        <w:rPr>
          <w:rFonts w:hint="eastAsia" w:ascii="仿宋" w:hAnsi="仿宋" w:eastAsia="仿宋" w:cs="仿宋"/>
          <w:sz w:val="32"/>
          <w:szCs w:val="32"/>
        </w:rPr>
        <w:t>%,主要包括基本工资</w:t>
      </w:r>
      <w:r>
        <w:rPr>
          <w:rFonts w:hint="eastAsia" w:ascii="仿宋" w:hAnsi="仿宋" w:eastAsia="仿宋" w:cs="仿宋"/>
          <w:sz w:val="32"/>
          <w:szCs w:val="32"/>
          <w:lang w:val="en-US" w:eastAsia="zh-CN"/>
        </w:rPr>
        <w:t>191.02</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83.84</w:t>
      </w:r>
      <w:r>
        <w:rPr>
          <w:rFonts w:hint="eastAsia" w:ascii="仿宋" w:hAnsi="仿宋" w:eastAsia="仿宋" w:cs="仿宋"/>
          <w:sz w:val="32"/>
          <w:szCs w:val="32"/>
        </w:rPr>
        <w:t>万元、奖金</w:t>
      </w:r>
      <w:r>
        <w:rPr>
          <w:rFonts w:hint="eastAsia" w:ascii="仿宋" w:hAnsi="仿宋" w:eastAsia="仿宋" w:cs="仿宋"/>
          <w:sz w:val="32"/>
          <w:szCs w:val="32"/>
          <w:lang w:val="en-US" w:eastAsia="zh-CN"/>
        </w:rPr>
        <w:t>39.52</w:t>
      </w:r>
      <w:r>
        <w:rPr>
          <w:rFonts w:hint="eastAsia" w:ascii="仿宋" w:hAnsi="仿宋" w:eastAsia="仿宋" w:cs="仿宋"/>
          <w:sz w:val="32"/>
          <w:szCs w:val="32"/>
        </w:rPr>
        <w:t>万元、伙食补助费</w:t>
      </w:r>
      <w:r>
        <w:rPr>
          <w:rFonts w:hint="eastAsia" w:ascii="仿宋" w:hAnsi="仿宋" w:eastAsia="仿宋" w:cs="仿宋"/>
          <w:sz w:val="32"/>
          <w:szCs w:val="32"/>
          <w:lang w:val="en-US" w:eastAsia="zh-CN"/>
        </w:rPr>
        <w:t>6.37</w:t>
      </w:r>
      <w:r>
        <w:rPr>
          <w:rFonts w:hint="eastAsia" w:ascii="仿宋" w:hAnsi="仿宋" w:eastAsia="仿宋" w:cs="仿宋"/>
          <w:sz w:val="32"/>
          <w:szCs w:val="32"/>
        </w:rPr>
        <w:t>万元、</w:t>
      </w:r>
      <w:r>
        <w:rPr>
          <w:rFonts w:hint="eastAsia" w:ascii="仿宋" w:hAnsi="仿宋" w:eastAsia="仿宋" w:cs="仿宋"/>
          <w:sz w:val="32"/>
          <w:szCs w:val="32"/>
          <w:lang w:eastAsia="zh-CN"/>
        </w:rPr>
        <w:t>绩效工资</w:t>
      </w:r>
      <w:r>
        <w:rPr>
          <w:rFonts w:hint="eastAsia" w:ascii="仿宋" w:hAnsi="仿宋" w:eastAsia="仿宋" w:cs="仿宋"/>
          <w:sz w:val="32"/>
          <w:szCs w:val="32"/>
          <w:lang w:val="en-US" w:eastAsia="zh-CN"/>
        </w:rPr>
        <w:t>47.72万元，</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val="en-US" w:eastAsia="zh-CN"/>
        </w:rPr>
        <w:t>43.27</w:t>
      </w:r>
      <w:r>
        <w:rPr>
          <w:rFonts w:hint="eastAsia" w:ascii="仿宋" w:hAnsi="仿宋" w:eastAsia="仿宋" w:cs="仿宋"/>
          <w:sz w:val="32"/>
          <w:szCs w:val="32"/>
        </w:rPr>
        <w:t>万元、职工基本医疗保险缴费</w:t>
      </w:r>
      <w:r>
        <w:rPr>
          <w:rFonts w:hint="eastAsia" w:ascii="仿宋" w:hAnsi="仿宋" w:eastAsia="仿宋" w:cs="仿宋"/>
          <w:sz w:val="32"/>
          <w:szCs w:val="32"/>
          <w:lang w:val="en-US" w:eastAsia="zh-CN"/>
        </w:rPr>
        <w:t>22.04</w:t>
      </w:r>
      <w:r>
        <w:rPr>
          <w:rFonts w:hint="eastAsia" w:ascii="仿宋" w:hAnsi="仿宋" w:eastAsia="仿宋" w:cs="仿宋"/>
          <w:sz w:val="32"/>
          <w:szCs w:val="32"/>
        </w:rPr>
        <w:t>万元、其他社会保障缴费</w:t>
      </w:r>
      <w:r>
        <w:rPr>
          <w:rFonts w:hint="eastAsia" w:ascii="仿宋" w:hAnsi="仿宋" w:eastAsia="仿宋" w:cs="仿宋"/>
          <w:sz w:val="32"/>
          <w:szCs w:val="32"/>
          <w:lang w:val="en-US" w:eastAsia="zh-CN"/>
        </w:rPr>
        <w:t>2.62</w:t>
      </w:r>
      <w:r>
        <w:rPr>
          <w:rFonts w:hint="eastAsia" w:ascii="仿宋" w:hAnsi="仿宋" w:eastAsia="仿宋" w:cs="仿宋"/>
          <w:sz w:val="32"/>
          <w:szCs w:val="32"/>
        </w:rPr>
        <w:t>万元、住房公积金</w:t>
      </w:r>
      <w:r>
        <w:rPr>
          <w:rFonts w:hint="eastAsia" w:ascii="仿宋" w:hAnsi="仿宋" w:eastAsia="仿宋" w:cs="仿宋"/>
          <w:sz w:val="32"/>
          <w:szCs w:val="32"/>
          <w:lang w:val="en-US" w:eastAsia="zh-CN"/>
        </w:rPr>
        <w:t>19.06</w:t>
      </w:r>
      <w:r>
        <w:rPr>
          <w:rFonts w:hint="eastAsia" w:ascii="仿宋" w:hAnsi="仿宋" w:eastAsia="仿宋" w:cs="仿宋"/>
          <w:sz w:val="32"/>
          <w:szCs w:val="32"/>
        </w:rPr>
        <w:t>万元、对个人和家庭补助</w:t>
      </w:r>
      <w:r>
        <w:rPr>
          <w:rFonts w:hint="eastAsia" w:ascii="仿宋" w:hAnsi="仿宋" w:eastAsia="仿宋" w:cs="仿宋"/>
          <w:sz w:val="32"/>
          <w:szCs w:val="32"/>
          <w:lang w:val="en-US" w:eastAsia="zh-CN"/>
        </w:rPr>
        <w:t>11.51</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b/>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288.38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38.18</w:t>
      </w:r>
      <w:r>
        <w:rPr>
          <w:rFonts w:hint="eastAsia" w:ascii="仿宋" w:hAnsi="仿宋" w:eastAsia="仿宋" w:cs="仿宋"/>
          <w:sz w:val="32"/>
          <w:szCs w:val="32"/>
        </w:rPr>
        <w:t>%，主要包括办公费</w:t>
      </w:r>
      <w:r>
        <w:rPr>
          <w:rFonts w:hint="eastAsia" w:ascii="仿宋" w:hAnsi="仿宋" w:eastAsia="仿宋" w:cs="仿宋"/>
          <w:sz w:val="32"/>
          <w:szCs w:val="32"/>
          <w:lang w:val="en-US" w:eastAsia="zh-CN"/>
        </w:rPr>
        <w:t>2.56</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3.93</w:t>
      </w:r>
      <w:r>
        <w:rPr>
          <w:rFonts w:hint="eastAsia" w:ascii="仿宋" w:hAnsi="仿宋" w:eastAsia="仿宋" w:cs="仿宋"/>
          <w:sz w:val="32"/>
          <w:szCs w:val="32"/>
        </w:rPr>
        <w:t>万元、咨询费</w:t>
      </w:r>
      <w:r>
        <w:rPr>
          <w:rFonts w:hint="eastAsia" w:ascii="仿宋" w:hAnsi="仿宋" w:eastAsia="仿宋" w:cs="仿宋"/>
          <w:sz w:val="32"/>
          <w:szCs w:val="32"/>
          <w:lang w:val="en-US" w:eastAsia="zh-CN"/>
        </w:rPr>
        <w:t>44</w:t>
      </w:r>
      <w:r>
        <w:rPr>
          <w:rFonts w:hint="eastAsia" w:ascii="仿宋" w:hAnsi="仿宋" w:eastAsia="仿宋" w:cs="仿宋"/>
          <w:sz w:val="32"/>
          <w:szCs w:val="32"/>
        </w:rPr>
        <w:t>万元、水费0.0</w:t>
      </w:r>
      <w:r>
        <w:rPr>
          <w:rFonts w:hint="eastAsia" w:ascii="仿宋" w:hAnsi="仿宋" w:eastAsia="仿宋" w:cs="仿宋"/>
          <w:sz w:val="32"/>
          <w:szCs w:val="32"/>
          <w:lang w:val="en-US" w:eastAsia="zh-CN"/>
        </w:rPr>
        <w:t>3</w:t>
      </w:r>
      <w:r>
        <w:rPr>
          <w:rFonts w:hint="eastAsia" w:ascii="仿宋" w:hAnsi="仿宋" w:eastAsia="仿宋" w:cs="仿宋"/>
          <w:sz w:val="32"/>
          <w:szCs w:val="32"/>
        </w:rPr>
        <w:t>万元、电费</w:t>
      </w:r>
      <w:r>
        <w:rPr>
          <w:rFonts w:hint="eastAsia" w:ascii="仿宋" w:hAnsi="仿宋" w:eastAsia="仿宋" w:cs="仿宋"/>
          <w:sz w:val="32"/>
          <w:szCs w:val="32"/>
          <w:lang w:val="en-US" w:eastAsia="zh-CN"/>
        </w:rPr>
        <w:t>1.83</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0.1</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22.54</w:t>
      </w:r>
      <w:r>
        <w:rPr>
          <w:rFonts w:hint="eastAsia" w:ascii="仿宋" w:hAnsi="仿宋" w:eastAsia="仿宋" w:cs="仿宋"/>
          <w:sz w:val="32"/>
          <w:szCs w:val="32"/>
        </w:rPr>
        <w:t>万元、维修费</w:t>
      </w:r>
      <w:r>
        <w:rPr>
          <w:rFonts w:hint="eastAsia" w:ascii="仿宋" w:hAnsi="仿宋" w:eastAsia="仿宋" w:cs="仿宋"/>
          <w:sz w:val="32"/>
          <w:szCs w:val="32"/>
          <w:lang w:val="en-US" w:eastAsia="zh-CN"/>
        </w:rPr>
        <w:t>0.27</w:t>
      </w:r>
      <w:r>
        <w:rPr>
          <w:rFonts w:hint="eastAsia" w:ascii="仿宋" w:hAnsi="仿宋" w:eastAsia="仿宋" w:cs="仿宋"/>
          <w:sz w:val="32"/>
          <w:szCs w:val="32"/>
        </w:rPr>
        <w:t>万元、租赁费</w:t>
      </w:r>
      <w:r>
        <w:rPr>
          <w:rFonts w:hint="eastAsia" w:ascii="仿宋" w:hAnsi="仿宋" w:eastAsia="仿宋" w:cs="仿宋"/>
          <w:sz w:val="32"/>
          <w:szCs w:val="32"/>
          <w:lang w:val="en-US" w:eastAsia="zh-CN"/>
        </w:rPr>
        <w:t>5.91</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1.89</w:t>
      </w:r>
      <w:r>
        <w:rPr>
          <w:rFonts w:hint="eastAsia" w:ascii="仿宋" w:hAnsi="仿宋" w:eastAsia="仿宋" w:cs="仿宋"/>
          <w:sz w:val="32"/>
          <w:szCs w:val="32"/>
        </w:rPr>
        <w:t>万元，公务接待费5.00万元、专用材料费</w:t>
      </w:r>
      <w:r>
        <w:rPr>
          <w:rFonts w:hint="eastAsia" w:ascii="仿宋" w:hAnsi="仿宋" w:eastAsia="仿宋" w:cs="仿宋"/>
          <w:sz w:val="32"/>
          <w:szCs w:val="32"/>
          <w:lang w:val="en-US" w:eastAsia="zh-CN"/>
        </w:rPr>
        <w:t>1.21</w:t>
      </w:r>
      <w:r>
        <w:rPr>
          <w:rFonts w:hint="eastAsia" w:ascii="仿宋" w:hAnsi="仿宋" w:eastAsia="仿宋" w:cs="仿宋"/>
          <w:sz w:val="32"/>
          <w:szCs w:val="32"/>
        </w:rPr>
        <w:t>万元、劳务费</w:t>
      </w:r>
      <w:r>
        <w:rPr>
          <w:rFonts w:hint="eastAsia" w:ascii="仿宋" w:hAnsi="仿宋" w:eastAsia="仿宋" w:cs="仿宋"/>
          <w:sz w:val="32"/>
          <w:szCs w:val="32"/>
          <w:lang w:val="en-US" w:eastAsia="zh-CN"/>
        </w:rPr>
        <w:t>5.66</w:t>
      </w:r>
      <w:r>
        <w:rPr>
          <w:rFonts w:hint="eastAsia" w:ascii="仿宋" w:hAnsi="仿宋" w:eastAsia="仿宋" w:cs="仿宋"/>
          <w:sz w:val="32"/>
          <w:szCs w:val="32"/>
        </w:rPr>
        <w:t>万元、委托业务费</w:t>
      </w:r>
      <w:r>
        <w:rPr>
          <w:rFonts w:hint="eastAsia" w:ascii="仿宋" w:hAnsi="仿宋" w:eastAsia="仿宋" w:cs="仿宋"/>
          <w:sz w:val="32"/>
          <w:szCs w:val="32"/>
          <w:lang w:val="en-US" w:eastAsia="zh-CN"/>
        </w:rPr>
        <w:t>82.80</w:t>
      </w:r>
      <w:r>
        <w:rPr>
          <w:rFonts w:hint="eastAsia" w:ascii="仿宋" w:hAnsi="仿宋" w:eastAsia="仿宋" w:cs="仿宋"/>
          <w:sz w:val="32"/>
          <w:szCs w:val="32"/>
        </w:rPr>
        <w:t>万元、工会经费12.</w:t>
      </w:r>
      <w:r>
        <w:rPr>
          <w:rFonts w:hint="eastAsia" w:ascii="仿宋" w:hAnsi="仿宋" w:eastAsia="仿宋" w:cs="仿宋"/>
          <w:sz w:val="32"/>
          <w:szCs w:val="32"/>
          <w:lang w:val="en-US" w:eastAsia="zh-CN"/>
        </w:rPr>
        <w:t>4</w:t>
      </w:r>
      <w:r>
        <w:rPr>
          <w:rFonts w:hint="eastAsia" w:ascii="仿宋" w:hAnsi="仿宋" w:eastAsia="仿宋" w:cs="仿宋"/>
          <w:sz w:val="32"/>
          <w:szCs w:val="32"/>
        </w:rPr>
        <w:t>4万元、福利费0.</w:t>
      </w:r>
      <w:r>
        <w:rPr>
          <w:rFonts w:hint="eastAsia" w:ascii="仿宋" w:hAnsi="仿宋" w:eastAsia="仿宋" w:cs="仿宋"/>
          <w:sz w:val="32"/>
          <w:szCs w:val="32"/>
          <w:lang w:val="en-US" w:eastAsia="zh-CN"/>
        </w:rPr>
        <w:t>4</w:t>
      </w:r>
      <w:r>
        <w:rPr>
          <w:rFonts w:hint="eastAsia" w:ascii="仿宋" w:hAnsi="仿宋" w:eastAsia="仿宋" w:cs="仿宋"/>
          <w:sz w:val="32"/>
          <w:szCs w:val="32"/>
        </w:rPr>
        <w:t>万元、其他交通费用</w:t>
      </w:r>
      <w:r>
        <w:rPr>
          <w:rFonts w:hint="eastAsia" w:ascii="仿宋" w:hAnsi="仿宋" w:eastAsia="仿宋" w:cs="仿宋"/>
          <w:sz w:val="32"/>
          <w:szCs w:val="32"/>
          <w:lang w:val="en-US" w:eastAsia="zh-CN"/>
        </w:rPr>
        <w:t>34.85</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38.81</w:t>
      </w:r>
      <w:r>
        <w:rPr>
          <w:rFonts w:hint="eastAsia" w:ascii="仿宋" w:hAnsi="仿宋" w:eastAsia="仿宋" w:cs="仿宋"/>
          <w:sz w:val="32"/>
          <w:szCs w:val="32"/>
        </w:rPr>
        <w:t>万元</w:t>
      </w:r>
      <w:r>
        <w:rPr>
          <w:rFonts w:hint="eastAsia" w:ascii="仿宋" w:hAnsi="仿宋" w:eastAsia="仿宋" w:cs="仿宋"/>
          <w:sz w:val="32"/>
          <w:szCs w:val="32"/>
          <w:lang w:eastAsia="zh-CN"/>
        </w:rPr>
        <w:t>，专用设备购置</w:t>
      </w:r>
      <w:r>
        <w:rPr>
          <w:rFonts w:hint="eastAsia" w:ascii="仿宋" w:hAnsi="仿宋" w:eastAsia="仿宋" w:cs="仿宋"/>
          <w:sz w:val="32"/>
          <w:szCs w:val="32"/>
          <w:lang w:val="en-US" w:eastAsia="zh-CN"/>
        </w:rPr>
        <w:t>23.97万元，办公设备购置0.17万元</w:t>
      </w:r>
      <w:r>
        <w:rPr>
          <w:rFonts w:hint="eastAsia" w:ascii="仿宋" w:hAnsi="仿宋" w:eastAsia="仿宋" w:cs="仿宋"/>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val="en-US" w:eastAsia="zh-CN"/>
        </w:rPr>
        <w:t xml:space="preserve"> </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ind w:firstLine="800" w:firstLineChars="250"/>
        <w:rPr>
          <w:rFonts w:hint="eastAsia" w:ascii="仿宋" w:hAnsi="仿宋" w:eastAsia="仿宋" w:cs="仿宋"/>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仿宋" w:hAnsi="仿宋" w:eastAsia="仿宋" w:cs="仿宋"/>
          <w:sz w:val="32"/>
          <w:szCs w:val="32"/>
        </w:rPr>
        <w:t>本年度无因公出国（境）费用支出，与上年相比</w:t>
      </w:r>
      <w:r>
        <w:rPr>
          <w:rFonts w:hint="eastAsia" w:ascii="仿宋" w:hAnsi="仿宋" w:eastAsia="仿宋" w:cs="仿宋"/>
          <w:sz w:val="32"/>
          <w:szCs w:val="32"/>
          <w:lang w:eastAsia="zh-CN"/>
        </w:rPr>
        <w:t>持平</w:t>
      </w:r>
      <w:r>
        <w:rPr>
          <w:rFonts w:hint="eastAsia" w:ascii="仿宋" w:hAnsi="仿宋" w:eastAsia="仿宋" w:cs="仿宋"/>
          <w:sz w:val="32"/>
          <w:szCs w:val="32"/>
        </w:rPr>
        <w:t>,主要原因是本年和上年度均无因公出国（境）费支出。</w:t>
      </w:r>
    </w:p>
    <w:p>
      <w:pPr>
        <w:pStyle w:val="9"/>
        <w:ind w:firstLine="800" w:firstLineChars="250"/>
        <w:rPr>
          <w:rFonts w:hint="eastAsia" w:eastAsia="仿宋" w:asciiTheme="minorEastAsia" w:hAnsiTheme="minorEastAsia"/>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决算数</w:t>
      </w:r>
      <w:r>
        <w:rPr>
          <w:rFonts w:hint="eastAsia" w:ascii="仿宋" w:hAnsi="仿宋" w:eastAsia="仿宋" w:cs="仿宋"/>
          <w:sz w:val="32"/>
          <w:szCs w:val="32"/>
          <w:lang w:eastAsia="zh-CN"/>
        </w:rPr>
        <w:t>等于</w:t>
      </w:r>
      <w:r>
        <w:rPr>
          <w:rFonts w:hint="eastAsia" w:ascii="仿宋" w:hAnsi="仿宋" w:eastAsia="仿宋" w:cs="仿宋"/>
          <w:sz w:val="32"/>
          <w:szCs w:val="32"/>
        </w:rPr>
        <w:t>预算数的主要原因是认真贯彻落实中央“八项规定”精神和厉行节约要求，从严控制公务接待费开支。与上年相比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0.004</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0.08</w:t>
      </w:r>
      <w:r>
        <w:rPr>
          <w:rFonts w:hint="eastAsia" w:ascii="仿宋" w:hAnsi="仿宋" w:eastAsia="仿宋" w:cs="仿宋"/>
          <w:sz w:val="32"/>
          <w:szCs w:val="32"/>
        </w:rPr>
        <w:t>%</w:t>
      </w:r>
      <w:r>
        <w:rPr>
          <w:rFonts w:hint="eastAsia" w:ascii="Times New Roman" w:hAnsi="Times New Roman" w:eastAsia="仿宋_GB2312"/>
          <w:sz w:val="32"/>
          <w:szCs w:val="32"/>
        </w:rPr>
        <w:t>减少的主要原因是</w:t>
      </w:r>
      <w:r>
        <w:rPr>
          <w:rFonts w:hint="eastAsia" w:ascii="仿宋" w:hAnsi="仿宋" w:eastAsia="仿宋" w:cs="仿宋"/>
          <w:sz w:val="32"/>
          <w:szCs w:val="32"/>
        </w:rPr>
        <w:t>认真贯彻落实中央“八项规定”精神和厉行节约要求，从严控制公务接待费开支</w:t>
      </w:r>
      <w:r>
        <w:rPr>
          <w:rFonts w:hint="eastAsia" w:ascii="仿宋" w:hAnsi="仿宋" w:eastAsia="仿宋" w:cs="仿宋"/>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我单位无公务用车购置费支出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持平，持平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上年度和本年度我单位无公务用车购置费支出</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我单位无公务用车，故无公务用车运行维护费支出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我单位上年度和本年度均无公务用车，故无公务用车运行维护费支出</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390</w:t>
      </w:r>
      <w:r>
        <w:rPr>
          <w:rFonts w:hint="eastAsia" w:ascii="Times New Roman" w:hAnsi="Times New Roman" w:eastAsia="仿宋_GB2312"/>
          <w:sz w:val="32"/>
          <w:szCs w:val="32"/>
        </w:rPr>
        <w:t>人次，主要是</w:t>
      </w:r>
      <w:r>
        <w:rPr>
          <w:rFonts w:hint="eastAsia" w:ascii="仿宋" w:hAnsi="仿宋" w:eastAsia="仿宋" w:cs="仿宋"/>
          <w:sz w:val="32"/>
          <w:szCs w:val="32"/>
        </w:rPr>
        <w:t>主要是开展文化旅游体育文物工作发生的接待支出</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楷体" w:hAnsi="楷体" w:eastAsia="楷体" w:cs="楷体"/>
          <w:b/>
          <w:bCs/>
          <w:i/>
          <w:color w:val="auto"/>
          <w:kern w:val="0"/>
          <w:sz w:val="32"/>
          <w:szCs w:val="32"/>
          <w:lang w:val="en-US" w:eastAsia="zh-CN" w:bidi="ar-SA"/>
        </w:rPr>
        <w:t xml:space="preserve">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178.72</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178.72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178.72</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用于体育事业的彩票公益金</w:t>
      </w:r>
      <w:r>
        <w:rPr>
          <w:rFonts w:hint="eastAsia" w:ascii="Times New Roman" w:hAnsi="Times New Roman" w:eastAsia="仿宋_GB2312"/>
          <w:sz w:val="32"/>
          <w:szCs w:val="32"/>
        </w:rPr>
        <w:t>（项）。</w:t>
      </w:r>
    </w:p>
    <w:p>
      <w:pPr>
        <w:pStyle w:val="9"/>
        <w:ind w:firstLine="640" w:firstLineChars="200"/>
        <w:rPr>
          <w:rFonts w:asciiTheme="minorEastAsia" w:hAnsiTheme="minorEastAsia" w:eastAsiaTheme="minorEastAsia"/>
          <w:i/>
          <w:color w:val="FF0000"/>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178.72</w:t>
      </w:r>
      <w:r>
        <w:rPr>
          <w:rFonts w:hint="eastAsia" w:ascii="Times New Roman" w:hAnsi="Times New Roman" w:eastAsia="仿宋_GB2312"/>
          <w:sz w:val="32"/>
          <w:szCs w:val="32"/>
        </w:rPr>
        <w:t>万元，</w:t>
      </w:r>
      <w:r>
        <w:rPr>
          <w:rFonts w:hint="eastAsia" w:ascii="仿宋" w:hAnsi="仿宋" w:eastAsia="仿宋" w:cs="仿宋"/>
          <w:sz w:val="32"/>
          <w:szCs w:val="32"/>
        </w:rPr>
        <w:t>决算数大于年初预算数的主要原因是：体育彩票公益金支出，年初未列预算。</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288.38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比上年决算数减少</w:t>
      </w:r>
      <w:r>
        <w:rPr>
          <w:rFonts w:hint="eastAsia" w:ascii="Times New Roman" w:hAnsi="Times New Roman" w:eastAsia="仿宋_GB2312"/>
          <w:sz w:val="32"/>
          <w:szCs w:val="32"/>
          <w:lang w:val="en-US" w:eastAsia="zh-CN"/>
        </w:rPr>
        <w:t>197.52</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40.65</w:t>
      </w:r>
      <w:r>
        <w:rPr>
          <w:rFonts w:hint="eastAsia" w:ascii="Times New Roman" w:hAnsi="Times New Roman" w:eastAsia="仿宋_GB2312"/>
          <w:sz w:val="32"/>
          <w:szCs w:val="32"/>
        </w:rPr>
        <w:t>%。主要原因是：</w:t>
      </w:r>
      <w:r>
        <w:rPr>
          <w:rFonts w:hint="eastAsia" w:ascii="仿宋" w:hAnsi="仿宋" w:eastAsia="仿宋" w:cs="仿宋"/>
          <w:sz w:val="32"/>
          <w:szCs w:val="32"/>
        </w:rPr>
        <w:t>认真贯彻落实中央“八项规定”精神和厉行节约要求，从严控制</w:t>
      </w:r>
      <w:r>
        <w:rPr>
          <w:rFonts w:hint="eastAsia" w:ascii="仿宋" w:hAnsi="仿宋" w:eastAsia="仿宋" w:cs="仿宋"/>
          <w:sz w:val="32"/>
          <w:szCs w:val="32"/>
          <w:lang w:eastAsia="zh-CN"/>
        </w:rPr>
        <w:t>机关运行经费支出</w:t>
      </w:r>
      <w:r>
        <w:rPr>
          <w:rFonts w:hint="eastAsia" w:ascii="仿宋" w:hAnsi="仿宋" w:eastAsia="仿宋" w:cs="仿宋"/>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1.89</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开展工间操</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78</w:t>
      </w:r>
      <w:r>
        <w:rPr>
          <w:rFonts w:hint="eastAsia" w:ascii="Times New Roman" w:hAnsi="Times New Roman" w:eastAsia="仿宋_GB2312"/>
          <w:sz w:val="32"/>
          <w:szCs w:val="32"/>
        </w:rPr>
        <w:t>人，内容</w:t>
      </w:r>
      <w:r>
        <w:rPr>
          <w:rFonts w:hint="eastAsia" w:ascii="Times New Roman" w:hAnsi="Times New Roman" w:eastAsia="仿宋_GB2312"/>
          <w:sz w:val="32"/>
          <w:szCs w:val="32"/>
          <w:lang w:eastAsia="zh-CN"/>
        </w:rPr>
        <w:t>为溆浦县工间操三级社会体育指导员培训</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仿宋_GB2312"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 xml:space="preserve"> </w:t>
      </w:r>
      <w:r>
        <w:rPr>
          <w:rFonts w:hint="eastAsia" w:ascii="Times New Roman" w:hAnsi="Times New Roman" w:eastAsia="仿宋_GB2312"/>
          <w:sz w:val="32"/>
          <w:szCs w:val="32"/>
        </w:rPr>
        <w:t>举</w:t>
      </w:r>
      <w:r>
        <w:rPr>
          <w:rFonts w:hint="eastAsia" w:ascii="Times New Roman" w:hAnsi="Times New Roman" w:eastAsia="仿宋_GB2312"/>
          <w:sz w:val="32"/>
          <w:szCs w:val="32"/>
          <w:lang w:eastAsia="zh-CN"/>
        </w:rPr>
        <w:t>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669.73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131.74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537.99</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669.73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669.73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楷体" w:hAnsi="楷体" w:eastAsia="楷体" w:cs="楷体"/>
          <w:b/>
          <w:bCs/>
          <w:i/>
          <w:color w:val="auto"/>
          <w:kern w:val="0"/>
          <w:sz w:val="32"/>
          <w:szCs w:val="32"/>
          <w:lang w:val="en-US" w:eastAsia="zh-CN" w:bidi="ar-SA"/>
        </w:rPr>
        <w:t xml:space="preserve">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Times New Roman" w:hAnsi="Times New Roman" w:eastAsia="仿宋_GB2312"/>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部门整体支出情况。一年来，我局按照本单位职能，认真履责，努力完成全县文化、旅游、广播电视、文物、体育各项工作任务，有效地促进了县域经济发展。荣获全省文化和旅游真抓实干督查激励对象。2月山背花瑶梯田雪景荣登上冬奥会闭幕式开片节目，成功承办湖南省非遗工坊、非遗村镇、非遗街区省级示范点建设工作推进会；在全省文化和旅游市场管理工作会议上作经验介绍和全省文化旅游系统安全生产大检查“百日攻坚”行动视频会议上作典型发言；沿溪乡烂泥湾村、小横垅乡罗子山村被评为怀化市乡村旅游重点村；北斗溪坪溪民宿被评为湖南省五星级旅游民宿；北斗溪镇被评为第二批湖南省乡村旅游重点镇，北斗溪镇矛坡村、思蒙镇思蒙湾村被评为第四批湖南乡村旅游重点村，成功申报满天星休闲农庄湖南省五星级乡村旅游点。连年成功举办巅峰湖南、山背插秧节、丰收节，承办了“怀化人游怀化”活动暨怀化市森林篮球UBK球王赛等丰富的文旅活动擦亮溆浦旅游品牌。北斗溪研学基地-山背花瑶梯田-星空云舍-精品民宿“花瑶风情·趣味农耕之旅”成功纳入全国乡村旅游精品线路；湖南雪峰生态文化旅游公司创作的《心的旅途》入选第二届全国旅游公益广告；雪峰山旅游《在文旅助力乡村振兴中构建共享共生共赢的城乡融合之路》被推荐为全国典型案例；在全省公共文化服务满意度测评中，我县连续三年保持怀化市第一；七善轩“情暖童心 关爱失母儿童”志愿服务项目获评怀化市2022年度最佳志愿服务项目；溆浦入选全国重点乡村旅游典型案例；金中平同志被怀化市委市政府评为“敢闯”型干部，并在全市表彰大会上作了一个典型发言；溆浦县雁鹅界非遗古村落被湖南省文化和旅游厅评为非遗村镇省级示范点；溆浦县调水洞休闲山庄，达到湖南省四级乡村旅游区（点）标准，确定为湖南四星级乡村旅游区（点）；溆浦县雪峰山中医药康养旅游基地被评为2022年湖南省首批中医药康养旅游精品线路之秘境雪峰·养身之旅的体验基地；向警予同志纪念馆在清廉怀化工作中，被市纪委、监委评为怀化市清廉文化教育基地；2022年怀化市青少年校园足球联赛（小学男子组）被怀化市教育局 、怀化市文化旅游广电体育局评为道德风尚奖；2022年怀化市青少年校园足球联赛（小学男子组）被怀化市教育局 、怀化市文化旅游广电体育局评为二等奖；“中国体育彩票”第二届“健康湖南”全民运动会怀化市轮滑选拔赛中溆浦文旅广体局参赛项目被“健康湖南”全名运动会怀化市组委会评为团体一等奖；“中国体育彩票”第二届“健康湖南”全民运动会“中国移动”杯怀化市健康跑选拔赛中溆浦文旅广体局参赛项目被“健康湖南”全名运动会怀化市组委会评为团体一等奖；“中国体育彩票”第二届“健康湖南”全民运动会怀化市广场舞（排舞）选拔赛中被评为“二等奖”；向警予同志纪念馆被省妇联评为湖南巾帼文明岗。</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部门整体支出绩效情况。2022年在局领导下，坚持稳中求进，改革创新，各方面工作稳步推进，根据《部门整体绩效评分指标评分》，得分96.5分。我局将执行好厉行节约源头控制，严格执行部门预算，严格执行《党政机关厉行节约反对浪费条例》和公务支出管理制度，严格控制“三公”经费，提高了资金的有效使用。</w:t>
      </w:r>
    </w:p>
    <w:p>
      <w:pPr>
        <w:numPr>
          <w:ilvl w:val="0"/>
          <w:numId w:val="0"/>
        </w:num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（一）经济性分析。2022年严控支出，制度执行总体较为有效。</w:t>
      </w:r>
    </w:p>
    <w:p>
      <w:pPr>
        <w:numPr>
          <w:ilvl w:val="0"/>
          <w:numId w:val="0"/>
        </w:numPr>
        <w:ind w:leftChars="304"/>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(二)效率性分析。我单位2022年部门整体支出绩效情况较好，各股室</w:t>
      </w:r>
    </w:p>
    <w:p>
      <w:pPr>
        <w:numPr>
          <w:ilvl w:val="0"/>
          <w:numId w:val="0"/>
        </w:numPr>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均按年初设定的目标任务积极完成各项工作。</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三)效益性分析。2022年我县旅游人次达到408.59万人次，旅游总收入突破36.4亿元，全市排名第二。全县文化、旅游、广播电视、体育、文物等工作有声有色，逐步提升我县的知名度和美誉度，为发展县域经济提供助力。 </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可持续性分析。我单位大力提倡勤俭节约，坚持把有限的经费用于发展文化、旅游、广播电视、体育、文物事业上，严格审批程序，坚持财务开支一支笔。这些措施，较好地保证了财务开支和资金使用的合法合规、安全有效，较好的保证了全县文体旅游工作可持续性发展。</w:t>
      </w:r>
    </w:p>
    <w:p>
      <w:pPr>
        <w:pStyle w:val="9"/>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在资金管理过程中，还存在预算执行存在偏差、财务管理制度需进一步加强以及财务人员专业知识水平需进一步提高等问题。</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widowControl/>
        <w:ind w:firstLine="640" w:firstLineChars="200"/>
        <w:jc w:val="left"/>
        <w:rPr>
          <w:rFonts w:hint="eastAsia" w:ascii="仿宋" w:hAnsi="仿宋" w:eastAsia="仿宋" w:cs="仿宋"/>
          <w:color w:val="000000"/>
          <w:kern w:val="0"/>
          <w:sz w:val="32"/>
          <w:szCs w:val="32"/>
        </w:rPr>
      </w:pPr>
      <w:bookmarkStart w:id="1" w:name="_GoBack"/>
      <w:bookmarkEnd w:id="1"/>
      <w:r>
        <w:rPr>
          <w:rFonts w:hint="eastAsia" w:ascii="仿宋" w:hAnsi="仿宋" w:eastAsia="仿宋" w:cs="仿宋"/>
          <w:sz w:val="32"/>
          <w:szCs w:val="32"/>
        </w:rPr>
        <w:t>1、财政拨款收入：指县财政当年拨付的资金。</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2、基本支出：指部门为保障其机构正常运转、完成日常工作任务的年度基本支出，包括人员经费和公用经费两部分。</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rFonts w:hint="eastAsia" w:ascii="仿宋" w:hAnsi="仿宋" w:eastAsia="仿宋" w:cs="仿宋"/>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98B64"/>
    <w:multiLevelType w:val="singleLevel"/>
    <w:tmpl w:val="FE398B64"/>
    <w:lvl w:ilvl="0" w:tentative="0">
      <w:start w:val="5"/>
      <w:numFmt w:val="decimal"/>
      <w:suff w:val="nothing"/>
      <w:lvlText w:val="%1、"/>
      <w:lvlJc w:val="left"/>
    </w:lvl>
  </w:abstractNum>
  <w:abstractNum w:abstractNumId="1">
    <w:nsid w:val="5E920691"/>
    <w:multiLevelType w:val="singleLevel"/>
    <w:tmpl w:val="5E920691"/>
    <w:lvl w:ilvl="0" w:tentative="0">
      <w:start w:val="18"/>
      <w:numFmt w:val="decimal"/>
      <w:suff w:val="nothing"/>
      <w:lvlText w:val="%1、"/>
      <w:lvlJc w:val="left"/>
    </w:lvl>
  </w:abstractNum>
  <w:abstractNum w:abstractNumId="2">
    <w:nsid w:val="5FF81B97"/>
    <w:multiLevelType w:val="singleLevel"/>
    <w:tmpl w:val="5FF81B97"/>
    <w:lvl w:ilvl="0" w:tentative="0">
      <w:start w:val="1"/>
      <w:numFmt w:val="chineseCounting"/>
      <w:suff w:val="nothing"/>
      <w:lvlText w:val="（%1）"/>
      <w:lvlJc w:val="left"/>
      <w:pPr>
        <w:ind w:left="2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991DF6"/>
    <w:rsid w:val="0463358D"/>
    <w:rsid w:val="054E4428"/>
    <w:rsid w:val="05E052E6"/>
    <w:rsid w:val="07F276F1"/>
    <w:rsid w:val="09075414"/>
    <w:rsid w:val="09095E97"/>
    <w:rsid w:val="0B7A3F1D"/>
    <w:rsid w:val="0D67089B"/>
    <w:rsid w:val="11D030AC"/>
    <w:rsid w:val="12AD5BB3"/>
    <w:rsid w:val="17E46617"/>
    <w:rsid w:val="19E15CD8"/>
    <w:rsid w:val="1A7C32E1"/>
    <w:rsid w:val="1B1E5CDF"/>
    <w:rsid w:val="1C1C5131"/>
    <w:rsid w:val="205073BF"/>
    <w:rsid w:val="20AF1FD6"/>
    <w:rsid w:val="2343086A"/>
    <w:rsid w:val="235D5963"/>
    <w:rsid w:val="23E3381B"/>
    <w:rsid w:val="26C06489"/>
    <w:rsid w:val="2EB91363"/>
    <w:rsid w:val="2F674304"/>
    <w:rsid w:val="316E0A4D"/>
    <w:rsid w:val="38894CEA"/>
    <w:rsid w:val="3BFC7A37"/>
    <w:rsid w:val="3E43485C"/>
    <w:rsid w:val="441C6031"/>
    <w:rsid w:val="448C55F6"/>
    <w:rsid w:val="44C71DFF"/>
    <w:rsid w:val="48B00901"/>
    <w:rsid w:val="49DF3F6E"/>
    <w:rsid w:val="4C8C0625"/>
    <w:rsid w:val="4DB6577C"/>
    <w:rsid w:val="508B6E3E"/>
    <w:rsid w:val="529F2863"/>
    <w:rsid w:val="55C628FF"/>
    <w:rsid w:val="5745507E"/>
    <w:rsid w:val="5777D4F5"/>
    <w:rsid w:val="57861C50"/>
    <w:rsid w:val="592B6D29"/>
    <w:rsid w:val="5A903F47"/>
    <w:rsid w:val="5B0D2022"/>
    <w:rsid w:val="5D7D5213"/>
    <w:rsid w:val="5EDD61AF"/>
    <w:rsid w:val="5FC6BB1E"/>
    <w:rsid w:val="5FF720F1"/>
    <w:rsid w:val="611A656F"/>
    <w:rsid w:val="659F2244"/>
    <w:rsid w:val="67B94490"/>
    <w:rsid w:val="67BD603B"/>
    <w:rsid w:val="692C4B8A"/>
    <w:rsid w:val="6BE86FC1"/>
    <w:rsid w:val="6CD20788"/>
    <w:rsid w:val="6E37017A"/>
    <w:rsid w:val="6EF6023C"/>
    <w:rsid w:val="6FA060EB"/>
    <w:rsid w:val="6FE501EB"/>
    <w:rsid w:val="737D59BA"/>
    <w:rsid w:val="7409085D"/>
    <w:rsid w:val="74EB3867"/>
    <w:rsid w:val="77C37683"/>
    <w:rsid w:val="78B36AFA"/>
    <w:rsid w:val="78D57DEC"/>
    <w:rsid w:val="793622EC"/>
    <w:rsid w:val="79FF515B"/>
    <w:rsid w:val="7B0A2A82"/>
    <w:rsid w:val="7BFC15CB"/>
    <w:rsid w:val="7E9F11B4"/>
    <w:rsid w:val="7FC69637"/>
    <w:rsid w:val="7FFDB408"/>
    <w:rsid w:val="B7EFF4AD"/>
    <w:rsid w:val="CBFF70E0"/>
    <w:rsid w:val="EEABED75"/>
    <w:rsid w:val="FB36E1A6"/>
    <w:rsid w:val="FB8D019D"/>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
    <w:unhideWhenUsed/>
    <w:qFormat/>
    <w:uiPriority w:val="99"/>
    <w:pPr>
      <w:tabs>
        <w:tab w:val="center" w:pos="4153"/>
        <w:tab w:val="right" w:pos="8306"/>
      </w:tabs>
      <w:snapToGrid w:val="0"/>
      <w:jc w:val="left"/>
    </w:pPr>
    <w:rPr>
      <w:sz w:val="18"/>
      <w:szCs w:val="18"/>
    </w:rPr>
  </w:style>
  <w:style w:type="paragraph" w:styleId="3">
    <w:name w:val="Balloon Text"/>
    <w:basedOn w:val="1"/>
    <w:link w:val="11"/>
    <w:semiHidden/>
    <w:unhideWhenUsed/>
    <w:qFormat/>
    <w:uiPriority w:val="99"/>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3"/>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cry1416141497</cp:lastModifiedBy>
  <cp:lastPrinted>2023-08-16T01:28:00Z</cp:lastPrinted>
  <dcterms:modified xsi:type="dcterms:W3CDTF">2023-10-12T00:52:16Z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57E30A401E3B4295B244A02A69C29E15_12</vt:lpwstr>
  </property>
</Properties>
</file>