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溆浦县文化旅游广电体育局部门决算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第一部分溆浦县文化旅游广电体育局概况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于2021年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溆浦县文化旅游广电体育局概况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firstLine="0" w:firstLineChars="0"/>
        <w:jc w:val="left"/>
        <w:rPr>
          <w:rFonts w:ascii="黑体" w:hAnsi="黑体" w:eastAsia="黑体"/>
          <w:sz w:val="32"/>
          <w:szCs w:val="32"/>
        </w:rPr>
      </w:pPr>
      <w:r>
        <w:rPr>
          <w:rFonts w:hint="eastAsia" w:ascii="黑体" w:hAnsi="黑体" w:eastAsia="黑体"/>
          <w:sz w:val="32"/>
          <w:szCs w:val="32"/>
        </w:rPr>
        <w:t xml:space="preserve"> 一、</w:t>
      </w:r>
      <w:r>
        <w:rPr>
          <w:rFonts w:ascii="黑体" w:hAnsi="黑体" w:eastAsia="黑体"/>
          <w:sz w:val="32"/>
          <w:szCs w:val="32"/>
        </w:rPr>
        <w:t>部门职责</w:t>
      </w:r>
    </w:p>
    <w:p>
      <w:pPr>
        <w:numPr>
          <w:ilvl w:val="0"/>
          <w:numId w:val="1"/>
        </w:numPr>
        <w:ind w:firstLine="640"/>
        <w:rPr>
          <w:rFonts w:asciiTheme="minorEastAsia" w:hAnsiTheme="minorEastAsia" w:cstheme="minorEastAsia"/>
          <w:sz w:val="32"/>
          <w:szCs w:val="32"/>
        </w:rPr>
      </w:pPr>
      <w:r>
        <w:rPr>
          <w:rFonts w:hint="eastAsia" w:asciiTheme="minorEastAsia" w:hAnsiTheme="minorEastAsia" w:cstheme="minorEastAsia"/>
          <w:sz w:val="32"/>
          <w:szCs w:val="32"/>
        </w:rPr>
        <w:t>贯彻党和国家有关文化、旅游、广播电视、体育工作方针、政策和法律、法规。</w:t>
      </w:r>
    </w:p>
    <w:p>
      <w:pPr>
        <w:numPr>
          <w:ilvl w:val="0"/>
          <w:numId w:val="1"/>
        </w:numPr>
        <w:ind w:firstLine="640"/>
        <w:rPr>
          <w:rFonts w:asciiTheme="minorEastAsia" w:hAnsiTheme="minorEastAsia" w:cstheme="minorEastAsia"/>
          <w:sz w:val="32"/>
          <w:szCs w:val="32"/>
        </w:rPr>
      </w:pPr>
      <w:r>
        <w:rPr>
          <w:rFonts w:hint="eastAsia" w:asciiTheme="minorEastAsia" w:hAnsiTheme="minorEastAsia" w:cstheme="minorEastAsia"/>
          <w:sz w:val="32"/>
          <w:szCs w:val="32"/>
        </w:rPr>
        <w:t>拟订全县文化、旅游、广播电视、体育事业发展规划并指导实施，指导、推进全县文化、旅游、广播电视、体育、文物等事业发展。</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宋体" w:hAnsi="宋体" w:eastAsia="宋体" w:cs="宋体"/>
          <w:kern w:val="0"/>
          <w:sz w:val="32"/>
          <w:szCs w:val="32"/>
        </w:rPr>
      </w:pPr>
      <w:r>
        <w:rPr>
          <w:rFonts w:hint="eastAsia" w:asciiTheme="minorEastAsia" w:hAnsiTheme="minorEastAsia"/>
          <w:bCs/>
          <w:kern w:val="0"/>
          <w:sz w:val="32"/>
          <w:szCs w:val="32"/>
        </w:rPr>
        <w:t>（一）内设机构设置。溆浦县文化旅游广电体育局内设机构包括</w:t>
      </w:r>
      <w:r>
        <w:rPr>
          <w:rFonts w:hint="eastAsia" w:ascii="宋体" w:hAnsi="宋体" w:eastAsia="宋体" w:cs="宋体"/>
          <w:bCs/>
          <w:kern w:val="0"/>
          <w:sz w:val="32"/>
          <w:szCs w:val="32"/>
        </w:rPr>
        <w:t>：</w:t>
      </w:r>
      <w:r>
        <w:rPr>
          <w:rFonts w:hint="eastAsia" w:ascii="宋体" w:hAnsi="宋体" w:eastAsia="宋体" w:cs="宋体"/>
          <w:kern w:val="0"/>
          <w:sz w:val="32"/>
          <w:szCs w:val="32"/>
        </w:rPr>
        <w:t xml:space="preserve">内设4个二级事业单位，分别是县旅游发展事务中心、县业余体校、县文化遗产保护中心、县旅游质量监督所；内设7个职能股室，分别是办公室、产业发展股、政策法规股、文化艺术股、文物保护股、体育股、资源开发与全域旅游推进股。 </w:t>
      </w:r>
    </w:p>
    <w:p>
      <w:pPr>
        <w:widowControl/>
        <w:spacing w:line="600" w:lineRule="exact"/>
        <w:ind w:firstLine="640" w:firstLineChars="200"/>
        <w:rPr>
          <w:rFonts w:ascii="仿宋" w:hAnsi="仿宋" w:eastAsia="仿宋"/>
          <w:bCs/>
          <w:kern w:val="0"/>
          <w:sz w:val="32"/>
          <w:szCs w:val="32"/>
        </w:rPr>
      </w:pPr>
      <w:r>
        <w:rPr>
          <w:rFonts w:hint="eastAsia" w:ascii="宋体" w:hAnsi="宋体" w:eastAsia="宋体" w:cs="宋体"/>
          <w:bCs/>
          <w:kern w:val="0"/>
          <w:sz w:val="32"/>
          <w:szCs w:val="32"/>
        </w:rPr>
        <w:t>（二）决算单位构成。溆浦县文化旅游广电体育局2021年部门决算汇总公开单位构成包括：溆浦县文化旅游广电体育局（本级）。</w:t>
      </w:r>
    </w:p>
    <w:p>
      <w:pPr>
        <w:widowControl/>
        <w:spacing w:line="600" w:lineRule="exact"/>
        <w:ind w:firstLine="640" w:firstLineChars="200"/>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99"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部门：溆浦县文化旅游广电体育局（本级）</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7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519"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267"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295"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3790.71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291.13</w:t>
            </w:r>
          </w:p>
        </w:tc>
      </w:tr>
      <w:tr>
        <w:tblPrEx>
          <w:tblCellMar>
            <w:top w:w="0" w:type="dxa"/>
            <w:left w:w="108" w:type="dxa"/>
            <w:bottom w:w="0" w:type="dxa"/>
            <w:right w:w="108" w:type="dxa"/>
          </w:tblCellMar>
        </w:tblPrEx>
        <w:trPr>
          <w:trHeight w:val="295"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400.83</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1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65"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5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2427.53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17.99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69.52</w:t>
            </w:r>
          </w:p>
        </w:tc>
      </w:tr>
      <w:tr>
        <w:tblPrEx>
          <w:tblCellMar>
            <w:top w:w="0" w:type="dxa"/>
            <w:left w:w="108" w:type="dxa"/>
            <w:bottom w:w="0" w:type="dxa"/>
            <w:right w:w="108" w:type="dxa"/>
          </w:tblCellMar>
        </w:tblPrEx>
        <w:trPr>
          <w:trHeight w:val="237"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19.11</w:t>
            </w:r>
          </w:p>
        </w:tc>
      </w:tr>
      <w:tr>
        <w:tblPrEx>
          <w:tblCellMar>
            <w:top w:w="0" w:type="dxa"/>
            <w:left w:w="108" w:type="dxa"/>
            <w:bottom w:w="0" w:type="dxa"/>
            <w:right w:w="108" w:type="dxa"/>
          </w:tblCellMar>
        </w:tblPrEx>
        <w:trPr>
          <w:trHeight w:val="31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292.00</w:t>
            </w:r>
          </w:p>
        </w:tc>
      </w:tr>
      <w:tr>
        <w:tblPrEx>
          <w:tblCellMar>
            <w:top w:w="0" w:type="dxa"/>
            <w:left w:w="108" w:type="dxa"/>
            <w:bottom w:w="0" w:type="dxa"/>
            <w:right w:w="108" w:type="dxa"/>
          </w:tblCellMar>
        </w:tblPrEx>
        <w:trPr>
          <w:trHeight w:val="252"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十、商业服务业等支出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720.00</w:t>
            </w:r>
          </w:p>
        </w:tc>
      </w:tr>
      <w:tr>
        <w:tblPrEx>
          <w:tblCellMar>
            <w:top w:w="0" w:type="dxa"/>
            <w:left w:w="108" w:type="dxa"/>
            <w:bottom w:w="0" w:type="dxa"/>
            <w:right w:w="108" w:type="dxa"/>
          </w:tblCellMar>
        </w:tblPrEx>
        <w:trPr>
          <w:trHeight w:val="237"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十一、住房保障支出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16.40</w:t>
            </w:r>
          </w:p>
        </w:tc>
      </w:tr>
      <w:tr>
        <w:tblPrEx>
          <w:tblCellMar>
            <w:top w:w="0" w:type="dxa"/>
            <w:left w:w="108" w:type="dxa"/>
            <w:bottom w:w="0" w:type="dxa"/>
            <w:right w:w="108" w:type="dxa"/>
          </w:tblCellMar>
        </w:tblPrEx>
        <w:trPr>
          <w:trHeight w:val="252"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十二、其他支出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416.83</w:t>
            </w:r>
          </w:p>
        </w:tc>
      </w:tr>
      <w:tr>
        <w:tblPrEx>
          <w:tblCellMar>
            <w:top w:w="0" w:type="dxa"/>
            <w:left w:w="108" w:type="dxa"/>
            <w:bottom w:w="0" w:type="dxa"/>
            <w:right w:w="108" w:type="dxa"/>
          </w:tblCellMar>
        </w:tblPrEx>
        <w:trPr>
          <w:trHeight w:val="28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4209.53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4252.51</w:t>
            </w:r>
          </w:p>
        </w:tc>
      </w:tr>
      <w:tr>
        <w:tblPrEx>
          <w:tblCellMar>
            <w:top w:w="0" w:type="dxa"/>
            <w:left w:w="108" w:type="dxa"/>
            <w:bottom w:w="0" w:type="dxa"/>
            <w:right w:w="108" w:type="dxa"/>
          </w:tblCellMar>
        </w:tblPrEx>
        <w:trPr>
          <w:trHeight w:val="31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8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85.01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42.03</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4294.54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rPr>
              <w:t>4294.54</w:t>
            </w:r>
          </w:p>
        </w:tc>
      </w:tr>
      <w:tr>
        <w:tblPrEx>
          <w:tblCellMar>
            <w:top w:w="0" w:type="dxa"/>
            <w:left w:w="108" w:type="dxa"/>
            <w:bottom w:w="0" w:type="dxa"/>
            <w:right w:w="108" w:type="dxa"/>
          </w:tblCellMar>
        </w:tblPrEx>
        <w:trPr>
          <w:trHeight w:val="277"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4720" w:type="dxa"/>
        <w:tblInd w:w="0" w:type="dxa"/>
        <w:tblLayout w:type="fixed"/>
        <w:tblCellMar>
          <w:top w:w="0" w:type="dxa"/>
          <w:left w:w="0" w:type="dxa"/>
          <w:bottom w:w="0" w:type="dxa"/>
          <w:right w:w="0" w:type="dxa"/>
        </w:tblCellMar>
      </w:tblPr>
      <w:tblGrid>
        <w:gridCol w:w="50"/>
        <w:gridCol w:w="1938"/>
        <w:gridCol w:w="3185"/>
        <w:gridCol w:w="2218"/>
        <w:gridCol w:w="2174"/>
        <w:gridCol w:w="1169"/>
        <w:gridCol w:w="809"/>
        <w:gridCol w:w="747"/>
        <w:gridCol w:w="575"/>
        <w:gridCol w:w="1855"/>
      </w:tblGrid>
      <w:tr>
        <w:tblPrEx>
          <w:tblCellMar>
            <w:top w:w="0" w:type="dxa"/>
            <w:left w:w="0" w:type="dxa"/>
            <w:bottom w:w="0" w:type="dxa"/>
            <w:right w:w="0" w:type="dxa"/>
          </w:tblCellMar>
        </w:tblPrEx>
        <w:trPr>
          <w:trHeight w:val="435" w:hRule="atLeast"/>
        </w:trPr>
        <w:tc>
          <w:tcPr>
            <w:tcW w:w="1472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9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187"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sz w:val="15"/>
                <w:szCs w:val="15"/>
              </w:rPr>
              <w:t>溆浦县文化旅游广电体育局（本级）　</w:t>
            </w:r>
          </w:p>
        </w:tc>
        <w:tc>
          <w:tcPr>
            <w:tcW w:w="22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8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16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2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8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7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5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98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18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18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16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2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1</w:t>
            </w:r>
          </w:p>
        </w:tc>
        <w:tc>
          <w:tcPr>
            <w:tcW w:w="21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w:t>
            </w:r>
          </w:p>
        </w:tc>
        <w:tc>
          <w:tcPr>
            <w:tcW w:w="11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3</w:t>
            </w:r>
          </w:p>
        </w:tc>
        <w:tc>
          <w:tcPr>
            <w:tcW w:w="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4</w:t>
            </w:r>
          </w:p>
        </w:tc>
        <w:tc>
          <w:tcPr>
            <w:tcW w:w="7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5</w:t>
            </w:r>
          </w:p>
        </w:tc>
        <w:tc>
          <w:tcPr>
            <w:tcW w:w="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6</w:t>
            </w:r>
          </w:p>
        </w:tc>
        <w:tc>
          <w:tcPr>
            <w:tcW w:w="18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16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4209.53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4191.54</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17.99</w:t>
            </w: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一般公共服务支出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291.13</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291.13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20104</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发展与改革事务</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291.13</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291.13</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2010499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其他发展与改革事务支出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291.13</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291.13</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文化旅游体育与传媒支出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2400.54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2382.56</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17.99</w:t>
            </w: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文化和旅游</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1742.76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1724.78</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17.99</w:t>
            </w: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2070101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492.58</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474.60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17.99</w:t>
            </w: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2070105</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文化展示及纪念机构</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23.70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23.70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342"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2070108</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文化活动</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44.73</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44.73</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2070109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群众文化</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1.45</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1.45</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2070113</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旅游宣传</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8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2070199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其他文化和旅游支出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1177.30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1177.30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20702</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文物</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332.74</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332.74</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2070204</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文物保护</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299.58</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299.58</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2070299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其他文物支出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33.15</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33.15</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20703</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体育</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94.76</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94.76</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2070399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其他体育支出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94.76</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94.76</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20708</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广播电视</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7.20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7.20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2070899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其他广播电视支出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7.20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7.20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其他文化旅游体育与传媒支出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223.09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223.09</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2079999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其他文化旅游体育与传媒支出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223.09</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223.09</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69.52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69.52</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行政事业单位养老支出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44.16</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44.16</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2080505</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机关事业单位基本养老保险缴费支出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44.16</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44.16</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20808</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抚恤</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25.36</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25.36</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2080801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死亡抚恤</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25.36</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25.36</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卫生健康支出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19.11</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19.11</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行政事业单位医疗</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19.11</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19.11</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2101101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行政单位医疗</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11.09</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11.09</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2101102</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事业单位医疗</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8.02</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8.02</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农林水支出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292.00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292.00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21305</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扶贫</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292.00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292.00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2130501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2130504</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农村基础设施建设</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230.00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230.00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2130505</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生产发展</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50.00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50.00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其他扶贫支出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商业服务业等支出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720.00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720.00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21602</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商业流通事务</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200.00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2160299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其他商业流通事务支出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200.00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其他商业服务业等支出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520.00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520.00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2169999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其他商业服务业等支出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520.00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520.00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16.40 </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16.40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住房改革支出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16.40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16.40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2210201</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住房公积金</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16.40</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16.40</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229</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400.83</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400.83</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22960</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彩票公益金安排的支出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400.83</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400.83</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2296003</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用于体育事业的彩票公益金支出</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 xml:space="preserve"> 400.83</w:t>
            </w: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400.83</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450" w:hRule="atLeas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31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21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c>
          <w:tcPr>
            <w:tcW w:w="18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heme="minorEastAsia" w:hAnsiTheme="minorEastAsia" w:cstheme="minorEastAsia"/>
                <w:szCs w:val="21"/>
              </w:rPr>
            </w:pPr>
          </w:p>
        </w:tc>
      </w:tr>
      <w:tr>
        <w:tblPrEx>
          <w:tblCellMar>
            <w:top w:w="0" w:type="dxa"/>
            <w:left w:w="0" w:type="dxa"/>
            <w:bottom w:w="0" w:type="dxa"/>
            <w:right w:w="0" w:type="dxa"/>
          </w:tblCellMar>
        </w:tblPrEx>
        <w:trPr>
          <w:trHeight w:val="615" w:hRule="atLeast"/>
        </w:trPr>
        <w:tc>
          <w:tcPr>
            <w:tcW w:w="1472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722" w:type="dxa"/>
        <w:tblInd w:w="93" w:type="dxa"/>
        <w:tblLayout w:type="fixed"/>
        <w:tblCellMar>
          <w:top w:w="0" w:type="dxa"/>
          <w:left w:w="108" w:type="dxa"/>
          <w:bottom w:w="0" w:type="dxa"/>
          <w:right w:w="108" w:type="dxa"/>
        </w:tblCellMar>
      </w:tblPr>
      <w:tblGrid>
        <w:gridCol w:w="4011"/>
        <w:gridCol w:w="236"/>
        <w:gridCol w:w="240"/>
        <w:gridCol w:w="3934"/>
        <w:gridCol w:w="1448"/>
        <w:gridCol w:w="1201"/>
        <w:gridCol w:w="1448"/>
        <w:gridCol w:w="703"/>
        <w:gridCol w:w="703"/>
        <w:gridCol w:w="1798"/>
      </w:tblGrid>
      <w:tr>
        <w:tblPrEx>
          <w:tblCellMar>
            <w:top w:w="0" w:type="dxa"/>
            <w:left w:w="108" w:type="dxa"/>
            <w:bottom w:w="0" w:type="dxa"/>
            <w:right w:w="108" w:type="dxa"/>
          </w:tblCellMar>
        </w:tblPrEx>
        <w:trPr>
          <w:trHeight w:val="390" w:hRule="atLeast"/>
        </w:trPr>
        <w:tc>
          <w:tcPr>
            <w:tcW w:w="15722"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40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55" w:hRule="atLeast"/>
        </w:trPr>
        <w:tc>
          <w:tcPr>
            <w:tcW w:w="4016" w:type="dxa"/>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部门：溆浦县文化旅游广电体育局（本级）</w:t>
            </w: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84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4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20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44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70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70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447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938"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12" w:hRule="atLeast"/>
        </w:trPr>
        <w:tc>
          <w:tcPr>
            <w:tcW w:w="447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938"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12" w:hRule="atLeast"/>
        </w:trPr>
        <w:tc>
          <w:tcPr>
            <w:tcW w:w="447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938"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841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4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0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4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0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0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308" w:hRule="atLeast"/>
        </w:trPr>
        <w:tc>
          <w:tcPr>
            <w:tcW w:w="841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4,252.51</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949.23</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3,303.29</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发展与改革事务</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其他发展与改革事务支出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文化旅游体育与传媒支出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2,427.53</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832.20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1,595.33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文化和旅游</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1,769.75</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715.22</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1,054.53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2070101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500.07</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500.07</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2070105</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文化展示及纪念机构</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23.70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20.70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2070108</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文化活动</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44.73</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44.73</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2070109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群众文化</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2070111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文化创作与保护</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2070113</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旅游宣传</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其他文化和旅游支出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1,177.30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125.77</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1,051.53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20702</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文物</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332.74</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33.15</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299.58</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2070204</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文物保护</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299.58</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299.58</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2070299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其他文物支出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33.15</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33.15</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20703</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体育</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94.76</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11.94</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82.82</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2070399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其他体育支出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94.76</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11.94</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82.82</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20708</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广播电视</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2070899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其他广播电视支出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其他文化旅游体育与传媒支出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223.09</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64.70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158.40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2079999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其他文化旅游体育与传媒支出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223.09</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64.70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158.40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69.52</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69.52</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44.16</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44.16</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44.16</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44.16</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抚恤</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25.36</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25.36</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2080801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死亡抚恤</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25.36</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25.36</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19.11</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19.11</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19.11</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19.11</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11.09</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11.09</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8.02</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8.02</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292.00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扶贫</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292.00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2130504</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230.00</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2130505</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生产发展</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其他扶贫支出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商业服务业等支出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720.00</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21602</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商业流通事务</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2160299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其他商业流通事务支出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其他商业服务业等支出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520.00</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2169999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其他商业服务业等支出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520.00</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520.00</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4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416.83</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416.83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22960</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彩票公益金安排的支出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416.83</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416.83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4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2296003</w:t>
            </w:r>
          </w:p>
        </w:tc>
        <w:tc>
          <w:tcPr>
            <w:tcW w:w="39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用于体育事业的彩票公益金支出</w:t>
            </w: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416.83</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44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416.83</w:t>
            </w: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15722"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r>
        <w:tblPrEx>
          <w:tblCellMar>
            <w:top w:w="0" w:type="dxa"/>
            <w:left w:w="108" w:type="dxa"/>
            <w:bottom w:w="0" w:type="dxa"/>
            <w:right w:w="108" w:type="dxa"/>
          </w:tblCellMar>
        </w:tblPrEx>
        <w:trPr>
          <w:trHeight w:val="255" w:hRule="atLeast"/>
        </w:trPr>
        <w:tc>
          <w:tcPr>
            <w:tcW w:w="40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pPr>
              <w:rPr>
                <w:rFonts w:ascii="Arial" w:hAnsi="Arial" w:cs="Arial"/>
                <w:color w:val="000000"/>
                <w:sz w:val="20"/>
                <w:szCs w:val="20"/>
              </w:rPr>
            </w:pP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474"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0"/>
                <w:szCs w:val="20"/>
                <w:lang w:val="en-US" w:eastAsia="zh-CN"/>
              </w:rPr>
              <w:t xml:space="preserve">                                                                                                                                              </w:t>
            </w:r>
            <w:r>
              <w:rPr>
                <w:rFonts w:hint="eastAsia" w:ascii="华文中宋" w:hAnsi="华文中宋" w:eastAsia="华文中宋"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溆浦县文化旅游广电体育局（本级）</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75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25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3790.71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291.13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291.13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400.83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6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6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0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9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2409.55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2409.55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1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69.52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69.52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19.11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19.11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8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1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16.40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16.40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416.83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416.83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4191.54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4234.53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3817.70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416.83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25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85.01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42.03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8.03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5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35.01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50.00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99"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1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4276.55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4276.55</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3825.73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450.83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4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ind w:firstLine="3600" w:firstLineChars="1000"/>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tbl>
      <w:tblPr>
        <w:tblStyle w:val="7"/>
        <w:tblW w:w="15814" w:type="dxa"/>
        <w:tblInd w:w="0" w:type="dxa"/>
        <w:tblLayout w:type="fixed"/>
        <w:tblCellMar>
          <w:top w:w="0" w:type="dxa"/>
          <w:left w:w="108" w:type="dxa"/>
          <w:bottom w:w="0" w:type="dxa"/>
          <w:right w:w="108" w:type="dxa"/>
        </w:tblCellMar>
      </w:tblPr>
      <w:tblGrid>
        <w:gridCol w:w="94"/>
        <w:gridCol w:w="1175"/>
        <w:gridCol w:w="2837"/>
        <w:gridCol w:w="236"/>
        <w:gridCol w:w="111"/>
        <w:gridCol w:w="129"/>
        <w:gridCol w:w="1170"/>
        <w:gridCol w:w="719"/>
        <w:gridCol w:w="1252"/>
        <w:gridCol w:w="979"/>
        <w:gridCol w:w="579"/>
        <w:gridCol w:w="644"/>
        <w:gridCol w:w="574"/>
        <w:gridCol w:w="146"/>
        <w:gridCol w:w="1469"/>
        <w:gridCol w:w="2576"/>
        <w:gridCol w:w="1124"/>
      </w:tblGrid>
      <w:tr>
        <w:tblPrEx>
          <w:tblCellMar>
            <w:top w:w="0" w:type="dxa"/>
            <w:left w:w="108" w:type="dxa"/>
            <w:bottom w:w="0" w:type="dxa"/>
            <w:right w:w="108" w:type="dxa"/>
          </w:tblCellMar>
        </w:tblPrEx>
        <w:trPr>
          <w:gridBefore w:val="1"/>
          <w:gridAfter w:val="2"/>
          <w:wBefore w:w="93" w:type="dxa"/>
          <w:wAfter w:w="3704" w:type="dxa"/>
          <w:trHeight w:val="255" w:hRule="atLeast"/>
        </w:trPr>
        <w:tc>
          <w:tcPr>
            <w:tcW w:w="401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4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6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16"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gridBefore w:val="1"/>
          <w:gridAfter w:val="2"/>
          <w:wBefore w:w="93" w:type="dxa"/>
          <w:wAfter w:w="3704" w:type="dxa"/>
          <w:trHeight w:val="255" w:hRule="atLeast"/>
        </w:trPr>
        <w:tc>
          <w:tcPr>
            <w:tcW w:w="4016" w:type="dxa"/>
            <w:gridSpan w:val="2"/>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部门：溆浦县文化旅游广电体育局（本级）</w:t>
            </w: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4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6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16"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762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39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108" w:type="dxa"/>
            <w:bottom w:w="0" w:type="dxa"/>
            <w:right w:w="108" w:type="dxa"/>
          </w:tblCellMar>
        </w:tblPrEx>
        <w:trPr>
          <w:gridBefore w:val="1"/>
          <w:gridAfter w:val="2"/>
          <w:wBefore w:w="93" w:type="dxa"/>
          <w:wAfter w:w="3704" w:type="dxa"/>
          <w:trHeight w:val="312" w:hRule="atLeast"/>
        </w:trPr>
        <w:tc>
          <w:tcPr>
            <w:tcW w:w="4478" w:type="dxa"/>
            <w:gridSpan w:val="5"/>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44" w:type="dxa"/>
            <w:gridSpan w:val="3"/>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56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1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616"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gridBefore w:val="1"/>
          <w:gridAfter w:val="2"/>
          <w:wBefore w:w="93" w:type="dxa"/>
          <w:wAfter w:w="3704" w:type="dxa"/>
          <w:trHeight w:val="312" w:hRule="atLeast"/>
        </w:trPr>
        <w:tc>
          <w:tcPr>
            <w:tcW w:w="4478" w:type="dxa"/>
            <w:gridSpan w:val="5"/>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144" w:type="dxa"/>
            <w:gridSpan w:val="3"/>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56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9"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1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12" w:hRule="atLeast"/>
        </w:trPr>
        <w:tc>
          <w:tcPr>
            <w:tcW w:w="4478" w:type="dxa"/>
            <w:gridSpan w:val="5"/>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144" w:type="dxa"/>
            <w:gridSpan w:val="3"/>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56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9"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1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7622" w:type="dxa"/>
            <w:gridSpan w:val="8"/>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7622" w:type="dxa"/>
            <w:gridSpan w:val="8"/>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3,817.70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931.24</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2,886.46</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发展与改革事务</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2010499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其他发展与改革事务支出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291.13</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文化旅游体育与传媒支出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2,409.55</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814.22</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1,595.33</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文化和旅游</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1,751.76</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697.23</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1,054.53</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2070101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482.09</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482.09</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2070105</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文化展示及纪念机构</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23.70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20.70</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2070108</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文化活动</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44.73</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44.73</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2070109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群众文化</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2070111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文化创作与保护</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19.50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2070113</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旅游宣传</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2070199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其他文化和旅游支出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1,177.30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125.77</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1,051.53</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20702</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文物</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332.74</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33.15</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299.58</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2070204</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文物保护</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299.58</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299.58</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2070299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其他文物支出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33.15</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33.15</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20703</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体育</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94.76</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11.94</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82.82</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2070399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其他体育支出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94.76</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11.94</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82.82</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20708</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广播电视</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2070899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其他广播电视支出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其他文化旅游体育与传媒支出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223.09</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64.70</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158.40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2079999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其他文化旅游体育与传媒支出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223.09</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64.70</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158.40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69.52</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69.52</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44.16</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44.16</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44.16</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44.16</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抚恤</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25.36</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25.36</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2080801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死亡抚恤</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25.36</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25.36</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19.11</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19.11</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19.11</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19.11</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11.09</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11.09</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8.02</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8.02</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292.00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扶贫</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292.00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2130504</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230.00</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2130505</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生产发展</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其他扶贫支出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商业服务业等支出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720.00</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21602</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商业流通事务</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2160299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其他商业流通事务支出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其他商业服务业等支出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520.00</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2169999</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其他商业服务业等支出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520.00</w:t>
            </w:r>
          </w:p>
        </w:tc>
        <w:tc>
          <w:tcPr>
            <w:tcW w:w="121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520.00</w:t>
            </w: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44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3144" w:type="dxa"/>
            <w:gridSpan w:val="3"/>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156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219"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16.40</w:t>
            </w: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Before w:val="1"/>
          <w:gridAfter w:val="2"/>
          <w:wBefore w:w="93" w:type="dxa"/>
          <w:wAfter w:w="3704" w:type="dxa"/>
          <w:trHeight w:val="308" w:hRule="atLeast"/>
        </w:trPr>
        <w:tc>
          <w:tcPr>
            <w:tcW w:w="12017" w:type="dxa"/>
            <w:gridSpan w:val="14"/>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注：本表反映部门本年度一般公共预算财政拨款支出情况。</w:t>
            </w:r>
          </w:p>
        </w:tc>
      </w:tr>
      <w:tr>
        <w:tblPrEx>
          <w:tblCellMar>
            <w:top w:w="0" w:type="dxa"/>
            <w:left w:w="108" w:type="dxa"/>
            <w:bottom w:w="0" w:type="dxa"/>
            <w:right w:w="108" w:type="dxa"/>
          </w:tblCellMar>
        </w:tblPrEx>
        <w:trPr>
          <w:gridBefore w:val="1"/>
          <w:gridAfter w:val="2"/>
          <w:wBefore w:w="93" w:type="dxa"/>
          <w:wAfter w:w="3704" w:type="dxa"/>
          <w:trHeight w:val="255" w:hRule="atLeast"/>
        </w:trPr>
        <w:tc>
          <w:tcPr>
            <w:tcW w:w="401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4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6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1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gridBefore w:val="1"/>
          <w:gridAfter w:val="2"/>
          <w:wBefore w:w="93" w:type="dxa"/>
          <w:wAfter w:w="3704" w:type="dxa"/>
          <w:trHeight w:val="255" w:hRule="atLeast"/>
        </w:trPr>
        <w:tc>
          <w:tcPr>
            <w:tcW w:w="401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44"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6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1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0" w:hRule="atLeast"/>
        </w:trPr>
        <w:tc>
          <w:tcPr>
            <w:tcW w:w="15814" w:type="dxa"/>
            <w:gridSpan w:val="17"/>
            <w:tcBorders>
              <w:top w:val="nil"/>
              <w:left w:val="nil"/>
              <w:bottom w:val="nil"/>
              <w:right w:val="nil"/>
            </w:tcBorders>
            <w:shd w:val="clear" w:color="auto" w:fill="auto"/>
            <w:noWrap/>
            <w:vAlign w:val="center"/>
          </w:tcPr>
          <w:p>
            <w:pPr>
              <w:widowControl/>
              <w:ind w:firstLine="3640" w:firstLineChars="1300"/>
              <w:rPr>
                <w:rFonts w:ascii="华文中宋" w:hAnsi="华文中宋" w:eastAsia="华文中宋" w:cs="宋体"/>
                <w:color w:val="000000"/>
                <w:kern w:val="0"/>
                <w:sz w:val="28"/>
                <w:szCs w:val="28"/>
              </w:rPr>
            </w:pPr>
            <w:bookmarkStart w:id="2" w:name="RANGE!A1:I34"/>
            <w:r>
              <w:rPr>
                <w:rFonts w:hint="eastAsia" w:ascii="华文中宋" w:hAnsi="华文中宋" w:eastAsia="华文中宋" w:cs="宋体"/>
                <w:color w:val="000000"/>
                <w:kern w:val="0"/>
                <w:sz w:val="28"/>
                <w:szCs w:val="28"/>
              </w:rPr>
              <w:t>一般公共预算财政拨款基本支出决算表</w:t>
            </w:r>
            <w:bookmarkEnd w:id="2"/>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溆浦县文化旅游广电体育局（本级）                                                                                                 公开06表</w:t>
            </w:r>
          </w:p>
          <w:p>
            <w:pPr>
              <w:widowControl/>
              <w:ind w:right="105"/>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8" w:hRule="atLeast"/>
        </w:trPr>
        <w:tc>
          <w:tcPr>
            <w:tcW w:w="1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7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406.21</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center"/>
              <w:rPr>
                <w:rFonts w:ascii="宋体" w:hAnsi="宋体" w:eastAsia="宋体" w:cs="宋体"/>
                <w:color w:val="000000"/>
                <w:kern w:val="0"/>
                <w:szCs w:val="20"/>
              </w:rPr>
            </w:pPr>
            <w:r>
              <w:rPr>
                <w:rFonts w:hint="eastAsia" w:ascii="宋体" w:hAnsi="宋体" w:eastAsia="宋体" w:cs="宋体"/>
                <w:color w:val="000000"/>
                <w:kern w:val="0"/>
                <w:szCs w:val="20"/>
              </w:rPr>
              <w:t>484.68</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25"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158.56</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6.11</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79.88</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7.78</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奖金</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center"/>
              <w:rPr>
                <w:rFonts w:ascii="宋体" w:hAnsi="宋体" w:eastAsia="宋体" w:cs="宋体"/>
                <w:color w:val="000000"/>
                <w:kern w:val="0"/>
                <w:szCs w:val="20"/>
              </w:rPr>
            </w:pPr>
            <w:r>
              <w:rPr>
                <w:rFonts w:hint="eastAsia" w:ascii="宋体" w:hAnsi="宋体" w:eastAsia="宋体" w:cs="宋体"/>
                <w:color w:val="000000"/>
                <w:kern w:val="0"/>
                <w:szCs w:val="20"/>
              </w:rPr>
              <w:t>72.59</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咨询费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center"/>
              <w:rPr>
                <w:rFonts w:ascii="宋体" w:hAnsi="宋体" w:eastAsia="宋体" w:cs="宋体"/>
                <w:color w:val="000000"/>
                <w:kern w:val="0"/>
                <w:szCs w:val="20"/>
              </w:rPr>
            </w:pPr>
            <w:r>
              <w:rPr>
                <w:rFonts w:hint="eastAsia" w:ascii="宋体" w:hAnsi="宋体" w:eastAsia="宋体" w:cs="宋体"/>
                <w:color w:val="000000"/>
                <w:kern w:val="0"/>
                <w:szCs w:val="20"/>
              </w:rPr>
              <w:t>51.50</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25"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1.22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13.16</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0.09</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25"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1.22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44.16</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2.58</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1.53</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19.11</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0.81</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2.36</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54.34</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16.40</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8.23</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25"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4.98</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39.14</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3.40</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5.34</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5.00</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19.00</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24.22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12.39</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28.98</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103.77</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rPr>
                <w:rFonts w:ascii="宋体" w:hAnsi="宋体" w:eastAsia="宋体" w:cs="宋体"/>
                <w:color w:val="000000"/>
                <w:kern w:val="0"/>
                <w:szCs w:val="20"/>
              </w:rPr>
            </w:pPr>
            <w:r>
              <w:rPr>
                <w:rFonts w:hint="eastAsia" w:ascii="宋体" w:hAnsi="宋体" w:eastAsia="宋体" w:cs="宋体"/>
                <w:color w:val="000000"/>
                <w:kern w:val="0"/>
                <w:szCs w:val="20"/>
              </w:rPr>
              <w:t>12.14</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2.53</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0.50</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9"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44.91</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7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3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123.69</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444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445.34</w:t>
            </w:r>
          </w:p>
        </w:tc>
        <w:tc>
          <w:tcPr>
            <w:tcW w:w="894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485.90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4" w:hRule="exact"/>
        </w:trPr>
        <w:tc>
          <w:tcPr>
            <w:tcW w:w="15814"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ind w:firstLine="4680" w:firstLineChars="1300"/>
        <w:rPr>
          <w:rFonts w:ascii="Times New Roman" w:hAnsi="Times New Roman" w:eastAsia="方正小标宋_GBK" w:cs="Times New Roman"/>
          <w:kern w:val="0"/>
          <w:sz w:val="36"/>
          <w:szCs w:val="36"/>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溆浦县文化旅游广电体育局（本级）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溆浦县文化旅游广电体育局（本级）</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523"/>
        <w:gridCol w:w="1797"/>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643"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179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52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797"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523" w:type="dxa"/>
            <w:vMerge w:val="continue"/>
            <w:vAlign w:val="center"/>
          </w:tcPr>
          <w:p>
            <w:pPr>
              <w:widowControl/>
              <w:jc w:val="left"/>
              <w:rPr>
                <w:rFonts w:ascii="Times New Roman" w:hAnsi="Times New Roman" w:eastAsia="仿宋_GB2312" w:cs="Times New Roman"/>
                <w:kern w:val="0"/>
                <w:szCs w:val="21"/>
              </w:rPr>
            </w:pPr>
          </w:p>
        </w:tc>
        <w:tc>
          <w:tcPr>
            <w:tcW w:w="179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523" w:type="dxa"/>
            <w:vMerge w:val="continue"/>
            <w:vAlign w:val="center"/>
          </w:tcPr>
          <w:p>
            <w:pPr>
              <w:widowControl/>
              <w:jc w:val="left"/>
              <w:rPr>
                <w:rFonts w:ascii="Times New Roman" w:hAnsi="Times New Roman" w:eastAsia="仿宋_GB2312" w:cs="Times New Roman"/>
                <w:kern w:val="0"/>
                <w:szCs w:val="21"/>
              </w:rPr>
            </w:pPr>
          </w:p>
        </w:tc>
        <w:tc>
          <w:tcPr>
            <w:tcW w:w="179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64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9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64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97"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400.83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416.83</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416.83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229</w:t>
            </w:r>
          </w:p>
        </w:tc>
        <w:tc>
          <w:tcPr>
            <w:tcW w:w="15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其他支出</w:t>
            </w:r>
          </w:p>
        </w:tc>
        <w:tc>
          <w:tcPr>
            <w:tcW w:w="1797"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400.83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416.83</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416.83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22960</w:t>
            </w:r>
          </w:p>
        </w:tc>
        <w:tc>
          <w:tcPr>
            <w:tcW w:w="15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彩票公益金安排的支出</w:t>
            </w:r>
          </w:p>
        </w:tc>
        <w:tc>
          <w:tcPr>
            <w:tcW w:w="1797"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400.83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416.83</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416.83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2296003</w:t>
            </w:r>
            <w:r>
              <w:rPr>
                <w:rFonts w:ascii="Times New Roman" w:hAnsi="Times New Roman" w:eastAsia="仿宋_GB2312" w:cs="Times New Roman"/>
                <w:kern w:val="0"/>
                <w:szCs w:val="21"/>
              </w:rPr>
              <w:t>　</w:t>
            </w:r>
          </w:p>
        </w:tc>
        <w:tc>
          <w:tcPr>
            <w:tcW w:w="152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用于体育事业的彩票公益金支出</w:t>
            </w:r>
          </w:p>
        </w:tc>
        <w:tc>
          <w:tcPr>
            <w:tcW w:w="1797"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400.83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416.83</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416.83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34.00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2021年度收、支总计4294.54万元。与上年相比，增加2386.26万元，增加125.05%，主要是因为增加了文化旅游建设、文物本体修缮项目等资金的收支。</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2021年度收入合计4209.53万元，其中：财政拨款收入4191.54万元，占99.57%；上级补助收入0万元，占0%；事业收入0万元，占0%；经营收入0万元，占0%；附属单位上缴收入0万元，占0%；其他收入17.99万元，占0.43%。</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本年支出合计4252.51万元，其中：基本支出949.23万元，占22.32%；项目支出3303.29万元，占77.68%；上缴上级支出0万元，占0%；经营支出0万元，占0%；对附属单位补助支出0万元，占0%。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2021年度财政拨款收、支总计4276.55万元，与上年相比，增加2382.21万元,增加125.75%，主要是因为增加了文化旅游建设、文物本体修缮项目等资金的收支。</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2021年度财政拨款支出3817.70万元，占本年支出合计的89.78%，与上年相比，财政拨款支出增加2163.47万元，增加130.78%，主要是因为增加了文化旅游建设、文物本体修缮项目等资金的收支。</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3817.70万元，主要用于以下方面：一般公共服务（类）支出291.13万元，占7.63%；教育（类）支出0万元，占0%;文化旅游体育与传媒支出（类）2409.55万元，占63.12%；社会保障和就业支出（类）69.52万元，占1.82%；卫生健康支出（类）19.11万元，占0.50%;农林水支出（类）292.00万元，占7.65%；商业服务业等支出（类）720.00万元，占18.86%；住房保障支出（类）16.40万元，占0.42%。</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2021年度财政拨款支出年初预算数为1416.75万元，支出决算数为3817.70万元，完成年初预算的269.47%，其中：</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1、一般公共服务（类）发展与改革事务（款）其他发展与改革事务支出（项）。</w:t>
      </w:r>
    </w:p>
    <w:p>
      <w:pPr>
        <w:pStyle w:val="11"/>
        <w:ind w:firstLine="480" w:firstLineChars="1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年初预算为0万元，支出决算为291.13万元，决算数大于年初预算数的主要原因是：增加旅游项目资金支出，年初未列预算。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2、文化旅游体育与传媒支出（类）文化和旅游（款）行政运行（项）。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年初预算为352.69万元，支出决算为482.09万元，完成年初预算的136.69%，决算数大于年初预算数的主要原因是：增加文化旅游体育工作经费，年初未列预算。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3、文化旅游体育与传媒支出（类）文化和旅游（款）一般行政管理事务（文化）（项）。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年初预算为459万元，支出决算为0万元，决算数小于年初预算数的主要原因是：思蒙风雨桥建设经费及旅游工作经费，工程未结算，故未支出。</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4、文化旅游体育与传媒支出（类）文化和旅游（款）文化展示及纪念机构（项）。</w:t>
      </w:r>
    </w:p>
    <w:p>
      <w:pPr>
        <w:pStyle w:val="11"/>
        <w:ind w:firstLine="480" w:firstLineChars="1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年初预算为0万元，支出决算为23.70万元，决算数大于年初预算数的主要原因是：开展文化活动经费，年初未列预算。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5、文化旅游体育与传媒支出（类）文化和旅游（款）文化活动（项）。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年初预算为60万元，支出决算为44.73万元，完成年初预算的74.55%，决算数小于年初预算数的主要原因是：该预算为公益性文化活动经费，经费结转到下年度列支。</w:t>
      </w:r>
    </w:p>
    <w:p>
      <w:pPr>
        <w:pStyle w:val="11"/>
        <w:ind w:left="638" w:leftChars="304"/>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6、文化旅游体育与传媒支出（类）文化和旅游（款）群众文化（项）。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年初预算为0万元，支出决算为1.45万元，决算数大于年初预算数的主要原因是：开展系列群众文化活动，经费年初未列预算。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7、文化旅游体育与传媒支出（类）文化和旅游（款）文化创作与保护（项）。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年初预算为0万元，支出决算为19.50万元，决算数大于年初预算数的主要原因是：上年结余资金，未列预算。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8、文化旅游体育与传媒支出（类）文化和旅游（款）旅游宣传（项）。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年初预算为0万元，支出决算为3万元，决算数大于年初预算数的主要原因是：开展旅游宣传，经费年初未列预算。</w:t>
      </w:r>
    </w:p>
    <w:p>
      <w:pPr>
        <w:pStyle w:val="11"/>
        <w:ind w:left="63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9、文化旅游体育与传媒支出（类）文化和旅游（款）文化和旅游管理事务（项）。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年初预算为10万元，支出决算为0万元，决算数小于年初预算数的主要原因是：旅游联盟会费，财政直接缴纳到市旅游联盟。</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10、文化旅游体育与传媒支出（类）文化和旅游（款）其他文化和旅游支出（项）。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年初预算为70万元，支出决算为1177.30万元，完成年初预算的1681.86%决算数大于年初预算数的主要原因是：增加贫困地区文化器材、总分管制等文化旅游建设项目支出，年初未列入预算。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11、文化旅游体育与传媒支出（类）文物（款）文物保护（项）。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年初预算为24万元，支出决算为299.58万元 ，完成年初预算的1248.25%决算数大于年初预算数的主要原因是：文物本体修缮工程项目，年初未列入预算。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12、文化旅游体育与传媒支出（类）文物（款）其他文物支出（项）。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年初预算为0万元，支出决算为33.15万元 ，决算数大于年初预算数的主要原因是：文物本体修缮项目，年初未列入预算。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13、文化旅游体育与传媒支出（类）文物（款）博物馆（项）。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年初预算为8万元，支出决算为0万元 ，决算数小于年初预算数的主要原因是：该预算为舒新城故居日常管理维护费，经费结转在下年度列支。</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14、文化旅游体育与传媒支出（类）体育（款）其他体育支出（项）。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年初预算为400万元，支出决算为94.76万元，完成年初预算的23.69%，决算数小于年初预算数的主要原因是：年初预算400万元为体彩销售优秀网点奖励金，本年度符合奖励条件的体彩销售网点奖励金未达到。</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15、文化旅游体育与传媒支出（类）广播电视（款）其他广播电视支出（项）。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年初预算为0万元，支出决算为7.2万元，决算数大于年初预算数的主要原因是：户户通工程支出，年初未列预算。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16、文化旅游体育与传媒支出（类）其他文化体育与传媒支出（款）其他文化体育与传媒支出（项）。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年初预算为0万元，支出决算为223.09万元，决算数大于年初预算数的主要原因是：总分管制建设及其他文化体育支出，年初未列预算。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17、社会保障和就业支出（类）行政事业单位养老支出（款）机关事业单位基本养老保险缴费支出（项）。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年初预算为33.06万元，支出决算为44.16万元，完成年初预算的133.58%决算数大于年初预算数的主要原因是：人员调入增加基本养老保险缴费支出。</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18、社会保障和就业支出（类）抚恤（款）死亡抚恤（项）。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年初预算为0万元，支出决算为25.36万元，决算数大于年初预算数的主要原因是：退休人员去世，增加死亡抚恤，年初预算未列预算。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19、卫生健康支出（类）行政事业单位医疗（款）行政单位医疗（项）。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年初预算为0万元，支出决算为11.09万元，决算数大于年初预算数的主要原因是：缴纳医疗保险，年初预算列在行政运行（文化）。</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20、卫生健康支出（类）行政事业单位医疗（款）事业单位医疗（项）。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年初预算为0万元，支出决算为8.02万元，决算数大于年初预算数的主要原因是：缴纳医疗保险，年初预算列在行政运行（文化）。</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21、农林水支出（类）扶贫（款）行政运行（项）。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年初预算为0万元，支出决算为2万元，决算数大于年初预算数的主要原因是：扶贫驻村工作经费，年初未列入预算。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22、农林水支出（类）扶贫（款）农村基础设施建设（项）。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年初预算为0万元，支出决算为230万元，决算数大于年初预算数的主要原因是：增加农村基础设施建设项目支出，年初未列入预算。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23、农林水支出（类）扶贫（款）生产发展（项）。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年初预算为0万元，支出决算为50万元，决算数大于年初预算数的主要原因是：增加花瑶挑花基地建设支出，年初未列预算。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24、农林水支出（类）扶贫（款）其他扶贫支出（项）。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年初预算为0万元，支出决算为10万元，决算数大于年初预算数的主要原因是：增加其他扶贫经费支出，年初未列预算。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25、商业服务业等支出（类）商业流通事务（款）其他商业流通事务支出（项）。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年初预算为0万元，支出决算为200万元，决算数大于年初预算数的主要原因是：增加旅游项目资金支出，年初未列预算。</w:t>
      </w:r>
    </w:p>
    <w:p>
      <w:pPr>
        <w:pStyle w:val="11"/>
        <w:ind w:left="63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26、商业服务业等支出（类）其他商业服务业等支出（款）其他商业服务业等支出（项）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年初预算为0万元，支出决算为520万元，决算数大于年初预算数的主要原因是：增加文化旅游项目资金支出，年初未列预算</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27、住房保障支出（类）住房改革支出（款）住房公积金（项）。</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年初预算为0万元，支出决算为16.40万元，决算数大于年初预算数的主要原因是：住房公积金支出，年初预算列在行政运行（文化）。</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2021年度财政拨款基本支出931.24万元，其中：</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员经费445.34万元，占基本支出的47.82%,主要包括基本工资158.56万元、津贴补贴79.88万元、奖金72.59万元、伙食补助费13.16万元、机关事业单位基本养老保险缴费44.16万元、职工基本医疗保险缴费19.11万元、其他社会保障缴费2.36万元、住房公积金16.40万元、对个人和家庭补助39.14万元；</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用经费485.90万元，占基本支出的52.18%，主要包括办公费6.11万元、印刷费7.78万元、咨询费51.50万元、水费0.09万元、电费2.58万元、邮电费1.53万元、取暖费0.81万元、差旅费54.34万元、维修费8.23万元、租赁费4.98万元、会议费3.40万元，培训费5.34万元，公务接待费5.00万元、专用材料费19.00万元、劳务费28.98万元、委托业务费103.77万元、工会经费12.14万元、福利费0.5万元、其他交通费用44.91万元、其他商品和服务支出123.69万元、办公设备购置1.22万元。</w:t>
      </w:r>
    </w:p>
    <w:p>
      <w:pPr>
        <w:pStyle w:val="11"/>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“三公”经费财政拨款支出预算为5万元，支出决算为5万元，完成预算的100%，其中：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的主要原因是本年度无因公出国（境）费用支出，与上年相比增加0万元，增长0%,主要原因是本年和上年度均无因公出国（境）费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万元，支出决算为5万元，完成预算的100%，决算数等于预算数的主要原因是认真贯彻落实中央“八项规定”精神和厉行节约要求，从严控制公务接待费开支。与上年相比增加4.11万元，增长461%,增加的主要原因是本年度因文化旅游体育文物等各项工作开展的需要，有所增长，公务接待费的支出认真贯彻落实中央“八项规定”精神和厉行节约要求，从严控制，没有超出厉行节约办的控制数。</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公务用车购置费支出预算为0万元，支出决算为0万元，完成预算的0%，决算数等于预算数的主要原因是本年度无公务用车购置支出，与上年相比增加0万元，增长0%,主要原因是本年和上年度均无公务用车购置支出。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公务用车运行维护费支出预算为0万元，支出决算为0万元，完成预算的0%，决算数等于预算数的主要原因是我单位无公务用车，与上年相比增加0万元，增长0%,主要原因是我单位本年和上年度均</w:t>
      </w:r>
      <w:bookmarkStart w:id="3" w:name="_GoBack"/>
      <w:bookmarkEnd w:id="3"/>
      <w:r>
        <w:rPr>
          <w:rFonts w:hint="eastAsia" w:asciiTheme="minorEastAsia" w:hAnsiTheme="minorEastAsia" w:eastAsiaTheme="minorEastAsia"/>
          <w:sz w:val="32"/>
          <w:szCs w:val="32"/>
        </w:rPr>
        <w:t>无公务用车运行维护费支出。</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2021年度“三公”经费财政拨款支出决算中，公务接待费支出决算5.00万元，占100%,因公出国（境）费支出决算0万元，占0%,公务用车购置费及运行维护费支出决算0万元，占0%。其中：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1、因公出国（境）费支出决算为0万元，全年安排因公出国（境）团组0个，累计0人次,无开支内容。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2、公务接待费支出决算为5.00万元，全年共接待来访团组45个、来宾275人次，主要是开展文化旅游体育文物工作发生的接待支出。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3、公务用车购置费及运行维护费支出决算为0万元，其中：公务用车购置费0万元，单位本级更新公务用车0辆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2021年度政府性基金预算财政拨款收入400.83万元；年初结转和结余50万元；支出416.83万元，其中基本支出0万元，项目支出416.83万元；年末结转和结余34万元。</w:t>
      </w:r>
    </w:p>
    <w:p>
      <w:pPr>
        <w:pStyle w:val="11"/>
        <w:numPr>
          <w:ilvl w:val="0"/>
          <w:numId w:val="2"/>
        </w:num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其他支出（类）彩票公益金安排的支出（款）用于体育事业的彩票</w:t>
      </w:r>
    </w:p>
    <w:p>
      <w:pPr>
        <w:pStyle w:val="11"/>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公益金支出（项）</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cstheme="minorEastAsia"/>
          <w:sz w:val="32"/>
          <w:szCs w:val="32"/>
        </w:rPr>
        <w:t>年初预算为0万元，支出决算为416.83万元，决算数大于年初预算数的主要原因是：体育彩票公益金支出，年初未列预算。</w:t>
      </w:r>
    </w:p>
    <w:p>
      <w:pPr>
        <w:pStyle w:val="11"/>
        <w:rPr>
          <w:rFonts w:hAnsi="黑体"/>
          <w:b/>
          <w:sz w:val="32"/>
          <w:szCs w:val="32"/>
        </w:rPr>
      </w:pPr>
      <w:r>
        <w:rPr>
          <w:rFonts w:hint="eastAsia" w:hAnsi="黑体"/>
          <w:b/>
          <w:sz w:val="32"/>
          <w:szCs w:val="32"/>
        </w:rPr>
        <w:t>九、关于机关运行经费支出说明</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sz w:val="32"/>
          <w:szCs w:val="32"/>
        </w:rPr>
        <w:t>本部门2021年度机关运行经费支出485.90万元，比上年决算数增加131.98万元，增加37.30%。主要原因是：我单位因文化旅游体育及文物工作开展的需要，较去年机关运行经费有所增加。</w:t>
      </w:r>
    </w:p>
    <w:p>
      <w:pPr>
        <w:pStyle w:val="11"/>
        <w:rPr>
          <w:rFonts w:hAnsi="黑体"/>
          <w:b/>
          <w:sz w:val="32"/>
          <w:szCs w:val="32"/>
        </w:rPr>
      </w:pPr>
      <w:r>
        <w:rPr>
          <w:rFonts w:hint="eastAsia" w:hAnsi="黑体"/>
          <w:b/>
          <w:sz w:val="32"/>
          <w:szCs w:val="32"/>
        </w:rPr>
        <w:t>十、一般性支出情况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3.4万元，用于召开1次会议，人数200人，内容怀化市旅游营销联盟工作会议；开支培训费5.34万元，用于开展2次培训，人数80人，内容为“三区”人才文艺骨干业务暨非遗培训；举办0次节庆、晚会、论坛、赛事活动，开支0万元。</w:t>
      </w:r>
    </w:p>
    <w:p>
      <w:pPr>
        <w:pStyle w:val="11"/>
        <w:rPr>
          <w:rFonts w:hAnsi="黑体"/>
          <w:b/>
          <w:sz w:val="32"/>
          <w:szCs w:val="32"/>
        </w:rPr>
      </w:pPr>
      <w:r>
        <w:rPr>
          <w:rFonts w:hint="eastAsia" w:hAnsi="黑体"/>
          <w:b/>
          <w:sz w:val="32"/>
          <w:szCs w:val="32"/>
        </w:rPr>
        <w:t>十一、关于政府采购支出说明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2226.20万元，其中：政府采购货物支出651.51万元、政府采购工程支出1574.69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1"/>
        <w:rPr>
          <w:rFonts w:hAnsi="黑体"/>
          <w:b/>
          <w:sz w:val="32"/>
          <w:szCs w:val="32"/>
        </w:rPr>
      </w:pPr>
      <w:r>
        <w:rPr>
          <w:rFonts w:hint="eastAsia" w:hAnsi="黑体"/>
          <w:b/>
          <w:sz w:val="32"/>
          <w:szCs w:val="32"/>
        </w:rPr>
        <w:t>十二、关于国有资产占用情况说明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1"/>
        <w:numPr>
          <w:ilvl w:val="0"/>
          <w:numId w:val="3"/>
        </w:numPr>
        <w:rPr>
          <w:rFonts w:hAnsi="黑体"/>
          <w:b/>
          <w:sz w:val="32"/>
          <w:szCs w:val="32"/>
        </w:rPr>
      </w:pPr>
      <w:r>
        <w:rPr>
          <w:rFonts w:hint="eastAsia" w:hAnsi="黑体"/>
          <w:b/>
          <w:sz w:val="32"/>
          <w:szCs w:val="32"/>
        </w:rPr>
        <w:t>关于2021年度预算绩效情况的说明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年度一般公共预算项目支出全面开展绩效自评，其中，一级项目8个，二级项目0个，共涉及资金1031万元，占一般公共预算项目支出总额的100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ind w:firstLine="640" w:firstLineChars="200"/>
        <w:rPr>
          <w:rFonts w:ascii="宋体" w:hAnsi="宋体" w:eastAsia="宋体" w:cs="宋体"/>
          <w:sz w:val="32"/>
          <w:szCs w:val="32"/>
        </w:rPr>
      </w:pPr>
      <w:r>
        <w:rPr>
          <w:rFonts w:hint="eastAsia" w:cs="黑体" w:asciiTheme="minorEastAsia" w:hAnsiTheme="minorEastAsia"/>
          <w:color w:val="000000"/>
          <w:kern w:val="0"/>
          <w:sz w:val="32"/>
          <w:szCs w:val="32"/>
        </w:rPr>
        <w:t>组织对“旅游工作专项经费”“文化体育艺术活动经费”等8个项目开展了部门评价，涉及一般公共预算支出1031万元，政府性基金预算支出0万元，国有资本经营预算支出0万元。从评价情况来看，我单位从项目申报、项目管理、项目完成、项目绩效等方面，开展项目支出预算绩效评价，较好的完成了年初目标。</w:t>
      </w:r>
      <w:r>
        <w:rPr>
          <w:rFonts w:hint="eastAsia" w:ascii="宋体" w:hAnsi="宋体" w:eastAsia="宋体" w:cs="宋体"/>
          <w:sz w:val="32"/>
          <w:szCs w:val="32"/>
        </w:rPr>
        <w:t>2021年度本单位项目资金绩效评价指标评分为97分。</w:t>
      </w:r>
    </w:p>
    <w:p>
      <w:pPr>
        <w:spacing w:line="640" w:lineRule="exact"/>
        <w:ind w:firstLine="640" w:firstLineChars="200"/>
        <w:rPr>
          <w:rFonts w:ascii="宋体" w:hAnsi="宋体" w:eastAsia="宋体" w:cs="宋体"/>
          <w:sz w:val="32"/>
          <w:szCs w:val="32"/>
        </w:rPr>
      </w:pPr>
      <w:r>
        <w:rPr>
          <w:rFonts w:hint="eastAsia" w:ascii="宋体" w:hAnsi="宋体" w:eastAsia="宋体" w:cs="宋体"/>
          <w:color w:val="000000"/>
          <w:kern w:val="0"/>
          <w:sz w:val="32"/>
          <w:szCs w:val="32"/>
        </w:rPr>
        <w:t>组织对本单位开展整体支出绩效评价，涉及一般公共预算支出3817.70万元，政府性基金预算支出416.83万元。从评价情况来看，我单位重点从部门概况、部门整体支出管理及使用情况、部门专项组织实施情况、资产管理管理、部门绩效评价开展情况等方面，进行自评打分并形成自评报告。</w:t>
      </w:r>
      <w:r>
        <w:rPr>
          <w:rFonts w:hint="eastAsia" w:ascii="宋体" w:hAnsi="宋体" w:eastAsia="宋体" w:cs="宋体"/>
          <w:sz w:val="32"/>
          <w:szCs w:val="32"/>
        </w:rPr>
        <w:t>2021年我单位，认真履责，努力完成全县文化、旅游、广播电视、文物、体育各项工作任务，有效地促进了县域经济发展。文化旅游工作典型的经验做法在省政府2021年重点工作综合大督查中被表扬的通报；2021年度我局获评“省直管县先进单位”。根据《部门整体绩效评分指标评分》，得分 93.5分。</w:t>
      </w:r>
      <w:r>
        <w:rPr>
          <w:rFonts w:hint="eastAsia" w:ascii="宋体" w:hAnsi="宋体" w:eastAsia="宋体" w:cs="宋体"/>
          <w:color w:val="000000"/>
          <w:kern w:val="0"/>
          <w:sz w:val="32"/>
          <w:szCs w:val="32"/>
        </w:rPr>
        <w:t>对照年初目标，圆满完成各项目标任务，</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ind w:firstLine="640" w:firstLineChars="200"/>
        <w:rPr>
          <w:rFonts w:ascii="宋体" w:hAnsi="宋体" w:eastAsia="宋体" w:cs="宋体"/>
          <w:color w:val="000000"/>
          <w:sz w:val="32"/>
          <w:szCs w:val="32"/>
          <w:shd w:val="clear" w:color="auto" w:fill="FFFFFF"/>
        </w:rPr>
      </w:pPr>
      <w:r>
        <w:rPr>
          <w:rFonts w:hint="eastAsia" w:ascii="宋体" w:hAnsi="宋体" w:eastAsia="宋体" w:cs="宋体"/>
          <w:color w:val="000000"/>
          <w:kern w:val="0"/>
          <w:sz w:val="32"/>
          <w:szCs w:val="32"/>
        </w:rPr>
        <w:t>旅游工作项目绩效自评综述：根据年初设定的绩效目标，项目绩效自评得分为97分。项目全年预算数为20万元，执行数为20万元，完成预算的100%。项目绩效目标完成情况：一是</w:t>
      </w:r>
      <w:r>
        <w:rPr>
          <w:rFonts w:hint="eastAsia" w:ascii="宋体" w:hAnsi="宋体" w:eastAsia="宋体" w:cs="宋体"/>
          <w:sz w:val="32"/>
          <w:szCs w:val="32"/>
        </w:rPr>
        <w:t>加大溆浦旅游品牌宣传力度</w:t>
      </w:r>
      <w:r>
        <w:rPr>
          <w:rFonts w:hint="eastAsia" w:ascii="宋体" w:hAnsi="宋体" w:eastAsia="宋体" w:cs="宋体"/>
          <w:color w:val="000000"/>
          <w:kern w:val="0"/>
          <w:sz w:val="32"/>
          <w:szCs w:val="32"/>
        </w:rPr>
        <w:t>；二是开展景区景点安全巡查。发现的主要问题及原因：</w:t>
      </w:r>
      <w:r>
        <w:rPr>
          <w:rFonts w:hint="eastAsia" w:ascii="宋体" w:hAnsi="宋体" w:eastAsia="宋体" w:cs="宋体"/>
          <w:sz w:val="32"/>
          <w:szCs w:val="32"/>
        </w:rPr>
        <w:t>一是旅游专业管理水平有待提高；二是旅游专业管理人员不足</w:t>
      </w:r>
      <w:r>
        <w:rPr>
          <w:rFonts w:hint="eastAsia" w:ascii="宋体" w:hAnsi="宋体" w:eastAsia="宋体" w:cs="宋体"/>
          <w:color w:val="000000"/>
          <w:kern w:val="0"/>
          <w:sz w:val="32"/>
          <w:szCs w:val="32"/>
        </w:rPr>
        <w:t>。下一步改进措施：</w:t>
      </w:r>
      <w:r>
        <w:rPr>
          <w:rFonts w:hint="eastAsia" w:ascii="宋体" w:hAnsi="宋体" w:eastAsia="宋体" w:cs="宋体"/>
          <w:color w:val="000000"/>
          <w:sz w:val="32"/>
          <w:szCs w:val="32"/>
          <w:shd w:val="clear" w:color="auto" w:fill="FFFFFF"/>
        </w:rPr>
        <w:t>进一步完善绩效评价体系和相关指标，按规定和要求审核项目，合理安排资金，提高资金使用效益。</w:t>
      </w:r>
    </w:p>
    <w:p>
      <w:pPr>
        <w:pStyle w:val="2"/>
        <w:rPr>
          <w:rFonts w:eastAsia="宋体"/>
        </w:rPr>
      </w:pPr>
    </w:p>
    <w:p>
      <w:pPr>
        <w:autoSpaceDE w:val="0"/>
        <w:autoSpaceDN w:val="0"/>
        <w:adjustRightInd w:val="0"/>
        <w:ind w:firstLine="640" w:firstLineChars="200"/>
        <w:jc w:val="left"/>
        <w:rPr>
          <w:rFonts w:ascii="宋体" w:hAnsi="宋体" w:eastAsia="宋体" w:cs="宋体"/>
          <w:sz w:val="32"/>
          <w:szCs w:val="32"/>
        </w:rPr>
      </w:pPr>
      <w:r>
        <w:rPr>
          <w:rFonts w:hint="eastAsia" w:ascii="宋体" w:hAnsi="宋体" w:eastAsia="宋体" w:cs="宋体"/>
          <w:sz w:val="32"/>
          <w:szCs w:val="32"/>
        </w:rPr>
        <w:t>文化体育艺术活动</w:t>
      </w:r>
      <w:r>
        <w:rPr>
          <w:rFonts w:hint="eastAsia" w:ascii="宋体" w:hAnsi="宋体" w:eastAsia="宋体" w:cs="宋体"/>
          <w:color w:val="000000"/>
          <w:kern w:val="0"/>
          <w:sz w:val="32"/>
          <w:szCs w:val="32"/>
        </w:rPr>
        <w:t>项目绩效自评综述：根据年初设定的绩效目标，项目绩效自评得分为97分。项目全年预算数为60万元，执行数为60万元，完成预算的100%。项目绩效目标完成情况：一是</w:t>
      </w:r>
      <w:r>
        <w:rPr>
          <w:rFonts w:hint="eastAsia" w:ascii="宋体" w:hAnsi="宋体" w:eastAsia="宋体" w:cs="宋体"/>
          <w:sz w:val="32"/>
          <w:szCs w:val="32"/>
        </w:rPr>
        <w:t>指导组织开展体育及群体活动、公益性文化艺术活动；二是开展文化三下乡等公共文化服务工作。</w:t>
      </w:r>
      <w:r>
        <w:rPr>
          <w:rFonts w:hint="eastAsia" w:ascii="宋体" w:hAnsi="宋体" w:eastAsia="宋体" w:cs="宋体"/>
          <w:color w:val="000000"/>
          <w:kern w:val="0"/>
          <w:sz w:val="32"/>
          <w:szCs w:val="32"/>
        </w:rPr>
        <w:t>发现的主要问题及原因：一是</w:t>
      </w:r>
      <w:r>
        <w:rPr>
          <w:rFonts w:hint="eastAsia" w:ascii="宋体" w:hAnsi="宋体" w:eastAsia="宋体" w:cs="宋体"/>
          <w:sz w:val="32"/>
          <w:szCs w:val="32"/>
        </w:rPr>
        <w:t>活动开展中存在人才缺乏；二是设备设施匮乏，活动形式单一等问题</w:t>
      </w:r>
      <w:r>
        <w:rPr>
          <w:rFonts w:hint="eastAsia" w:ascii="宋体" w:hAnsi="宋体" w:eastAsia="宋体" w:cs="宋体"/>
          <w:color w:val="000000"/>
          <w:kern w:val="0"/>
          <w:sz w:val="32"/>
          <w:szCs w:val="32"/>
        </w:rPr>
        <w:t>。下一步改进措施：</w:t>
      </w:r>
      <w:r>
        <w:rPr>
          <w:rFonts w:hint="eastAsia" w:ascii="宋体" w:hAnsi="宋体" w:eastAsia="宋体" w:cs="宋体"/>
          <w:sz w:val="32"/>
          <w:szCs w:val="32"/>
        </w:rPr>
        <w:t>今后工作中加强人才培养，丰富活动的形式，提高全民参与度。</w:t>
      </w:r>
    </w:p>
    <w:p>
      <w:pPr>
        <w:pStyle w:val="3"/>
        <w:ind w:firstLine="640" w:firstLineChars="200"/>
        <w:rPr>
          <w:rFonts w:hAnsi="宋体" w:eastAsia="宋体" w:cs="宋体"/>
          <w:sz w:val="32"/>
          <w:szCs w:val="32"/>
        </w:rPr>
      </w:pPr>
      <w:r>
        <w:rPr>
          <w:rFonts w:hint="eastAsia" w:hAnsi="宋体" w:eastAsia="宋体" w:cs="宋体"/>
          <w:sz w:val="32"/>
          <w:szCs w:val="32"/>
        </w:rPr>
        <w:t>旅游联盟会费</w:t>
      </w:r>
      <w:r>
        <w:rPr>
          <w:rFonts w:hint="eastAsia" w:hAnsi="宋体" w:eastAsia="宋体" w:cs="宋体"/>
          <w:color w:val="000000"/>
          <w:kern w:val="0"/>
          <w:sz w:val="32"/>
          <w:szCs w:val="32"/>
        </w:rPr>
        <w:t>项目绩效自评综述：根据年初设定的绩效目标，项目绩效自评得分为97分。项目全年预算数为10万元，执行数为10万元，完成预算的100%。项目绩效目标完成情况：</w:t>
      </w:r>
      <w:r>
        <w:rPr>
          <w:rFonts w:hint="eastAsia" w:hAnsi="宋体" w:eastAsia="宋体" w:cs="宋体"/>
          <w:sz w:val="32"/>
          <w:szCs w:val="32"/>
        </w:rPr>
        <w:t>按照《怀化市旅游营销联盟章程》要求，及时缴纳联盟会费。</w:t>
      </w:r>
      <w:r>
        <w:rPr>
          <w:rFonts w:hint="eastAsia" w:hAnsi="宋体" w:eastAsia="宋体" w:cs="宋体"/>
          <w:color w:val="000000"/>
          <w:kern w:val="0"/>
          <w:sz w:val="32"/>
          <w:szCs w:val="32"/>
        </w:rPr>
        <w:t>发现的主要问题及原因：一是宣传力度有待提高；二是宣传营销方式方法不够丰富。下一步改进措施：</w:t>
      </w:r>
      <w:r>
        <w:rPr>
          <w:rFonts w:hint="eastAsia" w:hAnsi="宋体" w:eastAsia="宋体" w:cs="宋体"/>
          <w:sz w:val="32"/>
          <w:szCs w:val="32"/>
        </w:rPr>
        <w:t>进一步整合行业内外资源，借助联盟的营销策划资源及能力，对旅游市场进一步探索，打造深受消费者喜爱的旅游品牌。</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舒新城故居管理</w:t>
      </w:r>
      <w:r>
        <w:rPr>
          <w:rFonts w:hint="eastAsia" w:ascii="宋体" w:hAnsi="宋体" w:eastAsia="宋体" w:cs="宋体"/>
          <w:color w:val="000000"/>
          <w:kern w:val="0"/>
          <w:sz w:val="32"/>
          <w:szCs w:val="32"/>
        </w:rPr>
        <w:t>项目绩效自评综述：根据年初设定的绩效目标，项目绩效自评得分为97分。项目全年预算数为8万元，执行数为8万元，完成预算的100%。项目绩效目标完成情况：一是</w:t>
      </w:r>
      <w:r>
        <w:rPr>
          <w:rFonts w:hint="eastAsia" w:ascii="宋体" w:hAnsi="宋体" w:eastAsia="宋体" w:cs="宋体"/>
          <w:sz w:val="32"/>
          <w:szCs w:val="32"/>
        </w:rPr>
        <w:t>加强故居维护及安防环卫工作；二是落实免费开放制度，充分发挥爱教基地作用。</w:t>
      </w:r>
      <w:r>
        <w:rPr>
          <w:rFonts w:hint="eastAsia" w:ascii="宋体" w:hAnsi="宋体" w:eastAsia="宋体" w:cs="宋体"/>
          <w:color w:val="000000"/>
          <w:kern w:val="0"/>
          <w:sz w:val="32"/>
          <w:szCs w:val="32"/>
        </w:rPr>
        <w:t>发现的主要问题及原因：一是</w:t>
      </w:r>
      <w:r>
        <w:rPr>
          <w:rFonts w:hint="eastAsia" w:ascii="宋体" w:hAnsi="宋体" w:eastAsia="宋体" w:cs="宋体"/>
          <w:sz w:val="32"/>
          <w:szCs w:val="32"/>
        </w:rPr>
        <w:t>接待服务水平需进一步加强；二是因场地原因无专用停车场，对游客参观学习及各项活动开展造成不便</w:t>
      </w:r>
      <w:r>
        <w:rPr>
          <w:rFonts w:hint="eastAsia" w:ascii="宋体" w:hAnsi="宋体" w:eastAsia="宋体" w:cs="宋体"/>
          <w:color w:val="000000"/>
          <w:kern w:val="0"/>
          <w:sz w:val="32"/>
          <w:szCs w:val="32"/>
        </w:rPr>
        <w:t>。下一步改进措施：一是</w:t>
      </w:r>
      <w:r>
        <w:rPr>
          <w:rFonts w:hint="eastAsia" w:ascii="宋体" w:hAnsi="宋体" w:eastAsia="宋体" w:cs="宋体"/>
          <w:sz w:val="32"/>
          <w:szCs w:val="32"/>
        </w:rPr>
        <w:t>进一步完善管理机制，加强规范化管理；二是加强讲解培训，做好相关配套设施建设规划。</w:t>
      </w:r>
    </w:p>
    <w:p>
      <w:pPr>
        <w:ind w:firstLine="640" w:firstLineChars="200"/>
        <w:rPr>
          <w:rFonts w:ascii="仿宋" w:hAnsi="仿宋" w:eastAsia="仿宋" w:cs="仿宋"/>
          <w:sz w:val="32"/>
          <w:szCs w:val="32"/>
        </w:rPr>
      </w:pPr>
      <w:r>
        <w:rPr>
          <w:rFonts w:hint="eastAsia" w:ascii="宋体" w:hAnsi="宋体" w:eastAsia="宋体" w:cs="宋体"/>
          <w:sz w:val="32"/>
          <w:szCs w:val="32"/>
        </w:rPr>
        <w:t>文物保护专项经费</w:t>
      </w:r>
      <w:r>
        <w:rPr>
          <w:rFonts w:hint="eastAsia" w:ascii="宋体" w:hAnsi="宋体" w:eastAsia="宋体" w:cs="宋体"/>
          <w:color w:val="000000"/>
          <w:kern w:val="0"/>
          <w:sz w:val="32"/>
          <w:szCs w:val="32"/>
        </w:rPr>
        <w:t>项目绩效自评综述：根据年初设定的绩效目标，项目绩效自评得分为97分。项目全年预算数为24万元，执行数为24万元，完成预算的100%。项目绩效目标完成情况：一是</w:t>
      </w:r>
      <w:r>
        <w:rPr>
          <w:rFonts w:hint="eastAsia" w:ascii="宋体" w:hAnsi="宋体" w:eastAsia="宋体" w:cs="宋体"/>
          <w:sz w:val="32"/>
          <w:szCs w:val="32"/>
        </w:rPr>
        <w:t>做好县级以上文物保护单位消防安全巡查；二是文物本体及公共设施维护维修工作。</w:t>
      </w:r>
      <w:r>
        <w:rPr>
          <w:rFonts w:hint="eastAsia" w:ascii="宋体" w:hAnsi="宋体" w:eastAsia="宋体" w:cs="宋体"/>
          <w:color w:val="000000"/>
          <w:kern w:val="0"/>
          <w:sz w:val="32"/>
          <w:szCs w:val="32"/>
        </w:rPr>
        <w:t>发现的主要问题及原因：</w:t>
      </w:r>
      <w:r>
        <w:rPr>
          <w:rFonts w:hint="eastAsia" w:ascii="宋体" w:hAnsi="宋体" w:eastAsia="宋体" w:cs="宋体"/>
          <w:sz w:val="32"/>
          <w:szCs w:val="32"/>
        </w:rPr>
        <w:t>一是业务管理水平有待提高；二是人员结构断层</w:t>
      </w:r>
      <w:r>
        <w:rPr>
          <w:rFonts w:hint="eastAsia" w:ascii="宋体" w:hAnsi="宋体" w:eastAsia="宋体" w:cs="宋体"/>
          <w:color w:val="000000"/>
          <w:kern w:val="0"/>
          <w:sz w:val="32"/>
          <w:szCs w:val="32"/>
        </w:rPr>
        <w:t>。下一步改进措施：一是加强业务培训；二是抓好专业队伍建设</w:t>
      </w:r>
      <w:r>
        <w:rPr>
          <w:rFonts w:hint="eastAsia" w:ascii="宋体" w:hAnsi="宋体" w:eastAsia="宋体" w:cs="宋体"/>
          <w:color w:val="000000"/>
          <w:sz w:val="32"/>
          <w:szCs w:val="32"/>
          <w:shd w:val="clear" w:color="auto" w:fill="FFFFFF"/>
        </w:rPr>
        <w:t>。</w:t>
      </w:r>
    </w:p>
    <w:p>
      <w:pPr>
        <w:pStyle w:val="12"/>
        <w:spacing w:line="580" w:lineRule="exact"/>
        <w:ind w:firstLine="640"/>
        <w:rPr>
          <w:rFonts w:ascii="宋体" w:hAnsi="宋体" w:eastAsia="仿宋" w:cs="宋体"/>
          <w:sz w:val="32"/>
          <w:szCs w:val="32"/>
        </w:rPr>
      </w:pPr>
      <w:r>
        <w:rPr>
          <w:rFonts w:hint="eastAsia" w:ascii="宋体" w:hAnsi="宋体" w:eastAsia="宋体" w:cs="宋体"/>
          <w:sz w:val="32"/>
          <w:szCs w:val="32"/>
        </w:rPr>
        <w:t>思蒙健身步道风雨桥</w:t>
      </w:r>
      <w:r>
        <w:rPr>
          <w:rFonts w:hint="eastAsia" w:ascii="宋体" w:hAnsi="宋体" w:eastAsia="宋体" w:cs="宋体"/>
          <w:color w:val="000000"/>
          <w:kern w:val="0"/>
          <w:sz w:val="32"/>
          <w:szCs w:val="32"/>
        </w:rPr>
        <w:t>项目绩效自评综述：根据年初设定的绩效目标，项目绩效自评得分为97分。项目全年预算数为439万元，执行数为0万元，完成预算的0%。</w:t>
      </w:r>
      <w:r>
        <w:rPr>
          <w:rFonts w:hint="eastAsia" w:ascii="宋体" w:hAnsi="宋体" w:eastAsia="宋体" w:cs="宋体"/>
          <w:sz w:val="32"/>
          <w:szCs w:val="32"/>
        </w:rPr>
        <w:t>2021年因该项目验收结算未完成，故资金财政未拨付。</w:t>
      </w:r>
      <w:r>
        <w:rPr>
          <w:rFonts w:hint="eastAsia" w:ascii="宋体" w:hAnsi="宋体" w:eastAsia="宋体" w:cs="宋体"/>
          <w:color w:val="000000"/>
          <w:kern w:val="0"/>
          <w:sz w:val="32"/>
          <w:szCs w:val="32"/>
        </w:rPr>
        <w:t>项目绩效目标完成情况：</w:t>
      </w:r>
      <w:r>
        <w:rPr>
          <w:rFonts w:hint="eastAsia" w:ascii="宋体" w:hAnsi="宋体" w:eastAsia="宋体" w:cs="宋体"/>
          <w:sz w:val="32"/>
          <w:szCs w:val="32"/>
        </w:rPr>
        <w:t>完成桩基、系梁、立柱、盖梁等桥梁工程。</w:t>
      </w:r>
      <w:r>
        <w:rPr>
          <w:rFonts w:hint="eastAsia" w:ascii="宋体" w:hAnsi="宋体" w:eastAsia="宋体" w:cs="宋体"/>
          <w:color w:val="000000"/>
          <w:kern w:val="0"/>
          <w:sz w:val="32"/>
          <w:szCs w:val="32"/>
        </w:rPr>
        <w:t>发现的主要问题及原因：该项目</w:t>
      </w:r>
      <w:r>
        <w:rPr>
          <w:rFonts w:hint="eastAsia" w:ascii="宋体" w:hAnsi="宋体" w:eastAsia="宋体" w:cs="宋体"/>
          <w:sz w:val="32"/>
          <w:szCs w:val="32"/>
        </w:rPr>
        <w:t>验收结算未完成</w:t>
      </w:r>
      <w:r>
        <w:rPr>
          <w:rFonts w:hint="eastAsia" w:ascii="宋体" w:hAnsi="宋体" w:eastAsia="宋体" w:cs="宋体"/>
          <w:color w:val="000000"/>
          <w:kern w:val="0"/>
          <w:sz w:val="32"/>
          <w:szCs w:val="32"/>
        </w:rPr>
        <w:t>。下一步改进措施：</w:t>
      </w:r>
      <w:r>
        <w:rPr>
          <w:rFonts w:hint="eastAsia" w:ascii="宋体" w:hAnsi="宋体" w:eastAsia="宋体" w:cs="宋体"/>
          <w:sz w:val="32"/>
          <w:szCs w:val="32"/>
        </w:rPr>
        <w:t>将进一步完善建设项目配套设施建设，加大管理力度、确保施工安全和质量安全。</w:t>
      </w:r>
    </w:p>
    <w:p>
      <w:pPr>
        <w:pStyle w:val="12"/>
        <w:spacing w:line="580" w:lineRule="exact"/>
        <w:ind w:firstLine="640"/>
        <w:rPr>
          <w:rFonts w:ascii="宋体" w:hAnsi="宋体" w:eastAsia="宋体" w:cs="宋体"/>
          <w:sz w:val="32"/>
          <w:szCs w:val="32"/>
        </w:rPr>
      </w:pPr>
      <w:r>
        <w:rPr>
          <w:rFonts w:hint="eastAsia" w:ascii="宋体" w:hAnsi="宋体" w:eastAsia="宋体" w:cs="宋体"/>
          <w:sz w:val="32"/>
          <w:szCs w:val="32"/>
        </w:rPr>
        <w:t>体彩销售优秀网点补助</w:t>
      </w:r>
      <w:r>
        <w:rPr>
          <w:rFonts w:hint="eastAsia" w:ascii="宋体" w:hAnsi="宋体" w:eastAsia="宋体" w:cs="宋体"/>
          <w:color w:val="000000"/>
          <w:kern w:val="0"/>
          <w:sz w:val="32"/>
          <w:szCs w:val="32"/>
        </w:rPr>
        <w:t>项目绩效自评综述：根据年初设定的绩效目标，项目绩效自评得分为97分。项目全年预算数为400万元，执行数为36.07万元，完成预算的9%。</w:t>
      </w:r>
      <w:r>
        <w:rPr>
          <w:rFonts w:hint="eastAsia" w:ascii="宋体" w:hAnsi="宋体" w:eastAsia="宋体" w:cs="宋体"/>
          <w:sz w:val="32"/>
          <w:szCs w:val="32"/>
        </w:rPr>
        <w:t>该项目2022年继续实施，剩余资金继续使用</w:t>
      </w:r>
      <w:r>
        <w:rPr>
          <w:rFonts w:hint="eastAsia" w:ascii="仿宋" w:hAnsi="仿宋" w:eastAsia="仿宋"/>
          <w:sz w:val="32"/>
          <w:szCs w:val="32"/>
        </w:rPr>
        <w:t>。</w:t>
      </w:r>
      <w:r>
        <w:rPr>
          <w:rFonts w:hint="eastAsia" w:ascii="宋体" w:hAnsi="宋体" w:eastAsia="宋体" w:cs="宋体"/>
          <w:sz w:val="32"/>
          <w:szCs w:val="32"/>
        </w:rPr>
        <w:t>2021年根据体彩销售实际情况，财政下拨资金110.80万元，用于2021年销售优秀网点奖励金36.07万元。</w:t>
      </w:r>
      <w:r>
        <w:rPr>
          <w:rFonts w:hint="eastAsia" w:ascii="宋体" w:hAnsi="宋体" w:eastAsia="宋体" w:cs="宋体"/>
          <w:color w:val="000000"/>
          <w:kern w:val="0"/>
          <w:sz w:val="32"/>
          <w:szCs w:val="32"/>
        </w:rPr>
        <w:t>项目绩效目标完成情况：</w:t>
      </w:r>
      <w:r>
        <w:rPr>
          <w:rFonts w:hint="eastAsia" w:ascii="宋体" w:hAnsi="宋体" w:eastAsia="宋体" w:cs="宋体"/>
          <w:sz w:val="32"/>
          <w:szCs w:val="32"/>
        </w:rPr>
        <w:t>进一步加强我县体彩销售管理工作，筹集更多的体彩公益金。</w:t>
      </w:r>
      <w:r>
        <w:rPr>
          <w:rFonts w:hint="eastAsia" w:ascii="宋体" w:hAnsi="宋体" w:eastAsia="宋体" w:cs="宋体"/>
          <w:color w:val="000000"/>
          <w:kern w:val="0"/>
          <w:sz w:val="32"/>
          <w:szCs w:val="32"/>
        </w:rPr>
        <w:t>发现的主要问题及原因：体彩销售人员销售能力待进一步提高。下一步改进措施：</w:t>
      </w:r>
      <w:r>
        <w:rPr>
          <w:rFonts w:hint="eastAsia" w:ascii="宋体" w:hAnsi="宋体" w:eastAsia="宋体" w:cs="宋体"/>
          <w:sz w:val="32"/>
          <w:szCs w:val="32"/>
        </w:rPr>
        <w:t>将进一步规范体彩市场管理，提高体彩销售量。</w:t>
      </w:r>
    </w:p>
    <w:p>
      <w:pPr>
        <w:pStyle w:val="2"/>
        <w:ind w:firstLine="640" w:firstLineChars="200"/>
        <w:rPr>
          <w:rFonts w:ascii="宋体" w:hAnsi="宋体" w:eastAsia="宋体" w:cs="宋体"/>
          <w:sz w:val="32"/>
          <w:szCs w:val="32"/>
        </w:rPr>
      </w:pPr>
      <w:r>
        <w:rPr>
          <w:rFonts w:hint="eastAsia" w:ascii="宋体" w:hAnsi="宋体" w:eastAsia="宋体" w:cs="宋体"/>
          <w:sz w:val="32"/>
          <w:szCs w:val="32"/>
        </w:rPr>
        <w:t>非遗保护专项资金</w:t>
      </w:r>
      <w:r>
        <w:rPr>
          <w:rFonts w:hint="eastAsia" w:ascii="宋体" w:hAnsi="宋体" w:eastAsia="宋体" w:cs="宋体"/>
          <w:color w:val="000000"/>
          <w:kern w:val="0"/>
          <w:sz w:val="32"/>
          <w:szCs w:val="32"/>
        </w:rPr>
        <w:t>项目绩效自评综述：根据年初设定的绩效目标，项目绩效自评得分为97分。项目全年预算数为70万元，执行数为50万元，完成预算的71%。</w:t>
      </w:r>
      <w:r>
        <w:rPr>
          <w:rFonts w:hint="eastAsia" w:ascii="宋体" w:hAnsi="宋体" w:eastAsia="宋体" w:cs="宋体"/>
          <w:sz w:val="32"/>
          <w:szCs w:val="32"/>
        </w:rPr>
        <w:t>按照财政要求，目前，我单位转拨项目实施单位雪峰山生态文化旅游公司50万元。余下20万元，我单位按财政时间要求及时转拨到位。</w:t>
      </w:r>
      <w:r>
        <w:rPr>
          <w:rFonts w:hint="eastAsia" w:ascii="宋体" w:hAnsi="宋体" w:eastAsia="宋体" w:cs="宋体"/>
          <w:color w:val="000000"/>
          <w:kern w:val="0"/>
          <w:sz w:val="32"/>
          <w:szCs w:val="32"/>
        </w:rPr>
        <w:t>项目绩效目标完成情况：一是</w:t>
      </w:r>
      <w:r>
        <w:rPr>
          <w:rFonts w:hint="eastAsia" w:ascii="宋体" w:hAnsi="宋体" w:eastAsia="宋体" w:cs="宋体"/>
          <w:sz w:val="32"/>
          <w:szCs w:val="32"/>
        </w:rPr>
        <w:t>完成花瑶挑花生产性基地传习所、展厅、生产车间等项目建设；二是开展传统文化的教育和推广。</w:t>
      </w:r>
      <w:r>
        <w:rPr>
          <w:rFonts w:hint="eastAsia" w:ascii="宋体" w:hAnsi="宋体" w:eastAsia="宋体" w:cs="宋体"/>
          <w:color w:val="000000"/>
          <w:kern w:val="0"/>
          <w:sz w:val="32"/>
          <w:szCs w:val="32"/>
        </w:rPr>
        <w:t>发现的主要问题及原因：</w:t>
      </w:r>
      <w:r>
        <w:rPr>
          <w:rFonts w:hint="eastAsia" w:ascii="宋体" w:hAnsi="宋体" w:eastAsia="宋体" w:cs="宋体"/>
          <w:sz w:val="32"/>
          <w:szCs w:val="32"/>
        </w:rPr>
        <w:t>一是旅游专业管理水平有待提高；二是旅游专业管理人员不足</w:t>
      </w:r>
      <w:r>
        <w:rPr>
          <w:rFonts w:hint="eastAsia" w:ascii="宋体" w:hAnsi="宋体" w:eastAsia="宋体" w:cs="宋体"/>
          <w:color w:val="000000"/>
          <w:kern w:val="0"/>
          <w:sz w:val="32"/>
          <w:szCs w:val="32"/>
        </w:rPr>
        <w:t>。下一步改进措施：</w:t>
      </w:r>
      <w:r>
        <w:rPr>
          <w:rFonts w:hint="eastAsia" w:ascii="宋体" w:hAnsi="宋体" w:eastAsia="宋体" w:cs="宋体"/>
          <w:sz w:val="32"/>
          <w:szCs w:val="32"/>
        </w:rPr>
        <w:t>进一步完善建设项目配套设施建设，加大管理力度。</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640" w:firstLineChars="200"/>
        <w:rPr>
          <w:rFonts w:ascii="宋体" w:hAnsi="宋体" w:eastAsia="宋体" w:cs="宋体"/>
          <w:sz w:val="32"/>
          <w:szCs w:val="32"/>
        </w:rPr>
      </w:pPr>
      <w:r>
        <w:rPr>
          <w:rFonts w:hint="eastAsia" w:ascii="宋体" w:hAnsi="宋体" w:eastAsia="宋体" w:cs="宋体"/>
          <w:sz w:val="32"/>
          <w:szCs w:val="32"/>
        </w:rPr>
        <w:t>2021年在省市各级财政部门共同努力下，2021年度溆浦县文化旅游广电体育局工作圆满完成。资金使用符合相关财务规定，通过专项资金的实施，全力推进我单位各项工作，取得了明显成效。2021年度本单位项目资金绩效评价指标评分为97分。</w:t>
      </w: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11"/>
        <w:rPr>
          <w:rFonts w:hAnsi="黑体"/>
          <w:b/>
          <w:sz w:val="32"/>
          <w:szCs w:val="32"/>
        </w:rPr>
      </w:pPr>
    </w:p>
    <w:p>
      <w:pPr>
        <w:pStyle w:val="11"/>
        <w:ind w:firstLine="640" w:firstLineChars="200"/>
        <w:rPr>
          <w:rFonts w:hAnsi="黑体"/>
          <w:b/>
          <w:sz w:val="32"/>
          <w:szCs w:val="32"/>
        </w:rPr>
      </w:pPr>
    </w:p>
    <w:p>
      <w:pPr>
        <w:pStyle w:val="11"/>
        <w:ind w:firstLine="640" w:firstLineChars="200"/>
        <w:rPr>
          <w:rFonts w:asciiTheme="minorEastAsia" w:hAnsiTheme="minorEastAsia" w:eastAsiaTheme="minorEastAsia" w:cstheme="minorEastAsia"/>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firstLine="640" w:firstLineChars="200"/>
        <w:jc w:val="left"/>
        <w:rPr>
          <w:rFonts w:asciiTheme="minorEastAsia" w:hAnsiTheme="minorEastAsia" w:cstheme="minorEastAsia"/>
          <w:color w:val="000000"/>
          <w:kern w:val="0"/>
          <w:sz w:val="32"/>
          <w:szCs w:val="32"/>
        </w:rPr>
      </w:pPr>
      <w:r>
        <w:rPr>
          <w:rFonts w:hint="eastAsia" w:asciiTheme="minorEastAsia" w:hAnsiTheme="minorEastAsia" w:cstheme="minorEastAsia"/>
          <w:sz w:val="32"/>
          <w:szCs w:val="32"/>
        </w:rPr>
        <w:t>1、财政拨款收入：指县财政当年拨付的资金。</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2、基本支出：指部门为保障其机构正常运转、完成日常工作任务的年度基本支出，包括人员经费和公用经费两部分。</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11"/>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jc w:val="center"/>
        <w:rPr>
          <w:sz w:val="72"/>
          <w:szCs w:val="72"/>
        </w:rPr>
      </w:pPr>
      <w:r>
        <w:rPr>
          <w:rFonts w:ascii="仿宋" w:hAnsi="仿宋" w:eastAsia="仿宋"/>
          <w:i/>
          <w:color w:val="FF0000"/>
          <w:sz w:val="32"/>
          <w:szCs w:val="32"/>
        </w:rPr>
        <w:br w:type="page"/>
      </w:r>
    </w:p>
    <w:p>
      <w:pPr>
        <w:pStyle w:val="11"/>
        <w:jc w:val="center"/>
        <w:rPr>
          <w:sz w:val="72"/>
          <w:szCs w:val="72"/>
        </w:rPr>
      </w:pPr>
    </w:p>
    <w:p>
      <w:pPr>
        <w:pStyle w:val="11"/>
        <w:jc w:val="center"/>
        <w:rPr>
          <w:sz w:val="72"/>
          <w:szCs w:val="72"/>
        </w:rPr>
      </w:pPr>
    </w:p>
    <w:p>
      <w:pPr>
        <w:pStyle w:val="11"/>
        <w:jc w:val="center"/>
        <w:rPr>
          <w:sz w:val="72"/>
          <w:szCs w:val="72"/>
        </w:rPr>
      </w:pPr>
    </w:p>
    <w:p>
      <w:pPr>
        <w:pStyle w:val="11"/>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44"/>
          <w:szCs w:val="44"/>
        </w:rPr>
      </w:pPr>
    </w:p>
    <w:p>
      <w:pPr>
        <w:ind w:firstLine="880" w:firstLineChars="200"/>
        <w:jc w:val="center"/>
        <w:rPr>
          <w:rFonts w:cs="黑体" w:asciiTheme="minorEastAsia" w:hAnsiTheme="minorEastAsia"/>
          <w:b/>
          <w:color w:val="000000"/>
          <w:kern w:val="0"/>
          <w:sz w:val="44"/>
          <w:szCs w:val="44"/>
        </w:rPr>
      </w:pPr>
      <w:r>
        <w:rPr>
          <w:rFonts w:hint="eastAsia" w:cs="黑体" w:asciiTheme="minorEastAsia" w:hAnsiTheme="minorEastAsia"/>
          <w:b/>
          <w:color w:val="000000"/>
          <w:kern w:val="0"/>
          <w:sz w:val="44"/>
          <w:szCs w:val="44"/>
        </w:rPr>
        <w:t>2021年度部门整体支出绩效评价报告</w:t>
      </w:r>
    </w:p>
    <w:p>
      <w:pPr>
        <w:ind w:firstLine="640" w:firstLineChars="200"/>
        <w:rPr>
          <w:rFonts w:ascii="华文楷体" w:hAnsi="华文楷体" w:eastAsia="华文楷体" w:cs="华文楷体"/>
          <w:bCs/>
          <w:color w:val="000000"/>
          <w:kern w:val="0"/>
          <w:sz w:val="32"/>
          <w:szCs w:val="32"/>
        </w:rPr>
      </w:pPr>
      <w:r>
        <w:rPr>
          <w:rFonts w:hint="eastAsia" w:ascii="华文楷体" w:hAnsi="华文楷体" w:eastAsia="华文楷体" w:cs="华文楷体"/>
          <w:bCs/>
          <w:color w:val="000000"/>
          <w:kern w:val="0"/>
          <w:sz w:val="32"/>
          <w:szCs w:val="32"/>
        </w:rPr>
        <w:t xml:space="preserve"> 溆浦县文化旅游广电体育局</w:t>
      </w:r>
    </w:p>
    <w:p>
      <w:pPr>
        <w:ind w:firstLine="880" w:firstLineChars="200"/>
        <w:rPr>
          <w:rFonts w:cs="黑体" w:asciiTheme="minorEastAsia" w:hAnsiTheme="minorEastAsia"/>
          <w:b/>
          <w:color w:val="000000"/>
          <w:kern w:val="0"/>
          <w:sz w:val="44"/>
          <w:szCs w:val="44"/>
        </w:rPr>
      </w:pPr>
    </w:p>
    <w:p>
      <w:pPr>
        <w:ind w:firstLine="640" w:firstLineChars="200"/>
        <w:rPr>
          <w:rFonts w:ascii="仿宋" w:hAnsi="仿宋" w:eastAsia="仿宋"/>
          <w:sz w:val="32"/>
          <w:szCs w:val="32"/>
        </w:rPr>
      </w:pPr>
      <w:r>
        <w:rPr>
          <w:rFonts w:hint="eastAsia" w:ascii="仿宋" w:hAnsi="仿宋" w:eastAsia="仿宋"/>
          <w:sz w:val="32"/>
          <w:szCs w:val="32"/>
        </w:rPr>
        <w:t>为了加强资金管理，根据县财政局《关于开展2021年度部门整体支出绩效评价工作的通知》精神，我局对2021年度部门整体支出绩效进行了全面综合评价，现将有关情况汇报如下：</w:t>
      </w:r>
    </w:p>
    <w:p>
      <w:pPr>
        <w:numPr>
          <w:ilvl w:val="0"/>
          <w:numId w:val="4"/>
        </w:numPr>
        <w:rPr>
          <w:rFonts w:ascii="黑体" w:hAnsi="黑体" w:eastAsia="黑体"/>
          <w:sz w:val="32"/>
          <w:szCs w:val="32"/>
        </w:rPr>
      </w:pPr>
      <w:r>
        <w:rPr>
          <w:rFonts w:hint="eastAsia" w:ascii="黑体" w:hAnsi="黑体" w:eastAsia="黑体"/>
          <w:sz w:val="32"/>
          <w:szCs w:val="32"/>
        </w:rPr>
        <w:t>部门概况</w:t>
      </w:r>
    </w:p>
    <w:p>
      <w:pPr>
        <w:ind w:firstLine="640" w:firstLineChars="200"/>
        <w:rPr>
          <w:rFonts w:ascii="仿宋" w:hAnsi="仿宋" w:eastAsia="仿宋" w:cs="宋体"/>
          <w:kern w:val="0"/>
          <w:sz w:val="32"/>
          <w:szCs w:val="32"/>
        </w:rPr>
      </w:pPr>
      <w:r>
        <w:rPr>
          <w:rFonts w:hint="eastAsia" w:ascii="楷体" w:hAnsi="楷体" w:eastAsia="楷体"/>
          <w:sz w:val="32"/>
          <w:szCs w:val="32"/>
        </w:rPr>
        <w:t>（一）部门基本情况。</w:t>
      </w:r>
      <w:r>
        <w:rPr>
          <w:rFonts w:hint="eastAsia" w:ascii="仿宋" w:hAnsi="仿宋" w:eastAsia="仿宋"/>
          <w:sz w:val="32"/>
          <w:szCs w:val="32"/>
        </w:rPr>
        <w:t>本单位是行政单位，核定编制34名(其中行政编制11名，内设二级机构事业编制23名)，实有在职人员37人（含内设二级机构人员）。</w:t>
      </w:r>
      <w:r>
        <w:rPr>
          <w:rFonts w:hint="eastAsia" w:ascii="仿宋" w:hAnsi="仿宋" w:eastAsia="仿宋" w:cs="宋体"/>
          <w:kern w:val="0"/>
          <w:sz w:val="32"/>
          <w:szCs w:val="32"/>
        </w:rPr>
        <w:t>内设行政业务机构</w:t>
      </w:r>
      <w:r>
        <w:rPr>
          <w:rFonts w:ascii="仿宋" w:hAnsi="仿宋" w:eastAsia="仿宋" w:cs="宋体"/>
          <w:kern w:val="0"/>
          <w:sz w:val="32"/>
          <w:szCs w:val="32"/>
        </w:rPr>
        <w:t>7</w:t>
      </w:r>
      <w:r>
        <w:rPr>
          <w:rFonts w:hint="eastAsia" w:ascii="仿宋" w:hAnsi="仿宋" w:eastAsia="仿宋" w:cs="宋体"/>
          <w:kern w:val="0"/>
          <w:sz w:val="32"/>
          <w:szCs w:val="32"/>
        </w:rPr>
        <w:t>个，分别是办公室、产业发展股、政策法规股、文化艺术股、文物保护股、体育股、资源开发与全域旅游推进股。</w:t>
      </w:r>
    </w:p>
    <w:p>
      <w:pPr>
        <w:rPr>
          <w:rFonts w:ascii="仿宋" w:hAnsi="仿宋" w:eastAsia="仿宋" w:cs="仿宋"/>
          <w:sz w:val="32"/>
          <w:szCs w:val="32"/>
        </w:rPr>
      </w:pPr>
      <w:r>
        <w:rPr>
          <w:rFonts w:hint="eastAsia" w:ascii="仿宋" w:hAnsi="仿宋" w:eastAsia="仿宋"/>
          <w:b/>
          <w:sz w:val="32"/>
          <w:szCs w:val="32"/>
        </w:rPr>
        <w:t>主要职能：</w:t>
      </w:r>
      <w:r>
        <w:rPr>
          <w:rFonts w:hint="eastAsia" w:ascii="仿宋" w:hAnsi="仿宋" w:eastAsia="仿宋" w:cs="仿宋"/>
          <w:sz w:val="32"/>
          <w:szCs w:val="32"/>
        </w:rPr>
        <w:t>贯彻党和国家有关文化、旅游、广播电视、体育工作方针、政策和法律、法规，拟订全县文化、旅游、广播电视、体育事业发展规划并指导实施，指导、推进全县文化、旅游、广播电视、体育、文物等事业发展。</w:t>
      </w:r>
    </w:p>
    <w:p>
      <w:pPr>
        <w:rPr>
          <w:rFonts w:ascii="仿宋" w:hAnsi="仿宋" w:eastAsia="仿宋"/>
          <w:sz w:val="32"/>
          <w:szCs w:val="32"/>
        </w:rPr>
      </w:pPr>
      <w:r>
        <w:rPr>
          <w:rFonts w:hint="eastAsia" w:ascii="仿宋" w:hAnsi="仿宋" w:eastAsia="仿宋" w:cs="宋体"/>
          <w:b/>
          <w:kern w:val="0"/>
          <w:sz w:val="32"/>
          <w:szCs w:val="32"/>
        </w:rPr>
        <w:t>本年度重点工作：</w:t>
      </w:r>
      <w:r>
        <w:rPr>
          <w:rFonts w:hint="eastAsia" w:ascii="仿宋" w:hAnsi="仿宋" w:eastAsia="仿宋" w:cs="仿宋"/>
          <w:bCs/>
          <w:kern w:val="0"/>
          <w:sz w:val="32"/>
          <w:szCs w:val="32"/>
        </w:rPr>
        <w:t>一是</w:t>
      </w:r>
      <w:r>
        <w:rPr>
          <w:rFonts w:hint="eastAsia" w:ascii="仿宋" w:hAnsi="仿宋" w:eastAsia="仿宋" w:cs="仿宋"/>
          <w:bCs/>
          <w:sz w:val="32"/>
          <w:szCs w:val="32"/>
        </w:rPr>
        <w:t>突出党建主责主业，主题教育入脑入心；二</w:t>
      </w:r>
      <w:r>
        <w:rPr>
          <w:rFonts w:hint="eastAsia" w:ascii="仿宋" w:hAnsi="仿宋" w:eastAsia="仿宋" w:cs="宋体"/>
          <w:kern w:val="0"/>
          <w:sz w:val="32"/>
          <w:szCs w:val="32"/>
        </w:rPr>
        <w:t>是落实文体惠民各项政策举措，组织开展群众文体活动；三是突出抓好项目建设，推进文化旅游和体育产业发展；四是加大依法行政力度，维护良好的文化、旅游市场秩序。</w:t>
      </w:r>
    </w:p>
    <w:p>
      <w:pPr>
        <w:snapToGrid w:val="0"/>
        <w:spacing w:line="360" w:lineRule="auto"/>
        <w:ind w:firstLine="640" w:firstLineChars="200"/>
        <w:rPr>
          <w:rFonts w:ascii="仿宋_GB2312" w:hAnsi="仿宋_GB2312" w:eastAsia="仿宋_GB2312" w:cs="仿宋_GB2312"/>
          <w:sz w:val="24"/>
          <w:szCs w:val="24"/>
        </w:rPr>
      </w:pPr>
      <w:r>
        <w:rPr>
          <w:rFonts w:hint="eastAsia" w:ascii="楷体" w:hAnsi="楷体" w:eastAsia="楷体"/>
          <w:sz w:val="32"/>
          <w:szCs w:val="32"/>
        </w:rPr>
        <w:t>部门整体支出情况。</w:t>
      </w:r>
      <w:r>
        <w:rPr>
          <w:rFonts w:hint="eastAsia" w:ascii="仿宋" w:hAnsi="仿宋" w:eastAsia="仿宋" w:cs="仿宋"/>
          <w:sz w:val="32"/>
          <w:szCs w:val="32"/>
        </w:rPr>
        <w:t>一年来，我局按照本单位职能，认真履责，努力完成全县文化、旅游、广播电视、文物、体育各项工作任务，有效地促进了县域经济发展。</w:t>
      </w:r>
      <w:r>
        <w:rPr>
          <w:rFonts w:hint="eastAsia" w:ascii="仿宋_GB2312" w:hAnsi="仿宋_GB2312" w:eastAsia="仿宋_GB2312" w:cs="仿宋_GB2312"/>
          <w:sz w:val="32"/>
          <w:szCs w:val="32"/>
        </w:rPr>
        <w:t>文化旅游工作典型的经验做法在省政府2021年重点工作综合大督查中被</w:t>
      </w:r>
      <w:r>
        <w:rPr>
          <w:rFonts w:hint="eastAsia" w:ascii="仿宋_GB2312" w:hAnsi="仿宋_GB2312" w:eastAsia="仿宋_GB2312" w:cs="仿宋_GB2312"/>
          <w:b/>
          <w:bCs/>
          <w:sz w:val="32"/>
          <w:szCs w:val="32"/>
        </w:rPr>
        <w:t>表扬的通报</w:t>
      </w:r>
      <w:r>
        <w:rPr>
          <w:rFonts w:hint="eastAsia" w:ascii="仿宋_GB2312" w:hAnsi="仿宋_GB2312" w:eastAsia="仿宋_GB2312" w:cs="仿宋_GB2312"/>
          <w:sz w:val="32"/>
          <w:szCs w:val="32"/>
        </w:rPr>
        <w:t>；2021年度我局获评</w:t>
      </w:r>
      <w:r>
        <w:rPr>
          <w:rFonts w:hint="eastAsia" w:ascii="仿宋_GB2312" w:hAnsi="仿宋_GB2312" w:eastAsia="仿宋_GB2312" w:cs="仿宋_GB2312"/>
          <w:b/>
          <w:bCs/>
          <w:sz w:val="32"/>
          <w:szCs w:val="32"/>
        </w:rPr>
        <w:t>“省直管县先进单位”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穿岩山村被文旅部</w:t>
      </w:r>
      <w:r>
        <w:rPr>
          <w:rFonts w:hint="eastAsia" w:ascii="仿宋_GB2312" w:hAnsi="仿宋_GB2312" w:eastAsia="仿宋_GB2312" w:cs="仿宋_GB2312"/>
          <w:sz w:val="32"/>
          <w:szCs w:val="32"/>
        </w:rPr>
        <w:t>评为</w:t>
      </w:r>
      <w:r>
        <w:rPr>
          <w:rFonts w:hint="eastAsia" w:ascii="仿宋_GB2312" w:hAnsi="仿宋_GB2312" w:eastAsia="仿宋_GB2312" w:cs="仿宋_GB2312"/>
          <w:b/>
          <w:bCs/>
          <w:sz w:val="32"/>
          <w:szCs w:val="32"/>
        </w:rPr>
        <w:t>第三批全国乡村旅游重点村</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山背村获评为</w:t>
      </w:r>
      <w:r>
        <w:rPr>
          <w:rFonts w:hint="eastAsia" w:ascii="仿宋_GB2312" w:hAnsi="仿宋_GB2312" w:eastAsia="仿宋_GB2312" w:cs="仿宋_GB2312"/>
          <w:b/>
          <w:bCs/>
          <w:sz w:val="32"/>
          <w:szCs w:val="32"/>
        </w:rPr>
        <w:t>第三批湖南省乡村旅游重点村</w:t>
      </w:r>
      <w:r>
        <w:rPr>
          <w:rFonts w:hint="eastAsia" w:ascii="仿宋_GB2312" w:hAnsi="仿宋_GB2312" w:eastAsia="仿宋_GB2312" w:cs="仿宋_GB2312"/>
          <w:sz w:val="32"/>
          <w:szCs w:val="32"/>
        </w:rPr>
        <w:t>；阳雀坡村、思蒙湾村、山背村评为</w:t>
      </w:r>
      <w:r>
        <w:rPr>
          <w:rFonts w:hint="eastAsia" w:ascii="仿宋_GB2312" w:hAnsi="仿宋_GB2312" w:eastAsia="仿宋_GB2312" w:cs="仿宋_GB2312"/>
          <w:b/>
          <w:bCs/>
          <w:sz w:val="32"/>
          <w:szCs w:val="32"/>
        </w:rPr>
        <w:t>第一批怀化市乡村旅游重点村</w:t>
      </w:r>
      <w:r>
        <w:rPr>
          <w:rFonts w:hint="eastAsia" w:ascii="仿宋_GB2312" w:hAnsi="仿宋_GB2312" w:eastAsia="仿宋_GB2312" w:cs="仿宋_GB2312"/>
          <w:sz w:val="32"/>
          <w:szCs w:val="32"/>
        </w:rPr>
        <w:t>；雪峰山文旅长廊被确定为</w:t>
      </w:r>
      <w:r>
        <w:rPr>
          <w:rFonts w:hint="eastAsia" w:ascii="仿宋_GB2312" w:hAnsi="仿宋_GB2312" w:eastAsia="仿宋_GB2312" w:cs="仿宋_GB2312"/>
          <w:b/>
          <w:bCs/>
          <w:sz w:val="32"/>
          <w:szCs w:val="32"/>
        </w:rPr>
        <w:t>全国乡村振兴示范区</w:t>
      </w:r>
      <w:r>
        <w:rPr>
          <w:rFonts w:hint="eastAsia" w:ascii="仿宋_GB2312" w:hAnsi="仿宋_GB2312" w:eastAsia="仿宋_GB2312" w:cs="仿宋_GB2312"/>
          <w:sz w:val="32"/>
          <w:szCs w:val="32"/>
        </w:rPr>
        <w:t>；成功举办</w:t>
      </w:r>
      <w:r>
        <w:rPr>
          <w:rFonts w:hint="eastAsia" w:ascii="仿宋_GB2312" w:hAnsi="仿宋_GB2312" w:eastAsia="仿宋_GB2312" w:cs="仿宋_GB2312"/>
          <w:b/>
          <w:bCs/>
          <w:sz w:val="32"/>
          <w:szCs w:val="32"/>
        </w:rPr>
        <w:t>怀化市文旅产业大会；</w:t>
      </w:r>
      <w:r>
        <w:rPr>
          <w:rFonts w:hint="eastAsia" w:ascii="仿宋_GB2312" w:hAnsi="仿宋_GB2312" w:eastAsia="仿宋_GB2312" w:cs="仿宋_GB2312"/>
          <w:sz w:val="32"/>
          <w:szCs w:val="32"/>
        </w:rPr>
        <w:t>北斗溪坪溪花瑶民俗休闲旅游区成功创评湖南省</w:t>
      </w:r>
      <w:r>
        <w:rPr>
          <w:rFonts w:hint="eastAsia" w:ascii="仿宋_GB2312" w:hAnsi="仿宋_GB2312" w:eastAsia="仿宋_GB2312" w:cs="仿宋_GB2312"/>
          <w:b/>
          <w:bCs/>
          <w:sz w:val="32"/>
          <w:szCs w:val="32"/>
        </w:rPr>
        <w:t>五星级乡村旅游区（点）</w:t>
      </w:r>
      <w:r>
        <w:rPr>
          <w:rFonts w:hint="eastAsia" w:ascii="仿宋_GB2312" w:hAnsi="仿宋_GB2312" w:eastAsia="仿宋_GB2312" w:cs="仿宋_GB2312"/>
          <w:sz w:val="32"/>
          <w:szCs w:val="32"/>
        </w:rPr>
        <w:t>；9月成功创建“</w:t>
      </w:r>
      <w:r>
        <w:rPr>
          <w:rFonts w:hint="eastAsia" w:ascii="仿宋_GB2312" w:hAnsi="仿宋_GB2312" w:eastAsia="仿宋_GB2312" w:cs="仿宋_GB2312"/>
          <w:b/>
          <w:bCs/>
          <w:sz w:val="32"/>
          <w:szCs w:val="32"/>
        </w:rPr>
        <w:t>北斗溪营地研学旅游基地</w:t>
      </w:r>
      <w:r>
        <w:rPr>
          <w:rFonts w:hint="eastAsia" w:ascii="仿宋_GB2312" w:hAnsi="仿宋_GB2312" w:eastAsia="仿宋_GB2312" w:cs="仿宋_GB2312"/>
          <w:sz w:val="32"/>
          <w:szCs w:val="32"/>
        </w:rPr>
        <w:t>”、“湖</w:t>
      </w:r>
      <w:r>
        <w:rPr>
          <w:rFonts w:hint="eastAsia" w:ascii="仿宋_GB2312" w:hAnsi="仿宋_GB2312" w:eastAsia="仿宋_GB2312" w:cs="仿宋_GB2312"/>
          <w:b/>
          <w:bCs/>
          <w:sz w:val="32"/>
          <w:szCs w:val="32"/>
        </w:rPr>
        <w:t>南雪峰山生态旅游区研学旅游基地</w:t>
      </w:r>
      <w:r>
        <w:rPr>
          <w:rFonts w:hint="eastAsia" w:ascii="仿宋_GB2312" w:hAnsi="仿宋_GB2312" w:eastAsia="仿宋_GB2312" w:cs="仿宋_GB2312"/>
          <w:sz w:val="32"/>
          <w:szCs w:val="32"/>
        </w:rPr>
        <w:t>”，并被评为湖南省研学旅游（示范）基地；枫香瑶寨森林康养中心被评选为</w:t>
      </w:r>
      <w:r>
        <w:rPr>
          <w:rFonts w:hint="eastAsia" w:ascii="仿宋_GB2312" w:hAnsi="仿宋_GB2312" w:eastAsia="仿宋_GB2312" w:cs="仿宋_GB2312"/>
          <w:b/>
          <w:bCs/>
          <w:sz w:val="32"/>
          <w:szCs w:val="32"/>
        </w:rPr>
        <w:t>“怀化市十大最美湖南乡村旅游区（点）</w:t>
      </w:r>
      <w:r>
        <w:rPr>
          <w:rFonts w:hint="eastAsia" w:ascii="仿宋_GB2312" w:hAnsi="仿宋_GB2312" w:eastAsia="仿宋_GB2312" w:cs="仿宋_GB2312"/>
          <w:sz w:val="32"/>
          <w:szCs w:val="32"/>
        </w:rPr>
        <w:t>。同时，文化和体育事业蓬勃发展，</w:t>
      </w:r>
      <w:r>
        <w:rPr>
          <w:rFonts w:hint="eastAsia" w:ascii="仿宋_GB2312" w:hAnsi="仿宋_GB2312" w:eastAsia="仿宋_GB2312" w:cs="仿宋_GB2312"/>
          <w:sz w:val="32"/>
          <w:szCs w:val="32"/>
          <w:shd w:val="clear" w:color="auto" w:fill="FFFFFF"/>
        </w:rPr>
        <w:t>9月溆浦县辰河目连戏保护中心由</w:t>
      </w:r>
      <w:r>
        <w:rPr>
          <w:rFonts w:hint="eastAsia" w:ascii="仿宋_GB2312" w:hAnsi="仿宋_GB2312" w:eastAsia="仿宋_GB2312" w:cs="仿宋_GB2312"/>
          <w:sz w:val="32"/>
          <w:szCs w:val="32"/>
        </w:rPr>
        <w:t>中宣部、文化和旅游部、国家广播电视总局办公厅举办、由省委宣传部公示</w:t>
      </w:r>
      <w:r>
        <w:rPr>
          <w:rFonts w:hint="eastAsia" w:ascii="仿宋_GB2312" w:hAnsi="仿宋_GB2312" w:eastAsia="仿宋_GB2312" w:cs="仿宋_GB2312"/>
          <w:sz w:val="32"/>
          <w:szCs w:val="32"/>
          <w:shd w:val="clear" w:color="auto" w:fill="FFFFFF"/>
        </w:rPr>
        <w:t>为</w:t>
      </w:r>
      <w:r>
        <w:rPr>
          <w:rFonts w:hint="eastAsia" w:ascii="仿宋_GB2312" w:hAnsi="仿宋_GB2312" w:eastAsia="仿宋_GB2312" w:cs="仿宋_GB2312"/>
          <w:b/>
          <w:bCs/>
          <w:sz w:val="32"/>
          <w:szCs w:val="32"/>
          <w:shd w:val="clear" w:color="auto" w:fill="FFFFFF"/>
        </w:rPr>
        <w:t>“全国服务农民、服务基层文化建设先进集体”</w:t>
      </w:r>
      <w:r>
        <w:rPr>
          <w:rFonts w:hint="eastAsia" w:ascii="仿宋_GB2312" w:hAnsi="仿宋_GB2312" w:eastAsia="仿宋_GB2312" w:cs="仿宋_GB2312"/>
          <w:sz w:val="32"/>
          <w:szCs w:val="32"/>
          <w:shd w:val="clear" w:color="auto" w:fill="FFFFFF"/>
        </w:rPr>
        <w:t>；溆浦县志愿者罗文英是湖南省唯一被</w:t>
      </w:r>
      <w:r>
        <w:rPr>
          <w:rFonts w:hint="eastAsia" w:ascii="仿宋_GB2312" w:hAnsi="仿宋_GB2312" w:eastAsia="仿宋_GB2312" w:cs="仿宋_GB2312"/>
          <w:color w:val="2A2A2A"/>
          <w:spacing w:val="24"/>
          <w:sz w:val="32"/>
          <w:szCs w:val="32"/>
          <w:shd w:val="clear" w:color="auto" w:fill="FFFFFF"/>
        </w:rPr>
        <w:t>文化和旅游部评为</w:t>
      </w:r>
      <w:r>
        <w:rPr>
          <w:rFonts w:hint="eastAsia" w:ascii="仿宋_GB2312" w:hAnsi="仿宋_GB2312" w:eastAsia="仿宋_GB2312" w:cs="仿宋_GB2312"/>
          <w:b/>
          <w:bCs/>
          <w:color w:val="2A2A2A"/>
          <w:spacing w:val="24"/>
          <w:sz w:val="32"/>
          <w:szCs w:val="32"/>
          <w:shd w:val="clear" w:color="auto" w:fill="FFFFFF"/>
        </w:rPr>
        <w:t>“阳光工程”优秀志愿者</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怀</w:t>
      </w:r>
      <w:r>
        <w:rPr>
          <w:rFonts w:hint="eastAsia" w:ascii="仿宋_GB2312" w:hAnsi="仿宋_GB2312" w:eastAsia="仿宋_GB2312" w:cs="仿宋_GB2312"/>
          <w:sz w:val="32"/>
          <w:szCs w:val="32"/>
        </w:rPr>
        <w:t>化市溆浦县七善轩青少年服务中心被湖南省文明办评为</w:t>
      </w:r>
      <w:r>
        <w:rPr>
          <w:rFonts w:hint="eastAsia" w:ascii="仿宋_GB2312" w:hAnsi="仿宋_GB2312" w:eastAsia="仿宋_GB2312" w:cs="仿宋_GB2312"/>
          <w:b/>
          <w:bCs/>
          <w:sz w:val="32"/>
          <w:szCs w:val="32"/>
        </w:rPr>
        <w:t>“最佳志愿服务组织”</w:t>
      </w:r>
      <w:r>
        <w:rPr>
          <w:rFonts w:hint="eastAsia" w:ascii="仿宋_GB2312" w:hAnsi="仿宋_GB2312" w:eastAsia="仿宋_GB2312" w:cs="仿宋_GB2312"/>
          <w:sz w:val="32"/>
          <w:szCs w:val="32"/>
        </w:rPr>
        <w:t>；《向警予同志纪念馆文创IP项目设计方案》荣获第四届湖南文旅创新创意大赛之遇见怀化—红色产品类</w:t>
      </w:r>
      <w:r>
        <w:rPr>
          <w:rFonts w:hint="eastAsia" w:ascii="仿宋_GB2312" w:hAnsi="仿宋_GB2312" w:eastAsia="仿宋_GB2312" w:cs="仿宋_GB2312"/>
          <w:b/>
          <w:bCs/>
          <w:sz w:val="32"/>
          <w:szCs w:val="32"/>
        </w:rPr>
        <w:t>铜奖</w:t>
      </w:r>
      <w:r>
        <w:rPr>
          <w:rFonts w:hint="eastAsia" w:ascii="仿宋_GB2312" w:hAnsi="仿宋_GB2312" w:eastAsia="仿宋_GB2312" w:cs="仿宋_GB2312"/>
          <w:sz w:val="32"/>
          <w:szCs w:val="32"/>
        </w:rPr>
        <w:t>；原创《远古的风》荣获怀化市首届艺术节群众文化优秀作品音乐</w:t>
      </w:r>
      <w:r>
        <w:rPr>
          <w:rFonts w:hint="eastAsia" w:ascii="仿宋_GB2312" w:hAnsi="仿宋_GB2312" w:eastAsia="仿宋_GB2312" w:cs="仿宋_GB2312"/>
          <w:b/>
          <w:bCs/>
          <w:sz w:val="32"/>
          <w:szCs w:val="32"/>
        </w:rPr>
        <w:t>金奖</w:t>
      </w:r>
      <w:r>
        <w:rPr>
          <w:rFonts w:hint="eastAsia" w:ascii="仿宋_GB2312" w:hAnsi="仿宋_GB2312" w:eastAsia="仿宋_GB2312" w:cs="仿宋_GB2312"/>
          <w:sz w:val="32"/>
          <w:szCs w:val="32"/>
        </w:rPr>
        <w:t>、《狮子楼》荣获怀化市首届艺术节专业舞台小剧目</w:t>
      </w:r>
      <w:r>
        <w:rPr>
          <w:rFonts w:hint="eastAsia" w:ascii="仿宋_GB2312" w:hAnsi="仿宋_GB2312" w:eastAsia="仿宋_GB2312" w:cs="仿宋_GB2312"/>
          <w:b/>
          <w:bCs/>
          <w:sz w:val="32"/>
          <w:szCs w:val="32"/>
        </w:rPr>
        <w:t>金奖</w:t>
      </w:r>
      <w:r>
        <w:rPr>
          <w:rFonts w:hint="eastAsia" w:ascii="仿宋_GB2312" w:hAnsi="仿宋_GB2312" w:eastAsia="仿宋_GB2312" w:cs="仿宋_GB2312"/>
          <w:sz w:val="32"/>
          <w:szCs w:val="32"/>
        </w:rPr>
        <w:t>；原创作品《峥嵘岁月》《中共脊梁》在“颂党恩·听党话·跟党走”原创作品朗诵大赛分别荣获</w:t>
      </w:r>
      <w:r>
        <w:rPr>
          <w:rFonts w:hint="eastAsia" w:ascii="仿宋_GB2312" w:hAnsi="仿宋_GB2312" w:eastAsia="仿宋_GB2312" w:cs="仿宋_GB2312"/>
          <w:b/>
          <w:bCs/>
          <w:sz w:val="32"/>
          <w:szCs w:val="32"/>
        </w:rPr>
        <w:t>银奖、优秀奖；</w:t>
      </w:r>
      <w:r>
        <w:rPr>
          <w:rFonts w:hint="eastAsia" w:ascii="仿宋_GB2312" w:hAnsi="仿宋_GB2312" w:eastAsia="仿宋_GB2312" w:cs="仿宋_GB2312"/>
          <w:sz w:val="32"/>
          <w:szCs w:val="32"/>
        </w:rPr>
        <w:t>少儿舞蹈《花棍童谣》作品在展演舞蹈专场中荣获</w:t>
      </w:r>
      <w:r>
        <w:rPr>
          <w:rFonts w:hint="eastAsia" w:ascii="仿宋_GB2312" w:hAnsi="仿宋_GB2312" w:eastAsia="仿宋_GB2312" w:cs="仿宋_GB2312"/>
          <w:b/>
          <w:bCs/>
          <w:sz w:val="32"/>
          <w:szCs w:val="32"/>
        </w:rPr>
        <w:t>银奖；</w:t>
      </w:r>
      <w:r>
        <w:rPr>
          <w:rFonts w:hint="eastAsia" w:ascii="仿宋_GB2312" w:hAnsi="仿宋_GB2312" w:eastAsia="仿宋_GB2312" w:cs="仿宋_GB2312"/>
          <w:sz w:val="32"/>
          <w:szCs w:val="32"/>
        </w:rPr>
        <w:t>《警予故乡换新颜》在小品专场表演中荣获</w:t>
      </w:r>
      <w:r>
        <w:rPr>
          <w:rFonts w:hint="eastAsia" w:ascii="仿宋_GB2312" w:hAnsi="仿宋_GB2312" w:eastAsia="仿宋_GB2312" w:cs="仿宋_GB2312"/>
          <w:b/>
          <w:bCs/>
          <w:sz w:val="32"/>
          <w:szCs w:val="32"/>
        </w:rPr>
        <w:t>银奖；</w:t>
      </w:r>
      <w:r>
        <w:rPr>
          <w:rFonts w:hint="eastAsia" w:ascii="仿宋_GB2312" w:hAnsi="仿宋_GB2312" w:eastAsia="仿宋_GB2312" w:cs="仿宋_GB2312"/>
          <w:sz w:val="32"/>
          <w:szCs w:val="32"/>
        </w:rPr>
        <w:t>文艺节目《“美丽溆浦”群众文化活动》荣获</w:t>
      </w:r>
      <w:r>
        <w:rPr>
          <w:rFonts w:hint="eastAsia" w:ascii="仿宋_GB2312" w:hAnsi="仿宋_GB2312" w:eastAsia="仿宋_GB2312" w:cs="仿宋_GB2312"/>
          <w:b/>
          <w:bCs/>
          <w:sz w:val="32"/>
          <w:szCs w:val="32"/>
        </w:rPr>
        <w:t>优秀节目</w:t>
      </w:r>
      <w:r>
        <w:rPr>
          <w:rFonts w:hint="eastAsia" w:ascii="仿宋_GB2312" w:hAnsi="仿宋_GB2312" w:eastAsia="仿宋_GB2312" w:cs="仿宋_GB2312"/>
          <w:sz w:val="32"/>
          <w:szCs w:val="32"/>
        </w:rPr>
        <w:t>群文品牌项目；在年度全省公共文化体系满意度测评活动中，溆浦遥遥领先怀化其他县市，</w:t>
      </w:r>
      <w:r>
        <w:rPr>
          <w:rFonts w:hint="eastAsia" w:ascii="仿宋_GB2312" w:hAnsi="仿宋_GB2312" w:eastAsia="仿宋_GB2312" w:cs="仿宋_GB2312"/>
          <w:b/>
          <w:bCs/>
          <w:sz w:val="32"/>
          <w:szCs w:val="32"/>
        </w:rPr>
        <w:t>稳坐第一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积极探索“旅游+体育”发展模式，将体育赛事活动、健身康养项目融合于景区建设和运营之中，取得了较好的成效，2021年9月我县获评</w:t>
      </w:r>
      <w:r>
        <w:rPr>
          <w:rFonts w:hint="eastAsia" w:ascii="仿宋_GB2312" w:hAnsi="仿宋_GB2312" w:eastAsia="仿宋_GB2312" w:cs="仿宋_GB2312"/>
          <w:b/>
          <w:bCs/>
          <w:sz w:val="32"/>
          <w:szCs w:val="32"/>
          <w:shd w:val="clear" w:color="auto" w:fill="FFFFFF"/>
        </w:rPr>
        <w:t>“全国群众体育先进单位”</w:t>
      </w:r>
      <w:r>
        <w:rPr>
          <w:rFonts w:hint="eastAsia" w:ascii="仿宋_GB2312" w:hAnsi="仿宋_GB2312" w:eastAsia="仿宋_GB2312" w:cs="仿宋_GB2312"/>
          <w:sz w:val="32"/>
          <w:szCs w:val="32"/>
          <w:shd w:val="clear" w:color="auto" w:fill="FFFFFF"/>
        </w:rPr>
        <w:t>，应邀出席了全国第十四届运动会，</w:t>
      </w:r>
      <w:r>
        <w:rPr>
          <w:rFonts w:hint="eastAsia" w:ascii="仿宋_GB2312" w:hAnsi="仿宋_GB2312" w:eastAsia="仿宋_GB2312" w:cs="仿宋_GB2312"/>
          <w:b/>
          <w:bCs/>
          <w:sz w:val="32"/>
          <w:szCs w:val="32"/>
          <w:shd w:val="clear" w:color="auto" w:fill="FFFFFF"/>
        </w:rPr>
        <w:t>参会代表得到了习近平总书记亲切接见</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参加市六运会，获</w:t>
      </w:r>
      <w:r>
        <w:rPr>
          <w:rFonts w:hint="eastAsia" w:ascii="仿宋_GB2312" w:hAnsi="仿宋_GB2312" w:eastAsia="仿宋_GB2312" w:cs="仿宋_GB2312"/>
          <w:b/>
          <w:bCs/>
          <w:sz w:val="32"/>
          <w:szCs w:val="32"/>
        </w:rPr>
        <w:t>金牌46块</w:t>
      </w:r>
      <w:r>
        <w:rPr>
          <w:rFonts w:hint="eastAsia" w:ascii="仿宋_GB2312" w:hAnsi="仿宋_GB2312" w:eastAsia="仿宋_GB2312" w:cs="仿宋_GB2312"/>
          <w:sz w:val="32"/>
          <w:szCs w:val="32"/>
        </w:rPr>
        <w:t>，其中成年组总分与金牌分别</w:t>
      </w:r>
      <w:r>
        <w:rPr>
          <w:rFonts w:hint="eastAsia" w:ascii="仿宋_GB2312" w:hAnsi="仿宋_GB2312" w:eastAsia="仿宋_GB2312" w:cs="仿宋_GB2312"/>
          <w:b/>
          <w:bCs/>
          <w:sz w:val="32"/>
          <w:szCs w:val="32"/>
        </w:rPr>
        <w:t>荣获全市第三名</w:t>
      </w:r>
      <w:r>
        <w:rPr>
          <w:rFonts w:hint="eastAsia" w:ascii="仿宋_GB2312" w:hAnsi="仿宋_GB2312" w:eastAsia="仿宋_GB2312" w:cs="仿宋_GB2312"/>
          <w:sz w:val="32"/>
          <w:szCs w:val="32"/>
        </w:rPr>
        <w:t>；2021年度溆浦县体彩发行工作突出，荣获</w:t>
      </w:r>
      <w:r>
        <w:rPr>
          <w:rFonts w:hint="eastAsia" w:ascii="仿宋_GB2312" w:hAnsi="仿宋_GB2312" w:eastAsia="仿宋_GB2312" w:cs="仿宋_GB2312"/>
          <w:b/>
          <w:bCs/>
          <w:sz w:val="32"/>
          <w:szCs w:val="32"/>
        </w:rPr>
        <w:t>湖南省优秀县（市）体彩发行机构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新增4处</w:t>
      </w:r>
      <w:r>
        <w:rPr>
          <w:rFonts w:hint="eastAsia" w:ascii="仿宋_GB2312" w:hAnsi="仿宋_GB2312" w:eastAsia="仿宋_GB2312" w:cs="仿宋_GB2312"/>
          <w:sz w:val="32"/>
          <w:szCs w:val="32"/>
        </w:rPr>
        <w:t>第十一批省级文物保护单位，翟根甲凉水井革命活动旧址、向仲华故居、红六军团长征燕子坳、琵琶坳战斗指挥部旧址、红二军团长征溆浦扩红活动旧址。</w:t>
      </w:r>
    </w:p>
    <w:p>
      <w:pPr>
        <w:ind w:firstLine="640" w:firstLineChars="200"/>
        <w:rPr>
          <w:rFonts w:ascii="黑体" w:hAnsi="黑体" w:eastAsia="黑体"/>
          <w:sz w:val="32"/>
          <w:szCs w:val="32"/>
        </w:rPr>
      </w:pPr>
      <w:r>
        <w:rPr>
          <w:rFonts w:hint="eastAsia" w:ascii="黑体" w:hAnsi="黑体" w:eastAsia="黑体"/>
          <w:sz w:val="32"/>
          <w:szCs w:val="32"/>
        </w:rPr>
        <w:t>二、部门整体支出管理及使用情况</w:t>
      </w:r>
    </w:p>
    <w:p>
      <w:pPr>
        <w:rPr>
          <w:rFonts w:ascii="仿宋" w:hAnsi="仿宋" w:eastAsia="仿宋"/>
          <w:sz w:val="32"/>
          <w:szCs w:val="32"/>
        </w:rPr>
      </w:pPr>
      <w:r>
        <w:rPr>
          <w:rFonts w:hint="eastAsia" w:ascii="仿宋" w:hAnsi="仿宋" w:eastAsia="仿宋"/>
          <w:sz w:val="32"/>
          <w:szCs w:val="32"/>
        </w:rPr>
        <w:t>2021年总收入4294.54万元，其中公共财政拨款3790.71万元，政府性基金拨款400.83万元，其他拨款17.99万元，上年结转85.01万元。2020年总支出4294.54万元，其中基本支出949.23万元，项目支出3303.28万元，结转下年42.03万元。</w:t>
      </w:r>
    </w:p>
    <w:p>
      <w:pPr>
        <w:numPr>
          <w:ilvl w:val="0"/>
          <w:numId w:val="5"/>
        </w:numPr>
        <w:rPr>
          <w:rFonts w:ascii="黑体" w:hAnsi="黑体" w:eastAsia="黑体"/>
          <w:sz w:val="32"/>
          <w:szCs w:val="32"/>
        </w:rPr>
      </w:pPr>
      <w:r>
        <w:rPr>
          <w:rFonts w:hint="eastAsia" w:ascii="黑体" w:hAnsi="黑体" w:eastAsia="黑体"/>
          <w:sz w:val="32"/>
          <w:szCs w:val="32"/>
        </w:rPr>
        <w:t>基本支出</w:t>
      </w:r>
    </w:p>
    <w:p>
      <w:pPr>
        <w:ind w:left="480"/>
        <w:rPr>
          <w:rFonts w:ascii="仿宋" w:hAnsi="仿宋" w:eastAsia="仿宋"/>
          <w:sz w:val="32"/>
          <w:szCs w:val="32"/>
        </w:rPr>
      </w:pPr>
      <w:r>
        <w:rPr>
          <w:rFonts w:hint="eastAsia" w:ascii="仿宋" w:hAnsi="仿宋" w:eastAsia="仿宋"/>
          <w:sz w:val="32"/>
          <w:szCs w:val="32"/>
        </w:rPr>
        <w:t xml:space="preserve"> 基本支出949.23万元，其中工资福利支出406.21万元，商品和服务</w:t>
      </w:r>
    </w:p>
    <w:p>
      <w:pPr>
        <w:rPr>
          <w:rFonts w:ascii="仿宋" w:hAnsi="仿宋" w:eastAsia="仿宋"/>
          <w:sz w:val="32"/>
          <w:szCs w:val="32"/>
        </w:rPr>
      </w:pPr>
      <w:r>
        <w:rPr>
          <w:rFonts w:hint="eastAsia" w:ascii="仿宋" w:hAnsi="仿宋" w:eastAsia="仿宋"/>
          <w:sz w:val="32"/>
          <w:szCs w:val="32"/>
        </w:rPr>
        <w:t>支出502.67万元，对个人和家庭补助支出39.14万元，资本性支出1.21万元。</w:t>
      </w:r>
    </w:p>
    <w:p>
      <w:pPr>
        <w:rPr>
          <w:rFonts w:ascii="仿宋" w:hAnsi="仿宋" w:eastAsia="仿宋"/>
          <w:sz w:val="32"/>
          <w:szCs w:val="32"/>
        </w:rPr>
      </w:pPr>
      <w:r>
        <w:rPr>
          <w:rFonts w:hint="eastAsia" w:ascii="仿宋" w:hAnsi="仿宋" w:eastAsia="仿宋"/>
          <w:sz w:val="32"/>
          <w:szCs w:val="32"/>
        </w:rPr>
        <w:t xml:space="preserve">   三公经费使用情况。我单位</w:t>
      </w:r>
      <w:r>
        <w:rPr>
          <w:rFonts w:hint="eastAsia" w:ascii="仿宋" w:hAnsi="仿宋" w:eastAsia="仿宋"/>
          <w:sz w:val="32"/>
          <w:szCs w:val="32"/>
          <w:shd w:val="clear" w:color="auto" w:fill="FFFFFF"/>
        </w:rPr>
        <w:t>严格控制“三公经费”管理，因公车改革，我局的公车已按照要求无偿调拨给公车办，故公车购置和维护费为0 ，公务接待5万元，和预算持平，公出国经费为0，</w:t>
      </w:r>
      <w:r>
        <w:rPr>
          <w:rFonts w:hint="eastAsia" w:ascii="仿宋" w:hAnsi="仿宋" w:eastAsia="仿宋"/>
          <w:sz w:val="32"/>
          <w:szCs w:val="32"/>
        </w:rPr>
        <w:t>没有突破县厉行节约办对我局“三公”经费的控制数</w:t>
      </w:r>
      <w:r>
        <w:rPr>
          <w:rFonts w:hint="eastAsia" w:ascii="仿宋" w:hAnsi="仿宋" w:eastAsia="仿宋"/>
          <w:sz w:val="32"/>
          <w:szCs w:val="32"/>
          <w:shd w:val="clear" w:color="auto" w:fill="FFFFFF"/>
        </w:rPr>
        <w:t>。我局一是严控三公经费，严格公务接待，规范接待标准；二是厉行节约，提高思想认识，树立节约观念，通过召开厉行节约、杜绝浪费会议，引导和规范全体工作人员从自身做起，从身边小事做起，倡导网络办公，促进办公低碳化，充分利用现代网络技术，通过邮箱、QQ、拷贝等方式传送普通文件资料，尽量减少文件印发。注重是常节俭，养成节约习惯，做到“人走灯灭”，下班及时关闭电脑、复印机等用电设备。</w:t>
      </w:r>
    </w:p>
    <w:p>
      <w:pPr>
        <w:ind w:firstLine="645"/>
        <w:rPr>
          <w:rFonts w:ascii="黑体" w:hAnsi="黑体" w:eastAsia="黑体"/>
          <w:sz w:val="32"/>
          <w:szCs w:val="32"/>
        </w:rPr>
      </w:pPr>
      <w:r>
        <w:rPr>
          <w:rFonts w:hint="eastAsia" w:ascii="黑体" w:hAnsi="黑体" w:eastAsia="黑体"/>
          <w:sz w:val="32"/>
          <w:szCs w:val="32"/>
        </w:rPr>
        <w:t>（二）专项支出</w:t>
      </w:r>
    </w:p>
    <w:p>
      <w:pPr>
        <w:rPr>
          <w:rFonts w:ascii="仿宋" w:hAnsi="仿宋" w:eastAsia="仿宋"/>
          <w:sz w:val="32"/>
          <w:szCs w:val="32"/>
        </w:rPr>
      </w:pPr>
      <w:r>
        <w:rPr>
          <w:rFonts w:hint="eastAsia" w:ascii="仿宋" w:hAnsi="仿宋" w:eastAsia="仿宋"/>
          <w:sz w:val="32"/>
          <w:szCs w:val="32"/>
        </w:rPr>
        <w:t xml:space="preserve">   1.专项资金投入情况。2021年财政投入资金3303.29万元，其中体彩公益金416.83万元，思蒙健身步道风雨桥项目860.92万元，文物保护修缮项目302.58万元，市六运会比赛经费82.82万元，其他文化旅游体育资金1640.14万元。</w:t>
      </w:r>
    </w:p>
    <w:p>
      <w:pPr>
        <w:ind w:left="480"/>
        <w:rPr>
          <w:rFonts w:ascii="仿宋" w:hAnsi="仿宋" w:eastAsia="仿宋"/>
          <w:sz w:val="32"/>
          <w:szCs w:val="32"/>
        </w:rPr>
      </w:pPr>
      <w:r>
        <w:rPr>
          <w:rFonts w:hint="eastAsia" w:ascii="仿宋" w:hAnsi="仿宋" w:eastAsia="仿宋"/>
          <w:sz w:val="32"/>
          <w:szCs w:val="32"/>
        </w:rPr>
        <w:t xml:space="preserve"> 2.专项资金使用情况。项目支出3303.29万元，其中工资福利支出0</w:t>
      </w:r>
    </w:p>
    <w:p>
      <w:pPr>
        <w:rPr>
          <w:rFonts w:ascii="仿宋" w:hAnsi="仿宋" w:eastAsia="仿宋"/>
          <w:sz w:val="32"/>
          <w:szCs w:val="32"/>
        </w:rPr>
      </w:pPr>
      <w:r>
        <w:rPr>
          <w:rFonts w:hint="eastAsia" w:ascii="仿宋" w:hAnsi="仿宋" w:eastAsia="仿宋"/>
          <w:sz w:val="32"/>
          <w:szCs w:val="32"/>
        </w:rPr>
        <w:t>万；商品和服务支出163.60万元，主要用于开展文体活动支出；对个人和家庭补助支出122.33万元，主要用于体彩销售优秀网点奖励金；资本性支出2239.35万元，主要用于文化、文物、旅游项目建设等；对企业补助778万元，主要转拨相关企业旅游补助资金。</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专项资金管理情况。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pPr>
        <w:ind w:firstLine="640" w:firstLineChars="20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三、部门专项组织实施情况。</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1、专项组织情况。各项专项资金都安排责任人，按专项资金的用途专款专用。</w:t>
      </w:r>
    </w:p>
    <w:p>
      <w:pPr>
        <w:ind w:firstLine="640" w:firstLineChars="200"/>
        <w:rPr>
          <w:rFonts w:ascii="仿宋" w:hAnsi="仿宋" w:eastAsia="仿宋"/>
          <w:sz w:val="32"/>
          <w:szCs w:val="32"/>
        </w:rPr>
      </w:pPr>
      <w:r>
        <w:rPr>
          <w:rFonts w:hint="eastAsia" w:ascii="仿宋" w:hAnsi="仿宋" w:eastAsia="仿宋"/>
          <w:color w:val="000000"/>
          <w:sz w:val="32"/>
          <w:szCs w:val="32"/>
          <w:shd w:val="clear" w:color="auto" w:fill="FFFFFF"/>
        </w:rPr>
        <w:t>2.专项管理情况。在使用专项资金时，严格执行专项资金使用制度和财务制度，同时对各项专项资金的使用流程进行监督，定时查看财务报表检查专项资金使用情况。</w:t>
      </w:r>
    </w:p>
    <w:p>
      <w:pPr>
        <w:numPr>
          <w:ilvl w:val="0"/>
          <w:numId w:val="6"/>
        </w:numPr>
        <w:rPr>
          <w:rFonts w:ascii="黑体" w:hAnsi="黑体" w:eastAsia="黑体"/>
          <w:sz w:val="32"/>
          <w:szCs w:val="32"/>
        </w:rPr>
      </w:pPr>
      <w:r>
        <w:rPr>
          <w:rFonts w:hint="eastAsia" w:ascii="黑体" w:hAnsi="黑体" w:eastAsia="黑体"/>
          <w:sz w:val="32"/>
          <w:szCs w:val="32"/>
        </w:rPr>
        <w:t>资产管理情况</w:t>
      </w:r>
    </w:p>
    <w:p>
      <w:pPr>
        <w:ind w:firstLine="640" w:firstLineChars="200"/>
        <w:rPr>
          <w:rFonts w:ascii="仿宋" w:hAnsi="仿宋" w:eastAsia="仿宋" w:cs="仿宋"/>
          <w:sz w:val="32"/>
          <w:szCs w:val="32"/>
        </w:rPr>
      </w:pPr>
      <w:r>
        <w:rPr>
          <w:rFonts w:hint="eastAsia" w:ascii="仿宋" w:hAnsi="仿宋" w:eastAsia="仿宋"/>
          <w:sz w:val="32"/>
          <w:szCs w:val="32"/>
        </w:rPr>
        <w:t>为了更好的加强单位财务管理，依据《会计法》、《行政事业单位会计制度》有关规定，结合我局实际制定的《溆浦县文化旅游广电体育局财务管理制度》。建立健全货币资金管理岗位责任制，合理设置岗位，不得由一人办理货币资金业务的全过程，确保不相容岗位相互分离。加强对实物资产管理，实行“统一领导、归口管理、分级负责、责任到人”的固定资产管理责任制，建立健全从购置、登记、资产管理、处置等资产管理办法。我局现有固定资产原值96.16</w:t>
      </w:r>
      <w:r>
        <w:rPr>
          <w:rFonts w:hint="eastAsia" w:ascii="仿宋" w:hAnsi="仿宋" w:eastAsia="仿宋" w:cs="仿宋"/>
          <w:sz w:val="32"/>
          <w:szCs w:val="32"/>
        </w:rPr>
        <w:t>万元，已全部纳入资产管理由专人管理，设置固定资产卡片，资产管理工作进一步规范。</w:t>
      </w:r>
    </w:p>
    <w:p>
      <w:pPr>
        <w:numPr>
          <w:ilvl w:val="0"/>
          <w:numId w:val="6"/>
        </w:numPr>
        <w:rPr>
          <w:rFonts w:ascii="黑体" w:hAnsi="黑体" w:eastAsia="黑体"/>
          <w:sz w:val="32"/>
          <w:szCs w:val="32"/>
        </w:rPr>
      </w:pPr>
      <w:r>
        <w:rPr>
          <w:rFonts w:hint="eastAsia" w:ascii="黑体" w:hAnsi="黑体" w:eastAsia="黑体"/>
          <w:sz w:val="32"/>
          <w:szCs w:val="32"/>
        </w:rPr>
        <w:t>部门整体支出绩效情况</w:t>
      </w:r>
    </w:p>
    <w:p>
      <w:pPr>
        <w:ind w:firstLine="640" w:firstLineChars="200"/>
        <w:rPr>
          <w:rFonts w:ascii="仿宋" w:hAnsi="仿宋" w:eastAsia="仿宋" w:cs="仿宋"/>
          <w:sz w:val="32"/>
          <w:szCs w:val="32"/>
        </w:rPr>
      </w:pPr>
      <w:r>
        <w:rPr>
          <w:rFonts w:hint="eastAsia" w:ascii="仿宋" w:hAnsi="仿宋" w:eastAsia="仿宋" w:cs="仿宋"/>
          <w:sz w:val="32"/>
          <w:szCs w:val="32"/>
        </w:rPr>
        <w:t>2021年在局领导下，坚持稳中求进，改革创新，各方面工作稳步推进，根据《部门整体绩效评分指标评分》，得分 93.5分。我局将执行好厉行节约源头控制，严格执行部门预算，严格执行《党政机关厉行节约反对浪费条例》和公务支出管理制度，严格控制“三公”经费，提高了资金的有效使用。</w:t>
      </w:r>
    </w:p>
    <w:p>
      <w:pPr>
        <w:ind w:firstLine="640" w:firstLineChars="200"/>
        <w:rPr>
          <w:rFonts w:ascii="仿宋" w:hAnsi="仿宋" w:eastAsia="仿宋" w:cs="仿宋"/>
          <w:sz w:val="32"/>
          <w:szCs w:val="32"/>
        </w:rPr>
      </w:pPr>
      <w:r>
        <w:rPr>
          <w:rFonts w:hint="eastAsia" w:ascii="仿宋" w:hAnsi="仿宋" w:eastAsia="仿宋" w:cs="仿宋"/>
          <w:sz w:val="32"/>
          <w:szCs w:val="32"/>
        </w:rPr>
        <w:t>（一）经济性分析。2021年严控支出，制度执行总体较为有效。</w:t>
      </w:r>
    </w:p>
    <w:p>
      <w:pPr>
        <w:ind w:left="638" w:leftChars="304"/>
        <w:rPr>
          <w:rFonts w:ascii="仿宋" w:hAnsi="仿宋" w:eastAsia="仿宋" w:cs="仿宋"/>
          <w:sz w:val="32"/>
          <w:szCs w:val="32"/>
        </w:rPr>
      </w:pPr>
      <w:r>
        <w:rPr>
          <w:rFonts w:hint="eastAsia" w:ascii="仿宋" w:hAnsi="仿宋" w:eastAsia="仿宋" w:cs="仿宋"/>
          <w:sz w:val="32"/>
          <w:szCs w:val="32"/>
        </w:rPr>
        <w:t>(二)效率性分析。我单位2021年部门整体支出绩效情况较好，各股室均按年初设定的目标任务积极完成各项工作。</w:t>
      </w:r>
    </w:p>
    <w:p>
      <w:pPr>
        <w:ind w:firstLine="640" w:firstLineChars="200"/>
        <w:rPr>
          <w:rFonts w:ascii="仿宋" w:hAnsi="仿宋" w:eastAsia="仿宋" w:cs="仿宋"/>
          <w:sz w:val="32"/>
          <w:szCs w:val="32"/>
        </w:rPr>
      </w:pPr>
      <w:r>
        <w:rPr>
          <w:rFonts w:hint="eastAsia" w:ascii="仿宋" w:hAnsi="仿宋" w:eastAsia="仿宋" w:cs="仿宋"/>
          <w:sz w:val="32"/>
          <w:szCs w:val="32"/>
        </w:rPr>
        <w:t>(三)效益性分析。</w:t>
      </w:r>
      <w:r>
        <w:rPr>
          <w:rFonts w:hint="eastAsia" w:ascii="仿宋_GB2312" w:hAnsi="仿宋_GB2312" w:eastAsia="仿宋_GB2312" w:cs="仿宋_GB2312"/>
          <w:sz w:val="32"/>
          <w:szCs w:val="32"/>
        </w:rPr>
        <w:t>2021年我县旅游人次达到520万人次，旅游总收入突破50亿元</w:t>
      </w:r>
      <w:r>
        <w:rPr>
          <w:rFonts w:hint="eastAsia" w:ascii="仿宋" w:hAnsi="仿宋" w:eastAsia="仿宋" w:cs="仿宋"/>
          <w:sz w:val="32"/>
          <w:szCs w:val="32"/>
        </w:rPr>
        <w:t xml:space="preserve">。全县文化、旅游、广播电视、体育、文物等工作有声有色，逐步提升我县的知名度和美誉度，为发展县域经济提供助力。 </w:t>
      </w:r>
    </w:p>
    <w:p>
      <w:pPr>
        <w:ind w:firstLine="640" w:firstLineChars="200"/>
        <w:rPr>
          <w:rFonts w:ascii="仿宋" w:hAnsi="仿宋" w:eastAsia="仿宋" w:cs="仿宋"/>
          <w:sz w:val="32"/>
          <w:szCs w:val="32"/>
        </w:rPr>
      </w:pPr>
      <w:r>
        <w:rPr>
          <w:rFonts w:hint="eastAsia" w:ascii="仿宋" w:hAnsi="仿宋" w:eastAsia="仿宋" w:cs="仿宋"/>
          <w:sz w:val="32"/>
          <w:szCs w:val="32"/>
        </w:rPr>
        <w:t>(四)可持续性分析。我单位大力提倡勤俭节约，坚持把有限的经费用于发展文化、旅游、广播电视、体育、文物事业上，严格审批程序，坚持财务开支一支笔。这些措施，较好地保证了财务开支和资金使用的合法合规、安全有效，较好的保证了全县文体旅游工作可持续性发展。</w:t>
      </w:r>
    </w:p>
    <w:p>
      <w:pPr>
        <w:ind w:firstLine="640" w:firstLineChars="200"/>
        <w:rPr>
          <w:rFonts w:ascii="黑体" w:hAnsi="黑体" w:eastAsia="黑体"/>
          <w:sz w:val="32"/>
          <w:szCs w:val="32"/>
        </w:rPr>
      </w:pPr>
      <w:r>
        <w:rPr>
          <w:rFonts w:hint="eastAsia" w:ascii="黑体" w:hAnsi="黑体" w:eastAsia="黑体"/>
          <w:sz w:val="32"/>
          <w:szCs w:val="32"/>
        </w:rPr>
        <w:t>六、存在的主要问题</w:t>
      </w:r>
    </w:p>
    <w:p>
      <w:pPr>
        <w:ind w:firstLine="640" w:firstLineChars="200"/>
        <w:rPr>
          <w:rFonts w:ascii="仿宋" w:hAnsi="仿宋" w:eastAsia="仿宋" w:cs="仿宋"/>
          <w:sz w:val="32"/>
          <w:szCs w:val="32"/>
        </w:rPr>
      </w:pPr>
      <w:r>
        <w:rPr>
          <w:rFonts w:hint="eastAsia" w:ascii="仿宋" w:hAnsi="仿宋" w:eastAsia="仿宋" w:cs="仿宋"/>
          <w:sz w:val="32"/>
          <w:szCs w:val="32"/>
        </w:rPr>
        <w:t>在资金管理过程中，还存在预算执行存在偏差、财务管理制度需进一步加强以及财务人员专业知识水平需进一步提高等问题。</w:t>
      </w:r>
    </w:p>
    <w:p>
      <w:pPr>
        <w:ind w:firstLine="640" w:firstLineChars="200"/>
        <w:rPr>
          <w:rFonts w:ascii="黑体" w:hAnsi="黑体" w:eastAsia="黑体"/>
          <w:sz w:val="32"/>
          <w:szCs w:val="32"/>
        </w:rPr>
      </w:pPr>
      <w:r>
        <w:rPr>
          <w:rFonts w:hint="eastAsia" w:ascii="黑体" w:hAnsi="黑体" w:eastAsia="黑体"/>
          <w:sz w:val="32"/>
          <w:szCs w:val="32"/>
        </w:rPr>
        <w:t>七、改进措施和有关建议</w:t>
      </w:r>
    </w:p>
    <w:p>
      <w:pPr>
        <w:ind w:firstLine="640" w:firstLineChars="200"/>
        <w:rPr>
          <w:rFonts w:ascii="仿宋" w:hAnsi="仿宋" w:eastAsia="仿宋" w:cs="仿宋"/>
          <w:sz w:val="32"/>
          <w:szCs w:val="32"/>
        </w:rPr>
      </w:pPr>
      <w:r>
        <w:rPr>
          <w:rFonts w:hint="eastAsia" w:ascii="仿宋" w:hAnsi="仿宋" w:eastAsia="仿宋" w:cs="仿宋"/>
          <w:sz w:val="32"/>
          <w:szCs w:val="32"/>
        </w:rPr>
        <w:t>一是加强财务管理，严把支出审核关。严格执行财务管理制度，规范各项支出审核，严防超支，促进财务管理的法制化、科学化、合理化运行。</w:t>
      </w:r>
    </w:p>
    <w:p>
      <w:pPr>
        <w:ind w:firstLine="640" w:firstLineChars="200"/>
        <w:rPr>
          <w:rFonts w:ascii="仿宋" w:hAnsi="仿宋" w:eastAsia="仿宋" w:cs="仿宋"/>
          <w:sz w:val="32"/>
          <w:szCs w:val="32"/>
        </w:rPr>
      </w:pPr>
      <w:r>
        <w:rPr>
          <w:rFonts w:hint="eastAsia" w:ascii="仿宋" w:hAnsi="仿宋" w:eastAsia="仿宋" w:cs="仿宋"/>
          <w:sz w:val="32"/>
          <w:szCs w:val="32"/>
        </w:rPr>
        <w:t>二是强化财务专业知识学习，提升专业素养。</w:t>
      </w:r>
    </w:p>
    <w:p>
      <w:pPr>
        <w:pStyle w:val="6"/>
        <w:shd w:val="clear" w:color="auto" w:fill="FFFFFF"/>
        <w:spacing w:before="0" w:beforeAutospacing="0" w:after="0" w:afterAutospacing="0" w:line="330" w:lineRule="atLeast"/>
        <w:ind w:firstLine="640"/>
        <w:jc w:val="both"/>
        <w:rPr>
          <w:rFonts w:ascii="仿宋" w:hAnsi="仿宋" w:eastAsia="仿宋" w:cs="Times New Roman"/>
          <w:sz w:val="32"/>
          <w:szCs w:val="32"/>
        </w:rPr>
      </w:pPr>
    </w:p>
    <w:p>
      <w:pPr>
        <w:pStyle w:val="6"/>
        <w:shd w:val="clear" w:color="auto" w:fill="FFFFFF"/>
        <w:spacing w:before="0" w:beforeAutospacing="0" w:after="0" w:afterAutospacing="0" w:line="330" w:lineRule="atLeast"/>
        <w:ind w:firstLine="640"/>
        <w:jc w:val="center"/>
        <w:rPr>
          <w:rFonts w:ascii="仿宋" w:hAnsi="仿宋" w:eastAsia="仿宋" w:cs="Times New Roman"/>
          <w:sz w:val="32"/>
          <w:szCs w:val="32"/>
        </w:rPr>
      </w:pPr>
    </w:p>
    <w:p>
      <w:pPr>
        <w:pStyle w:val="6"/>
        <w:shd w:val="clear" w:color="auto" w:fill="FFFFFF"/>
        <w:spacing w:before="0" w:beforeAutospacing="0" w:after="0" w:afterAutospacing="0" w:line="330" w:lineRule="atLeast"/>
        <w:ind w:firstLine="640"/>
        <w:jc w:val="center"/>
        <w:rPr>
          <w:rFonts w:ascii="仿宋" w:hAnsi="仿宋" w:eastAsia="仿宋" w:cs="Times New Roman"/>
          <w:sz w:val="32"/>
          <w:szCs w:val="32"/>
        </w:rPr>
      </w:pPr>
    </w:p>
    <w:p>
      <w:pPr>
        <w:ind w:firstLine="640" w:firstLineChars="200"/>
        <w:jc w:val="left"/>
        <w:rPr>
          <w:rFonts w:asciiTheme="minorEastAsia" w:hAnsi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5906F"/>
    <w:multiLevelType w:val="singleLevel"/>
    <w:tmpl w:val="8C55906F"/>
    <w:lvl w:ilvl="0" w:tentative="0">
      <w:start w:val="13"/>
      <w:numFmt w:val="chineseCounting"/>
      <w:suff w:val="nothing"/>
      <w:lvlText w:val="%1、"/>
      <w:lvlJc w:val="left"/>
      <w:rPr>
        <w:rFonts w:hint="eastAsia"/>
      </w:rPr>
    </w:lvl>
  </w:abstractNum>
  <w:abstractNum w:abstractNumId="1">
    <w:nsid w:val="3FBA1334"/>
    <w:multiLevelType w:val="multilevel"/>
    <w:tmpl w:val="3FBA1334"/>
    <w:lvl w:ilvl="0" w:tentative="0">
      <w:start w:val="1"/>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479"/>
        </w:tabs>
        <w:ind w:left="1479" w:hanging="420"/>
      </w:pPr>
    </w:lvl>
    <w:lvl w:ilvl="2" w:tentative="0">
      <w:start w:val="1"/>
      <w:numFmt w:val="lowerRoman"/>
      <w:lvlText w:val="%3."/>
      <w:lvlJc w:val="right"/>
      <w:pPr>
        <w:tabs>
          <w:tab w:val="left" w:pos="1899"/>
        </w:tabs>
        <w:ind w:left="1899" w:hanging="420"/>
      </w:pPr>
    </w:lvl>
    <w:lvl w:ilvl="3" w:tentative="0">
      <w:start w:val="1"/>
      <w:numFmt w:val="decimal"/>
      <w:lvlText w:val="%4."/>
      <w:lvlJc w:val="left"/>
      <w:pPr>
        <w:tabs>
          <w:tab w:val="left" w:pos="2319"/>
        </w:tabs>
        <w:ind w:left="2319" w:hanging="420"/>
      </w:pPr>
    </w:lvl>
    <w:lvl w:ilvl="4" w:tentative="0">
      <w:start w:val="1"/>
      <w:numFmt w:val="lowerLetter"/>
      <w:lvlText w:val="%5)"/>
      <w:lvlJc w:val="left"/>
      <w:pPr>
        <w:tabs>
          <w:tab w:val="left" w:pos="2739"/>
        </w:tabs>
        <w:ind w:left="2739" w:hanging="420"/>
      </w:pPr>
    </w:lvl>
    <w:lvl w:ilvl="5" w:tentative="0">
      <w:start w:val="1"/>
      <w:numFmt w:val="lowerRoman"/>
      <w:lvlText w:val="%6."/>
      <w:lvlJc w:val="right"/>
      <w:pPr>
        <w:tabs>
          <w:tab w:val="left" w:pos="3159"/>
        </w:tabs>
        <w:ind w:left="3159" w:hanging="420"/>
      </w:pPr>
    </w:lvl>
    <w:lvl w:ilvl="6" w:tentative="0">
      <w:start w:val="1"/>
      <w:numFmt w:val="decimal"/>
      <w:lvlText w:val="%7."/>
      <w:lvlJc w:val="left"/>
      <w:pPr>
        <w:tabs>
          <w:tab w:val="left" w:pos="3579"/>
        </w:tabs>
        <w:ind w:left="3579" w:hanging="420"/>
      </w:pPr>
    </w:lvl>
    <w:lvl w:ilvl="7" w:tentative="0">
      <w:start w:val="1"/>
      <w:numFmt w:val="lowerLetter"/>
      <w:lvlText w:val="%8)"/>
      <w:lvlJc w:val="left"/>
      <w:pPr>
        <w:tabs>
          <w:tab w:val="left" w:pos="3999"/>
        </w:tabs>
        <w:ind w:left="3999" w:hanging="420"/>
      </w:pPr>
    </w:lvl>
    <w:lvl w:ilvl="8" w:tentative="0">
      <w:start w:val="1"/>
      <w:numFmt w:val="lowerRoman"/>
      <w:lvlText w:val="%9."/>
      <w:lvlJc w:val="right"/>
      <w:pPr>
        <w:tabs>
          <w:tab w:val="left" w:pos="4419"/>
        </w:tabs>
        <w:ind w:left="4419" w:hanging="420"/>
      </w:pPr>
    </w:lvl>
  </w:abstractNum>
  <w:abstractNum w:abstractNumId="2">
    <w:nsid w:val="522D556A"/>
    <w:multiLevelType w:val="singleLevel"/>
    <w:tmpl w:val="522D556A"/>
    <w:lvl w:ilvl="0" w:tentative="0">
      <w:start w:val="1"/>
      <w:numFmt w:val="decimal"/>
      <w:suff w:val="nothing"/>
      <w:lvlText w:val="%1、"/>
      <w:lvlJc w:val="left"/>
      <w:pPr>
        <w:ind w:left="790" w:firstLine="0"/>
      </w:pPr>
    </w:lvl>
  </w:abstractNum>
  <w:abstractNum w:abstractNumId="3">
    <w:nsid w:val="5FF81B97"/>
    <w:multiLevelType w:val="singleLevel"/>
    <w:tmpl w:val="5FF81B97"/>
    <w:lvl w:ilvl="0" w:tentative="0">
      <w:start w:val="1"/>
      <w:numFmt w:val="chineseCounting"/>
      <w:suff w:val="nothing"/>
      <w:lvlText w:val="（%1）"/>
      <w:lvlJc w:val="left"/>
      <w:pPr>
        <w:ind w:left="200"/>
      </w:pPr>
      <w:rPr>
        <w:rFonts w:hint="eastAsia"/>
      </w:rPr>
    </w:lvl>
  </w:abstractNum>
  <w:abstractNum w:abstractNumId="4">
    <w:nsid w:val="6EB3094F"/>
    <w:multiLevelType w:val="multilevel"/>
    <w:tmpl w:val="6EB3094F"/>
    <w:lvl w:ilvl="0" w:tentative="0">
      <w:start w:val="1"/>
      <w:numFmt w:val="japaneseCounting"/>
      <w:lvlText w:val="（%1）"/>
      <w:lvlJc w:val="left"/>
      <w:pPr>
        <w:tabs>
          <w:tab w:val="left" w:pos="1560"/>
        </w:tabs>
        <w:ind w:left="1560" w:hanging="10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B815DD0"/>
    <w:multiLevelType w:val="multilevel"/>
    <w:tmpl w:val="7B815DD0"/>
    <w:lvl w:ilvl="0" w:tentative="0">
      <w:start w:val="4"/>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B4EB9"/>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11129"/>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46918"/>
    <w:rsid w:val="00B51F8E"/>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19B3"/>
    <w:rsid w:val="00D415BA"/>
    <w:rsid w:val="00D644EE"/>
    <w:rsid w:val="00DD06FF"/>
    <w:rsid w:val="00DD5FE9"/>
    <w:rsid w:val="00E00C7A"/>
    <w:rsid w:val="00E37D6C"/>
    <w:rsid w:val="00E55B68"/>
    <w:rsid w:val="00E67BE6"/>
    <w:rsid w:val="00E8683C"/>
    <w:rsid w:val="00EA2B72"/>
    <w:rsid w:val="00EA64A8"/>
    <w:rsid w:val="00ED2396"/>
    <w:rsid w:val="00F74360"/>
    <w:rsid w:val="00FB462F"/>
    <w:rsid w:val="00FE16FA"/>
    <w:rsid w:val="00FE328A"/>
    <w:rsid w:val="00FE6269"/>
    <w:rsid w:val="01131595"/>
    <w:rsid w:val="028479EA"/>
    <w:rsid w:val="02BB01AD"/>
    <w:rsid w:val="03A52548"/>
    <w:rsid w:val="03FE64C9"/>
    <w:rsid w:val="04091154"/>
    <w:rsid w:val="04A722F0"/>
    <w:rsid w:val="04D121D4"/>
    <w:rsid w:val="0544419A"/>
    <w:rsid w:val="06692E75"/>
    <w:rsid w:val="06913A7D"/>
    <w:rsid w:val="06A2567A"/>
    <w:rsid w:val="070765CB"/>
    <w:rsid w:val="070B60F9"/>
    <w:rsid w:val="0CE94688"/>
    <w:rsid w:val="0CEA36C2"/>
    <w:rsid w:val="0F2A5FF8"/>
    <w:rsid w:val="0FD941D6"/>
    <w:rsid w:val="108E52D2"/>
    <w:rsid w:val="12C56C25"/>
    <w:rsid w:val="132C2EB7"/>
    <w:rsid w:val="136F0713"/>
    <w:rsid w:val="13D52058"/>
    <w:rsid w:val="16BD0347"/>
    <w:rsid w:val="16C06143"/>
    <w:rsid w:val="180E6AEE"/>
    <w:rsid w:val="18577208"/>
    <w:rsid w:val="196566AE"/>
    <w:rsid w:val="1B054870"/>
    <w:rsid w:val="1D437FEC"/>
    <w:rsid w:val="1E31475A"/>
    <w:rsid w:val="1EF17361"/>
    <w:rsid w:val="1F5A5264"/>
    <w:rsid w:val="1FD412D1"/>
    <w:rsid w:val="1FFA4B9B"/>
    <w:rsid w:val="212C4311"/>
    <w:rsid w:val="226C5744"/>
    <w:rsid w:val="22773EA7"/>
    <w:rsid w:val="22BB63D9"/>
    <w:rsid w:val="24BF6DB5"/>
    <w:rsid w:val="24E26372"/>
    <w:rsid w:val="25A44243"/>
    <w:rsid w:val="26810093"/>
    <w:rsid w:val="27356AFF"/>
    <w:rsid w:val="27846795"/>
    <w:rsid w:val="27F61647"/>
    <w:rsid w:val="281B5F90"/>
    <w:rsid w:val="2AAB5DE7"/>
    <w:rsid w:val="2AF2650A"/>
    <w:rsid w:val="2BC45765"/>
    <w:rsid w:val="2C9A2678"/>
    <w:rsid w:val="2CAE08E5"/>
    <w:rsid w:val="2D2D19F6"/>
    <w:rsid w:val="2DDF28BD"/>
    <w:rsid w:val="30104A48"/>
    <w:rsid w:val="30900A94"/>
    <w:rsid w:val="312226AA"/>
    <w:rsid w:val="31924095"/>
    <w:rsid w:val="31B73754"/>
    <w:rsid w:val="31BE585B"/>
    <w:rsid w:val="330D3985"/>
    <w:rsid w:val="33236B49"/>
    <w:rsid w:val="33DB1199"/>
    <w:rsid w:val="35306BDB"/>
    <w:rsid w:val="356C4F47"/>
    <w:rsid w:val="35FE17D3"/>
    <w:rsid w:val="36D73B9F"/>
    <w:rsid w:val="3775409A"/>
    <w:rsid w:val="378F4136"/>
    <w:rsid w:val="379B2D9A"/>
    <w:rsid w:val="37A75790"/>
    <w:rsid w:val="38AE4DC8"/>
    <w:rsid w:val="39CF64A6"/>
    <w:rsid w:val="3A82437F"/>
    <w:rsid w:val="3C552056"/>
    <w:rsid w:val="3D8A5E9B"/>
    <w:rsid w:val="3DF23D85"/>
    <w:rsid w:val="3F1A64D4"/>
    <w:rsid w:val="3F340649"/>
    <w:rsid w:val="3F88660A"/>
    <w:rsid w:val="3FE37EF7"/>
    <w:rsid w:val="408D24DA"/>
    <w:rsid w:val="413D7F9F"/>
    <w:rsid w:val="426556F9"/>
    <w:rsid w:val="426D6E1A"/>
    <w:rsid w:val="43877A66"/>
    <w:rsid w:val="43FA7569"/>
    <w:rsid w:val="44BF77C0"/>
    <w:rsid w:val="46C83092"/>
    <w:rsid w:val="47652DF2"/>
    <w:rsid w:val="478927B7"/>
    <w:rsid w:val="48001C61"/>
    <w:rsid w:val="482E0CE1"/>
    <w:rsid w:val="49D62EE3"/>
    <w:rsid w:val="4AD07121"/>
    <w:rsid w:val="4B74410D"/>
    <w:rsid w:val="4BCD39B7"/>
    <w:rsid w:val="4C0D5D02"/>
    <w:rsid w:val="4C8B0FB5"/>
    <w:rsid w:val="4D5B5799"/>
    <w:rsid w:val="4D64415E"/>
    <w:rsid w:val="4E1407FF"/>
    <w:rsid w:val="4E284814"/>
    <w:rsid w:val="4F4B015E"/>
    <w:rsid w:val="50567E65"/>
    <w:rsid w:val="51C85F8E"/>
    <w:rsid w:val="529A036B"/>
    <w:rsid w:val="53506AB8"/>
    <w:rsid w:val="53F55835"/>
    <w:rsid w:val="54992F2F"/>
    <w:rsid w:val="55E90A6E"/>
    <w:rsid w:val="56B60596"/>
    <w:rsid w:val="57E130C3"/>
    <w:rsid w:val="58415BA0"/>
    <w:rsid w:val="58F17FB5"/>
    <w:rsid w:val="5B003044"/>
    <w:rsid w:val="5CFC0196"/>
    <w:rsid w:val="5E157247"/>
    <w:rsid w:val="5E386227"/>
    <w:rsid w:val="605B003F"/>
    <w:rsid w:val="60742864"/>
    <w:rsid w:val="612D5070"/>
    <w:rsid w:val="61605782"/>
    <w:rsid w:val="617126AF"/>
    <w:rsid w:val="61762489"/>
    <w:rsid w:val="62A52FA5"/>
    <w:rsid w:val="640E6598"/>
    <w:rsid w:val="655D3BA6"/>
    <w:rsid w:val="657B01FE"/>
    <w:rsid w:val="663709B2"/>
    <w:rsid w:val="66763171"/>
    <w:rsid w:val="6BFC2DE6"/>
    <w:rsid w:val="6CD16B0B"/>
    <w:rsid w:val="6D2A5958"/>
    <w:rsid w:val="6DFE5E04"/>
    <w:rsid w:val="6DFF3196"/>
    <w:rsid w:val="6E095681"/>
    <w:rsid w:val="6E4A44EC"/>
    <w:rsid w:val="6E753E22"/>
    <w:rsid w:val="6E755BBF"/>
    <w:rsid w:val="6E941928"/>
    <w:rsid w:val="6F641FBF"/>
    <w:rsid w:val="6F7D0BB4"/>
    <w:rsid w:val="6FF61688"/>
    <w:rsid w:val="700D431C"/>
    <w:rsid w:val="70B60D34"/>
    <w:rsid w:val="71EB601D"/>
    <w:rsid w:val="73387E44"/>
    <w:rsid w:val="73B25A8D"/>
    <w:rsid w:val="7512009D"/>
    <w:rsid w:val="75C20753"/>
    <w:rsid w:val="75E75974"/>
    <w:rsid w:val="76B13D52"/>
    <w:rsid w:val="76E41896"/>
    <w:rsid w:val="79974A93"/>
    <w:rsid w:val="7B542713"/>
    <w:rsid w:val="7BB91313"/>
    <w:rsid w:val="7BD737AE"/>
    <w:rsid w:val="7D866162"/>
    <w:rsid w:val="7F64763D"/>
    <w:rsid w:val="7FDA5C0A"/>
    <w:rsid w:val="7FEC5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cs="Courier New"/>
      <w:szCs w:val="21"/>
    </w:rPr>
  </w:style>
  <w:style w:type="paragraph" w:styleId="4">
    <w:name w:val="Balloon Text"/>
    <w:basedOn w:val="1"/>
    <w:link w:val="13"/>
    <w:semiHidden/>
    <w:unhideWhenUsed/>
    <w:qFormat/>
    <w:uiPriority w:val="99"/>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2"/>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15643</Words>
  <Characters>19508</Characters>
  <Lines>163</Lines>
  <Paragraphs>45</Paragraphs>
  <TotalTime>1</TotalTime>
  <ScaleCrop>false</ScaleCrop>
  <LinksUpToDate>false</LinksUpToDate>
  <CharactersWithSpaces>20399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2022-08-28T01:41:00Z</cp:lastPrinted>
  <dcterms:modified xsi:type="dcterms:W3CDTF">2022-09-03T06:51:17Z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C52B39265EF2424081575915E72ECEC0</vt:lpwstr>
  </property>
</Properties>
</file>