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2022年度</w:t>
      </w:r>
    </w:p>
    <w:p>
      <w:pPr>
        <w:pStyle w:val="10"/>
        <w:jc w:val="center"/>
        <w:rPr>
          <w:sz w:val="84"/>
          <w:szCs w:val="84"/>
        </w:rPr>
      </w:pPr>
      <w:r>
        <w:rPr>
          <w:rFonts w:hint="eastAsia"/>
          <w:sz w:val="84"/>
          <w:szCs w:val="84"/>
        </w:rPr>
        <w:t>溆浦县市场监督管理局</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第一部分溆浦县市场监督管理局概况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rPr>
          <w:sz w:val="72"/>
          <w:szCs w:val="72"/>
        </w:rPr>
      </w:pPr>
    </w:p>
    <w:p>
      <w:pPr>
        <w:jc w:val="center"/>
        <w:rPr>
          <w:sz w:val="72"/>
          <w:szCs w:val="72"/>
        </w:rPr>
      </w:pPr>
    </w:p>
    <w:p>
      <w:pPr>
        <w:jc w:val="center"/>
        <w:rPr>
          <w:sz w:val="72"/>
          <w:szCs w:val="72"/>
        </w:rPr>
      </w:pPr>
    </w:p>
    <w:p>
      <w:pP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溆浦县市场监督管理局</w:t>
      </w:r>
    </w:p>
    <w:p>
      <w:pPr>
        <w:pStyle w:val="10"/>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市场综合监督管理。拟订市场监督管理有关制度措施，组织实施质量强县战略、食品安全战略、标准化战略和知识产权战略，拟订并组织实施有关规划，规范和维护市场秩序，营造诚实守信、公平竞争的市场环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市场主体统一登记注册。指导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3、负责组织和指导市场监管综合执法工作。组织查处违法案件。规范市场监管行政执法行为。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4、负责反垄断工作。统筹推进竞争政策实施，组织实施公平竞争审查制度。依法对经营者集中行为进行反垄断审查，根据授权负责垄断协议、滥用市场支配地位和滥用行政权力排除、限制竞争等反垄断工作。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承担依法查处无照生产经营和相关无证生产经营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6、负责宏观质量管理。拟订推进质量强县战略的政策措施并组织实施，会同有关部门组织实施重大工程设备质量监理制度，组织质量事故调查，贯彻实施缺陷产品召回制度，监督管理产品防伪工作。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7、负责产品质量安全监督管理。负责产品质量安全风险监控、全县监督抽查工作。落实质量分级制度、质量安全追溯制度。负责工业产品生产许可监督管理。负责纤维质量监督工作。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8、负责特种设备安全监督管理。综合管理特种设备安全监察、监督工作。监督检查高耗能特种设备节能标准和锅炉环境保护标准的执行情况。按规定权限组织调查处理特种设备事故并进行统计分析。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食品安全监督管理综合协调。组织制定食品安全重大政策并组织实施。负责食品安全应急体系建设，组织指导重大食品安全事件应急处置和调查处理工作。落实食品安全重要信息直报制度。承担县食品安全委员会日常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11、负责统一管理计量工作。推行法定计量单位和国家计量制度，依职责管理计量器具及量值传递和比对工作。规范、监督商品量和市场计量行为。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12、负责统一管理标准化工作。依法承担地方标准立项、编号和发布工作，指导开展标准化试点示范工作。依据法定职责，对标准的制定进行指导监督，对标准的实施进行监督检查。推行采用国际标准。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13、负责统一管理检验检测工作。推进检验检测机构改革，规范检验检测市场，完善检验检测体系，指导协调检验检测行业发展。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14、负责统一管理、监督和综合协调全县认证认可工作。依法监督管理全县认证认可和合格评定有关活动。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15、负责市场监督管理、知识产权领域科技和信息化建设、新闻宣传、对外交流与合作。按规定承担技术性贸易措施有关工作。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16、负责实施知识产权战略，配合推进知识产权强省建设。制定实施知识产权创造、保护、运用的政策和措施。负责知识产权公共服务体系建设，推动知识产权信息传播利用，统筹协调涉外知识产权有关事宜。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17、负责保护知识产权。落实严格保护商标、专利、原产地地理标志等相关工作，负责知识产权保护体系建设，组织指导商标、专利执法工作。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18、负责知识产权创造运用。按权限负责商标、专利和原产地地理标志的管理，开展知识产权运营体系建设，指导重大经济活动知识产权评议，规范知识产权交易和无形资产评估，促进知识产权转移转化。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19、负责组织开展有关服务领域消费维权工作，查处制售假冒伪劣等违法行为，指导消费者咨询、申诉、举报受理、处理和网络体系建设等工作，保护经营者、消费者合法权益。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负责药品（含中药、民族药，下同）、医疗器械和化妆品安全监督管理。贯彻执行国家药品、医疗器械和化妆品监督管理的法律、法规和规章，拟订相关制度措施，并组织实施。研究拟订鼓励药品、医疗器械和化妆品新技术新产品的管理与服务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21、监督实施药品、医疗器械、化妆品分类管理制度，配合有关部门实施国家基本药物制度。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22、负责药品、医疗器械和化妆品质量管理。监督实施药品、医疗器械经营质量管理规范，监督实施化妆品经营、使用卫生标准和技术规范。负责药品零售许可和医疗器械经营许可、备案。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23、负责药品、医疗器械和化妆品上市后风险管理。组织开展药品不良反应、医疗器械不良事件和化妆品不良反应的监测、评价和处置工作。依法承担药品、医疗器械和化妆品安全应急管理工作。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24、负责组织实施药品、医疗器械和化妆品监督检查。落实检查制度，依法查处药品零售、使用环节及医疗器械和化妆品经营、使用环节违法行为。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25、负责职责范围内食品药品行业安全生产工作。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26、完成县委、县政府交办的其他任务。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600" w:lineRule="exact"/>
        <w:ind w:firstLine="640" w:firstLineChars="200"/>
        <w:rPr>
          <w:rFonts w:ascii="仿宋_GB2312" w:hAnsi="仿宋_GB2312" w:eastAsia="仿宋_GB2312" w:cs="仿宋_GB2312"/>
          <w:sz w:val="32"/>
          <w:szCs w:val="32"/>
        </w:rPr>
      </w:pPr>
      <w:r>
        <w:rPr>
          <w:rFonts w:hint="eastAsia" w:asciiTheme="minorEastAsia" w:hAnsiTheme="minorEastAsia"/>
          <w:bCs/>
          <w:kern w:val="0"/>
          <w:sz w:val="32"/>
          <w:szCs w:val="32"/>
        </w:rPr>
        <w:t>（一）内设机构设置。</w:t>
      </w:r>
      <w:r>
        <w:rPr>
          <w:rFonts w:hint="eastAsia" w:ascii="仿宋_GB2312" w:eastAsia="仿宋_GB2312"/>
          <w:sz w:val="32"/>
          <w:szCs w:val="32"/>
        </w:rPr>
        <w:t>我局设</w:t>
      </w:r>
      <w:r>
        <w:rPr>
          <w:rFonts w:ascii="仿宋_GB2312" w:eastAsia="仿宋_GB2312"/>
          <w:sz w:val="32"/>
          <w:szCs w:val="32"/>
        </w:rPr>
        <w:t>1</w:t>
      </w:r>
      <w:r>
        <w:rPr>
          <w:rFonts w:hint="eastAsia" w:ascii="仿宋_GB2312" w:eastAsia="仿宋_GB2312"/>
          <w:sz w:val="32"/>
          <w:szCs w:val="32"/>
        </w:rPr>
        <w:t>9个内设机构，具体有</w:t>
      </w:r>
      <w:r>
        <w:rPr>
          <w:rFonts w:hint="eastAsia" w:ascii="仿宋_GB2312" w:hAnsi="仿宋_GB2312" w:eastAsia="仿宋_GB2312" w:cs="仿宋_GB2312"/>
          <w:sz w:val="32"/>
          <w:szCs w:val="32"/>
        </w:rPr>
        <w:t>办公室，政策法规股，</w:t>
      </w:r>
      <w:r>
        <w:rPr>
          <w:rFonts w:hint="eastAsia" w:ascii="仿宋_GB2312" w:hAnsi="仿宋_GB2312" w:eastAsia="仿宋_GB2312" w:cs="仿宋_GB2312"/>
          <w:sz w:val="32"/>
          <w:szCs w:val="32"/>
          <w:lang w:val="zh-CN"/>
        </w:rPr>
        <w:t>科技和财务股，人事股（离退休人员管理服务股）</w:t>
      </w:r>
      <w:r>
        <w:rPr>
          <w:rFonts w:hint="eastAsia" w:ascii="仿宋_GB2312" w:hAnsi="仿宋_GB2312" w:eastAsia="仿宋_GB2312" w:cs="仿宋_GB2312"/>
          <w:sz w:val="32"/>
          <w:szCs w:val="32"/>
        </w:rPr>
        <w:t>，标准质量监督管理股，计量和认证股，特种设备安全监察股，反不正当竞争和反垄断股（规范直销与打击传销办公室），登记注册股（行政审批服务股），信用监督管理股，网络交易监督管理股，消费者权益保护股，广告监督管理股，食品安全协调股（县食品安全委员会办公室），食品安全监督管理股，餐保化监督管理股（含特殊食品），药品医疗器械监督管理股，知识产权保护股，价格监督检查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场监督管理局下设25个乡镇市场监督管理所，是县市场监督管理局派出机构。名称为溆浦县市场监督管理局XXX乡（镇）市场监督管理所，实行县乡共管、以县管为主。各乡镇政府确定一名副职分管此项工作。主要职责是：受县市场监督管理局委托，负责辖区内有关市场监督管理有关工作；承担局机关以及当地乡镇党委、政府交办的其它工作。</w:t>
      </w:r>
    </w:p>
    <w:p>
      <w:pPr>
        <w:widowControl/>
        <w:spacing w:line="600" w:lineRule="exact"/>
        <w:ind w:firstLine="640" w:firstLineChars="200"/>
        <w:rPr>
          <w:rFonts w:ascii="黑体" w:hAnsi="黑体" w:eastAsia="黑体"/>
          <w:sz w:val="28"/>
          <w:szCs w:val="28"/>
        </w:rPr>
      </w:pPr>
      <w:r>
        <w:rPr>
          <w:rFonts w:hint="eastAsia" w:asciiTheme="minorEastAsia" w:hAnsiTheme="minorEastAsia"/>
          <w:bCs/>
          <w:kern w:val="0"/>
          <w:sz w:val="32"/>
          <w:szCs w:val="32"/>
        </w:rPr>
        <w:t>（二）决算单位构成。</w:t>
      </w:r>
      <w:r>
        <w:rPr>
          <w:rFonts w:hint="eastAsia" w:ascii="仿宋_GB2312" w:eastAsia="仿宋_GB2312"/>
          <w:sz w:val="32"/>
          <w:szCs w:val="32"/>
        </w:rPr>
        <w:t>溆浦县市场监督管理局2022年部门决算汇总公开，单位构成包括：溆浦县市场监督管理局本级。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10"/>
        <w:jc w:val="center"/>
        <w:rPr>
          <w:rFonts w:ascii="方正小标宋_GBK" w:hAnsi="方正小标宋_GBK" w:eastAsia="方正小标宋_GBK" w:cs="方正小标宋_GBK"/>
          <w:sz w:val="84"/>
          <w:szCs w:val="84"/>
        </w:rPr>
      </w:pPr>
    </w:p>
    <w:p>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ascii="方正小标宋_GBK" w:hAnsi="方正小标宋_GBK" w:eastAsia="方正小标宋_GBK" w:cs="方正小标宋_GBK"/>
          <w:sz w:val="84"/>
          <w:szCs w:val="84"/>
        </w:rPr>
      </w:pPr>
    </w:p>
    <w:p>
      <w:pPr>
        <w:pStyle w:val="10"/>
        <w:jc w:val="center"/>
        <w:rPr>
          <w:rFonts w:ascii="方正小标宋_GBK" w:hAnsi="方正小标宋_GBK" w:eastAsia="方正小标宋_GBK" w:cs="方正小标宋_GBK"/>
          <w:sz w:val="84"/>
          <w:szCs w:val="84"/>
        </w:rPr>
      </w:pPr>
      <w:r>
        <w:rPr>
          <w:rFonts w:hint="eastAsia"/>
          <w:sz w:val="84"/>
          <w:szCs w:val="84"/>
        </w:rPr>
        <w:t>溆浦县市场监督管理局</w:t>
      </w:r>
    </w:p>
    <w:p>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428" w:type="dxa"/>
        <w:tblInd w:w="0" w:type="dxa"/>
        <w:tblLayout w:type="fixed"/>
        <w:tblCellMar>
          <w:top w:w="0" w:type="dxa"/>
          <w:left w:w="0" w:type="dxa"/>
          <w:bottom w:w="0" w:type="dxa"/>
          <w:right w:w="0" w:type="dxa"/>
        </w:tblCellMar>
      </w:tblPr>
      <w:tblGrid>
        <w:gridCol w:w="15428"/>
      </w:tblGrid>
      <w:tr>
        <w:tblPrEx>
          <w:tblCellMar>
            <w:top w:w="0" w:type="dxa"/>
            <w:left w:w="0" w:type="dxa"/>
            <w:bottom w:w="0" w:type="dxa"/>
            <w:right w:w="0" w:type="dxa"/>
          </w:tblCellMar>
        </w:tblPrEx>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0" w:type="dxa"/>
              <w:tblLayout w:type="fixed"/>
              <w:tblCellMar>
                <w:top w:w="0" w:type="dxa"/>
                <w:left w:w="108" w:type="dxa"/>
                <w:bottom w:w="0" w:type="dxa"/>
                <w:right w:w="108" w:type="dxa"/>
              </w:tblCellMar>
            </w:tblPr>
            <w:tblGrid>
              <w:gridCol w:w="3942"/>
              <w:gridCol w:w="568"/>
              <w:gridCol w:w="1704"/>
              <w:gridCol w:w="4236"/>
              <w:gridCol w:w="1126"/>
              <w:gridCol w:w="1134"/>
              <w:gridCol w:w="816"/>
              <w:gridCol w:w="1872"/>
            </w:tblGrid>
            <w:tr>
              <w:tblPrEx>
                <w:tblCellMar>
                  <w:top w:w="0" w:type="dxa"/>
                  <w:left w:w="108" w:type="dxa"/>
                  <w:bottom w:w="0" w:type="dxa"/>
                  <w:right w:w="108" w:type="dxa"/>
                </w:tblCellMar>
              </w:tblPrEx>
              <w:trPr>
                <w:trHeight w:val="304" w:hRule="atLeast"/>
              </w:trPr>
              <w:tc>
                <w:tcPr>
                  <w:tcW w:w="3942" w:type="dxa"/>
                  <w:tcBorders>
                    <w:top w:val="nil"/>
                    <w:left w:val="nil"/>
                    <w:bottom w:val="nil"/>
                    <w:right w:val="nil"/>
                  </w:tcBorders>
                  <w:shd w:val="clear" w:color="auto" w:fill="auto"/>
                  <w:noWrap/>
                  <w:vAlign w:val="center"/>
                </w:tcPr>
                <w:p>
                  <w:pPr>
                    <w:jc w:val="left"/>
                    <w:rPr>
                      <w:rFonts w:ascii="黑体" w:hAnsi="宋体" w:eastAsia="黑体" w:cs="黑体"/>
                      <w:color w:val="000000"/>
                      <w:sz w:val="24"/>
                      <w:szCs w:val="24"/>
                    </w:rPr>
                  </w:pPr>
                </w:p>
              </w:tc>
              <w:tc>
                <w:tcPr>
                  <w:tcW w:w="568"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704"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4236"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2260" w:type="dxa"/>
                  <w:gridSpan w:val="2"/>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2688" w:type="dxa"/>
                  <w:gridSpan w:val="2"/>
                  <w:tcBorders>
                    <w:top w:val="nil"/>
                    <w:left w:val="nil"/>
                    <w:bottom w:val="nil"/>
                    <w:right w:val="nil"/>
                  </w:tcBorders>
                  <w:shd w:val="clear" w:color="auto" w:fill="auto"/>
                  <w:noWrap/>
                  <w:vAlign w:val="center"/>
                </w:tcPr>
                <w:p>
                  <w:pPr>
                    <w:jc w:val="right"/>
                    <w:rPr>
                      <w:rFonts w:ascii="黑体" w:hAnsi="宋体" w:eastAsia="黑体" w:cs="黑体"/>
                      <w:color w:val="000000"/>
                      <w:sz w:val="24"/>
                      <w:szCs w:val="24"/>
                    </w:rPr>
                  </w:pPr>
                </w:p>
              </w:tc>
            </w:tr>
            <w:tr>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trHeight w:val="304" w:hRule="atLeast"/>
              </w:trPr>
              <w:tc>
                <w:tcPr>
                  <w:tcW w:w="3942"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568"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704"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4236"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260" w:type="dxa"/>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688"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4" w:hRule="atLeast"/>
              </w:trPr>
              <w:tc>
                <w:tcPr>
                  <w:tcW w:w="3942"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568"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1704"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4236"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260" w:type="dxa"/>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688"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872" w:type="dxa"/>
                <w:trHeight w:val="448" w:hRule="atLeast"/>
              </w:trPr>
              <w:tc>
                <w:tcPr>
                  <w:tcW w:w="62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3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tblPrEx>
                <w:tblCellMar>
                  <w:top w:w="0" w:type="dxa"/>
                  <w:left w:w="108" w:type="dxa"/>
                  <w:bottom w:w="0" w:type="dxa"/>
                  <w:right w:w="108" w:type="dxa"/>
                </w:tblCellMar>
              </w:tblPrEx>
              <w:trPr>
                <w:gridAfter w:val="1"/>
                <w:wAfter w:w="1872" w:type="dxa"/>
                <w:trHeight w:val="62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3432.23</w:t>
                  </w: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八、社会保障和就业支出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10.08</w:t>
                  </w:r>
                </w:p>
              </w:tc>
              <w:tc>
                <w:tcPr>
                  <w:tcW w:w="4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w:t>
                  </w: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4049.97</w:t>
                  </w:r>
                </w:p>
              </w:tc>
              <w:tc>
                <w:tcPr>
                  <w:tcW w:w="4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4049.97</w:t>
                  </w: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1872" w:type="dxa"/>
                <w:trHeight w:val="62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1872" w:type="dxa"/>
                <w:trHeight w:val="448" w:hRule="atLeast"/>
              </w:trPr>
              <w:tc>
                <w:tcPr>
                  <w:tcW w:w="3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4049.97</w:t>
                  </w:r>
                </w:p>
              </w:tc>
              <w:tc>
                <w:tcPr>
                  <w:tcW w:w="4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4049.97</w:t>
                  </w:r>
                </w:p>
              </w:tc>
            </w:tr>
            <w:tr>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pPr>
              <w:jc w:val="center"/>
              <w:rPr>
                <w:rFonts w:ascii="华文中宋" w:hAnsi="华文中宋" w:eastAsia="华文中宋" w:cs="宋体"/>
                <w:color w:val="000000"/>
                <w:sz w:val="32"/>
                <w:szCs w:val="32"/>
              </w:rPr>
            </w:pPr>
          </w:p>
        </w:tc>
      </w:tr>
    </w:tbl>
    <w:p>
      <w:pPr>
        <w:widowControl/>
        <w:jc w:val="left"/>
        <w:rPr>
          <w:rFonts w:ascii="Times New Roman" w:hAnsi="Times New Roman" w:eastAsia="黑体" w:cs="Times New Roman"/>
          <w:bCs/>
          <w:kern w:val="0"/>
          <w:sz w:val="32"/>
          <w:szCs w:val="32"/>
        </w:rPr>
      </w:pPr>
    </w:p>
    <w:tbl>
      <w:tblPr>
        <w:tblStyle w:val="5"/>
        <w:tblW w:w="15200" w:type="dxa"/>
        <w:tblInd w:w="93" w:type="dxa"/>
        <w:tblLayout w:type="fixed"/>
        <w:tblCellMar>
          <w:top w:w="0" w:type="dxa"/>
          <w:left w:w="108" w:type="dxa"/>
          <w:bottom w:w="0" w:type="dxa"/>
          <w:right w:w="108" w:type="dxa"/>
        </w:tblCellMar>
      </w:tblPr>
      <w:tblGrid>
        <w:gridCol w:w="923"/>
        <w:gridCol w:w="236"/>
        <w:gridCol w:w="236"/>
        <w:gridCol w:w="3045"/>
        <w:gridCol w:w="2029"/>
        <w:gridCol w:w="1785"/>
        <w:gridCol w:w="795"/>
        <w:gridCol w:w="1155"/>
        <w:gridCol w:w="1185"/>
        <w:gridCol w:w="1620"/>
        <w:gridCol w:w="2191"/>
      </w:tblGrid>
      <w:tr>
        <w:tblPrEx>
          <w:tblCellMar>
            <w:top w:w="0" w:type="dxa"/>
            <w:left w:w="108" w:type="dxa"/>
            <w:bottom w:w="0" w:type="dxa"/>
            <w:right w:w="108" w:type="dxa"/>
          </w:tblCellMar>
        </w:tblPrEx>
        <w:trPr>
          <w:trHeight w:val="575" w:hRule="atLeast"/>
        </w:trPr>
        <w:tc>
          <w:tcPr>
            <w:tcW w:w="15200" w:type="dxa"/>
            <w:gridSpan w:val="11"/>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收入决算表</w:t>
            </w:r>
          </w:p>
        </w:tc>
      </w:tr>
      <w:tr>
        <w:tblPrEx>
          <w:tblCellMar>
            <w:top w:w="0" w:type="dxa"/>
            <w:left w:w="108" w:type="dxa"/>
            <w:bottom w:w="0" w:type="dxa"/>
            <w:right w:w="108" w:type="dxa"/>
          </w:tblCellMar>
        </w:tblPrEx>
        <w:trPr>
          <w:trHeight w:val="288" w:hRule="atLeast"/>
        </w:trPr>
        <w:tc>
          <w:tcPr>
            <w:tcW w:w="92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9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91"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108" w:type="dxa"/>
            <w:bottom w:w="0" w:type="dxa"/>
            <w:right w:w="108" w:type="dxa"/>
          </w:tblCellMar>
        </w:tblPrEx>
        <w:trPr>
          <w:trHeight w:val="288" w:hRule="atLeast"/>
        </w:trPr>
        <w:tc>
          <w:tcPr>
            <w:tcW w:w="444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部门：溆浦县市场监督管理局</w:t>
            </w:r>
          </w:p>
        </w:tc>
        <w:tc>
          <w:tcPr>
            <w:tcW w:w="20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9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91"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297" w:hRule="atLeast"/>
        </w:trPr>
        <w:tc>
          <w:tcPr>
            <w:tcW w:w="444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202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78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9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115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18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62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219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139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kern w:val="0"/>
                <w:sz w:val="24"/>
                <w:szCs w:val="24"/>
              </w:rPr>
              <w:t>功能分类科目编码</w:t>
            </w:r>
          </w:p>
        </w:tc>
        <w:tc>
          <w:tcPr>
            <w:tcW w:w="3045" w:type="dxa"/>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02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7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79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219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139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304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202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7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79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219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1053" w:hRule="atLeast"/>
        </w:trPr>
        <w:tc>
          <w:tcPr>
            <w:tcW w:w="1395"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304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202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7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79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219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297" w:hRule="atLeast"/>
        </w:trPr>
        <w:tc>
          <w:tcPr>
            <w:tcW w:w="444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029"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78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9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5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85"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62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2191"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CellMar>
            <w:top w:w="0" w:type="dxa"/>
            <w:left w:w="108" w:type="dxa"/>
            <w:bottom w:w="0" w:type="dxa"/>
            <w:right w:w="108" w:type="dxa"/>
          </w:tblCellMar>
        </w:tblPrEx>
        <w:trPr>
          <w:trHeight w:val="297" w:hRule="atLeast"/>
        </w:trPr>
        <w:tc>
          <w:tcPr>
            <w:tcW w:w="444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4,049.97</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4,039.89</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10.08</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3,432.23</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3,422.15</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10.08</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20114</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知识产权事务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2011409</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知识产权宏观管理</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市场监督管理事务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3,421.72</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3,411.64</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10.08</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2,428.03</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2,417.96</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10.08</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2013802</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192.81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192.81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2013804</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市场主体管理</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48.48</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48.48</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2013805</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市场秩序执法</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31.94</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31.94</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2013808</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信息化建设</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2013810</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质量基础</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12.88</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12.88</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2013812</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药品事务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2013816</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食品安全监管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347.71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347.71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2013899</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其他市场监督管理事务</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337.87</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337.87</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死亡抚恤</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行政单位医疗</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39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202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7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7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5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19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97" w:hRule="atLeast"/>
        </w:trPr>
        <w:tc>
          <w:tcPr>
            <w:tcW w:w="15200" w:type="dxa"/>
            <w:gridSpan w:val="11"/>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21"/>
        </w:rPr>
      </w:pPr>
    </w:p>
    <w:tbl>
      <w:tblPr>
        <w:tblStyle w:val="5"/>
        <w:tblW w:w="15725" w:type="dxa"/>
        <w:tblInd w:w="93" w:type="dxa"/>
        <w:tblLayout w:type="fixed"/>
        <w:tblCellMar>
          <w:top w:w="0" w:type="dxa"/>
          <w:left w:w="108" w:type="dxa"/>
          <w:bottom w:w="0" w:type="dxa"/>
          <w:right w:w="108" w:type="dxa"/>
        </w:tblCellMar>
      </w:tblPr>
      <w:tblGrid>
        <w:gridCol w:w="2811"/>
        <w:gridCol w:w="236"/>
        <w:gridCol w:w="236"/>
        <w:gridCol w:w="4101"/>
        <w:gridCol w:w="1457"/>
        <w:gridCol w:w="1610"/>
        <w:gridCol w:w="1351"/>
        <w:gridCol w:w="1090"/>
        <w:gridCol w:w="1090"/>
        <w:gridCol w:w="1743"/>
      </w:tblGrid>
      <w:tr>
        <w:tblPrEx>
          <w:tblCellMar>
            <w:top w:w="0" w:type="dxa"/>
            <w:left w:w="108" w:type="dxa"/>
            <w:bottom w:w="0" w:type="dxa"/>
            <w:right w:w="108" w:type="dxa"/>
          </w:tblCellMar>
        </w:tblPrEx>
        <w:trPr>
          <w:trHeight w:val="390" w:hRule="atLeast"/>
        </w:trPr>
        <w:tc>
          <w:tcPr>
            <w:tcW w:w="15725"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0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1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46"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0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1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46"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736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4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61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35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92"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092"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74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32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kern w:val="0"/>
                <w:sz w:val="24"/>
                <w:szCs w:val="24"/>
              </w:rPr>
              <w:t>功能分类科目编码</w:t>
            </w:r>
          </w:p>
        </w:tc>
        <w:tc>
          <w:tcPr>
            <w:tcW w:w="4109" w:type="dxa"/>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4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61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35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74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4109" w:type="dxa"/>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14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61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35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74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4109" w:type="dxa"/>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14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61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35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74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7369"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460"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13"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53"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92"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92"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746" w:type="dxa"/>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108" w:type="dxa"/>
            <w:bottom w:w="0" w:type="dxa"/>
            <w:right w:w="108" w:type="dxa"/>
          </w:tblCellMar>
        </w:tblPrEx>
        <w:trPr>
          <w:trHeight w:val="308" w:hRule="atLeast"/>
        </w:trPr>
        <w:tc>
          <w:tcPr>
            <w:tcW w:w="7369"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4,049.97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3,384.15</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665.82</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3,432.23</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2,766.41</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665.82</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20114</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知识产权事务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2011409</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知识产权宏观管理</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市场监督管理事务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3,421.72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2,765.90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655.82</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2,428.03</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2,428.03</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2013802</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192.81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192.81</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2013804</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市场主体管理</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48.48</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48.48</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2013805</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市场秩序执法</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31.94</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31.94</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2013808</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信息化建设</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2013810</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质量基础</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12.88</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12.88</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2013812</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药品事务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2013816</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食品安全监管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347.71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347.71</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2013899</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其他市场监督管理事务</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337.87</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337.87</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死亡抚恤</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行政单位医疗</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410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46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61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353"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092"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4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15725"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tbl>
      <w:tblPr>
        <w:tblStyle w:val="5"/>
        <w:tblW w:w="5000" w:type="pct"/>
        <w:tblInd w:w="0" w:type="dxa"/>
        <w:tblLayout w:type="fixed"/>
        <w:tblCellMar>
          <w:top w:w="0" w:type="dxa"/>
          <w:left w:w="108" w:type="dxa"/>
          <w:bottom w:w="0" w:type="dxa"/>
          <w:right w:w="108" w:type="dxa"/>
        </w:tblCellMar>
      </w:tblPr>
      <w:tblGrid>
        <w:gridCol w:w="3080"/>
        <w:gridCol w:w="806"/>
        <w:gridCol w:w="1739"/>
        <w:gridCol w:w="3438"/>
        <w:gridCol w:w="1486"/>
        <w:gridCol w:w="1193"/>
        <w:gridCol w:w="1312"/>
        <w:gridCol w:w="949"/>
        <w:gridCol w:w="1611"/>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82" w:hRule="atLeast"/>
        </w:trPr>
        <w:tc>
          <w:tcPr>
            <w:tcW w:w="9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5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5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2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15"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69" w:hRule="atLeast"/>
        </w:trPr>
        <w:tc>
          <w:tcPr>
            <w:tcW w:w="986"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25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5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7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2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15"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1801"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3198" w:type="pct"/>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tblPrEx>
          <w:tblCellMar>
            <w:top w:w="0" w:type="dxa"/>
            <w:left w:w="108" w:type="dxa"/>
            <w:bottom w:w="0" w:type="dxa"/>
            <w:right w:w="108" w:type="dxa"/>
          </w:tblCellMar>
        </w:tblPrEx>
        <w:trPr>
          <w:trHeight w:val="312" w:hRule="atLeast"/>
        </w:trPr>
        <w:tc>
          <w:tcPr>
            <w:tcW w:w="986" w:type="pct"/>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258"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55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1101"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7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382"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420"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一般公共预算财政拨款</w:t>
            </w:r>
          </w:p>
        </w:tc>
        <w:tc>
          <w:tcPr>
            <w:tcW w:w="301"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政府性基金预算财政拨款</w:t>
            </w:r>
          </w:p>
        </w:tc>
        <w:tc>
          <w:tcPr>
            <w:tcW w:w="515"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986"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258"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55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01"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47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38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420"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301"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51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58"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55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76"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3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420"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30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15"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3,422.15</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3,422.15</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eastAsia="宋体" w:cs="宋体"/>
                <w:b/>
                <w:bCs/>
                <w:color w:val="000000"/>
                <w:sz w:val="20"/>
                <w:szCs w:val="20"/>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0"/>
                <w:szCs w:val="20"/>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0"/>
                <w:szCs w:val="20"/>
              </w:rPr>
            </w:pP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55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一般公共预算财政拨款</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01"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3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政府性基金预算财政拨款</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01"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3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国有资本经营预算财政拨款</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01"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2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3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98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25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55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110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4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64</w:t>
            </w:r>
          </w:p>
        </w:tc>
        <w:tc>
          <w:tcPr>
            <w:tcW w:w="3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4,039.89</w:t>
            </w:r>
          </w:p>
        </w:tc>
        <w:tc>
          <w:tcPr>
            <w:tcW w:w="301"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51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4484" w:type="pct"/>
            <w:gridSpan w:val="8"/>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注：本表反映部门本年度一般公共预算财政拨款、政府性基金预算财政拨款和国有资本经营预算财政拨款的总收支和年末结转结余情况。</w:t>
            </w:r>
          </w:p>
        </w:tc>
        <w:tc>
          <w:tcPr>
            <w:tcW w:w="515" w:type="pct"/>
            <w:tcBorders>
              <w:top w:val="nil"/>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tbl>
      <w:tblPr>
        <w:tblStyle w:val="5"/>
        <w:tblW w:w="14689" w:type="dxa"/>
        <w:tblInd w:w="93" w:type="dxa"/>
        <w:tblLayout w:type="fixed"/>
        <w:tblCellMar>
          <w:top w:w="0" w:type="dxa"/>
          <w:left w:w="108" w:type="dxa"/>
          <w:bottom w:w="0" w:type="dxa"/>
          <w:right w:w="108" w:type="dxa"/>
        </w:tblCellMar>
      </w:tblPr>
      <w:tblGrid>
        <w:gridCol w:w="2810"/>
        <w:gridCol w:w="236"/>
        <w:gridCol w:w="236"/>
        <w:gridCol w:w="4220"/>
        <w:gridCol w:w="2321"/>
        <w:gridCol w:w="1797"/>
        <w:gridCol w:w="3069"/>
      </w:tblGrid>
      <w:tr>
        <w:tblPrEx>
          <w:tblCellMar>
            <w:top w:w="0" w:type="dxa"/>
            <w:left w:w="108" w:type="dxa"/>
            <w:bottom w:w="0" w:type="dxa"/>
            <w:right w:w="108" w:type="dxa"/>
          </w:tblCellMar>
        </w:tblPrEx>
        <w:trPr>
          <w:trHeight w:val="390" w:hRule="atLeast"/>
        </w:trPr>
        <w:tc>
          <w:tcPr>
            <w:tcW w:w="14689" w:type="dxa"/>
            <w:gridSpan w:val="7"/>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2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7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2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7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748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20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32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b/>
                <w:color w:val="000000"/>
                <w:sz w:val="22"/>
              </w:rPr>
            </w:pPr>
            <w:r>
              <w:rPr>
                <w:rFonts w:hint="eastAsia" w:asciiTheme="majorEastAsia" w:hAnsiTheme="majorEastAsia" w:eastAsiaTheme="majorEastAsia" w:cstheme="majorEastAsia"/>
                <w:bCs/>
                <w:kern w:val="0"/>
                <w:sz w:val="22"/>
              </w:rPr>
              <w:t>功能分类科目编码</w:t>
            </w:r>
          </w:p>
        </w:tc>
        <w:tc>
          <w:tcPr>
            <w:tcW w:w="4229" w:type="dxa"/>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32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0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307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4229" w:type="dxa"/>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232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307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4229" w:type="dxa"/>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rPr>
            </w:pPr>
          </w:p>
        </w:tc>
        <w:tc>
          <w:tcPr>
            <w:tcW w:w="232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307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7489"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325" w:type="dxa"/>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00" w:type="dxa"/>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075" w:type="dxa"/>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308" w:hRule="atLeast"/>
        </w:trPr>
        <w:tc>
          <w:tcPr>
            <w:tcW w:w="7489"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4,039.89</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3,374.08</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665.82</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3,422.15</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2,756.34</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665.82</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0.51</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20114</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知识产权事务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2011409</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知识产权宏观管理</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市场监督管理事务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3,411.64</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2,755.83</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655.82</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2,417.96</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2,417.96</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2013802</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192.81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192.81</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2013804</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市场主体管理</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48.48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48.48</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2013805</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市场秩序执法</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31.94</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31.94</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2013808</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信息化建设</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2013810</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质量基础</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12.88</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2013812</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药品事务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2013816</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食品安全监管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347.71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347.71</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2013899</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其他市场监督管理事务</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337.87</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337.87</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378.82</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死亡抚恤</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122.41</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行政单位医疗</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127.12</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4229"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30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14689" w:type="dxa"/>
            <w:gridSpan w:val="7"/>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注：本表反映部门本年度一般公共预算财政拨款支出情况。</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2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75" w:type="dxa"/>
            <w:tcBorders>
              <w:top w:val="nil"/>
              <w:left w:val="nil"/>
              <w:bottom w:val="nil"/>
              <w:right w:val="nil"/>
            </w:tcBorders>
            <w:shd w:val="clear" w:color="auto" w:fill="auto"/>
            <w:noWrap/>
            <w:vAlign w:val="bottom"/>
          </w:tcPr>
          <w:p>
            <w:pPr>
              <w:rPr>
                <w:rFonts w:ascii="Arial" w:hAnsi="Arial" w:cs="Arial"/>
                <w:color w:val="000000"/>
                <w:sz w:val="20"/>
                <w:szCs w:val="20"/>
              </w:rPr>
            </w:pPr>
          </w:p>
        </w:tc>
      </w:tr>
    </w:tbl>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tbl>
      <w:tblPr>
        <w:tblStyle w:val="5"/>
        <w:tblW w:w="16037" w:type="dxa"/>
        <w:tblInd w:w="0" w:type="dxa"/>
        <w:tblLayout w:type="fixed"/>
        <w:tblCellMar>
          <w:top w:w="0" w:type="dxa"/>
          <w:left w:w="108" w:type="dxa"/>
          <w:bottom w:w="0" w:type="dxa"/>
          <w:right w:w="108" w:type="dxa"/>
        </w:tblCellMar>
      </w:tblPr>
      <w:tblGrid>
        <w:gridCol w:w="2767"/>
        <w:gridCol w:w="2760"/>
        <w:gridCol w:w="1170"/>
        <w:gridCol w:w="1260"/>
        <w:gridCol w:w="1950"/>
        <w:gridCol w:w="1020"/>
        <w:gridCol w:w="1170"/>
        <w:gridCol w:w="2745"/>
        <w:gridCol w:w="1195"/>
      </w:tblGrid>
      <w:tr>
        <w:tblPrEx>
          <w:tblCellMar>
            <w:top w:w="0" w:type="dxa"/>
            <w:left w:w="108" w:type="dxa"/>
            <w:bottom w:w="0" w:type="dxa"/>
            <w:right w:w="108" w:type="dxa"/>
          </w:tblCellMar>
        </w:tblPrEx>
        <w:trPr>
          <w:trHeight w:val="390" w:hRule="atLeast"/>
        </w:trPr>
        <w:tc>
          <w:tcPr>
            <w:tcW w:w="16037"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276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9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108" w:type="dxa"/>
            <w:bottom w:w="0" w:type="dxa"/>
            <w:right w:w="108" w:type="dxa"/>
          </w:tblCellMar>
        </w:tblPrEx>
        <w:trPr>
          <w:trHeight w:val="564" w:hRule="atLeast"/>
        </w:trPr>
        <w:tc>
          <w:tcPr>
            <w:tcW w:w="2767" w:type="dxa"/>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27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9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697"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9340" w:type="dxa"/>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2767"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0"/>
                <w:szCs w:val="20"/>
              </w:rPr>
              <w:t>经济分类科目编码</w:t>
            </w:r>
          </w:p>
        </w:tc>
        <w:tc>
          <w:tcPr>
            <w:tcW w:w="276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7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126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0"/>
                <w:szCs w:val="20"/>
              </w:rPr>
              <w:t>经济分类科目编码</w:t>
            </w:r>
          </w:p>
        </w:tc>
        <w:tc>
          <w:tcPr>
            <w:tcW w:w="195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2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117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0"/>
                <w:szCs w:val="20"/>
              </w:rPr>
              <w:t>经济分类科目编码</w:t>
            </w:r>
          </w:p>
        </w:tc>
        <w:tc>
          <w:tcPr>
            <w:tcW w:w="274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9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2767"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276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95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02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274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c>
          <w:tcPr>
            <w:tcW w:w="119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工资福利支出</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2,767.48</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商品和服务支出</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458.92</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债务利息及费用支出</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30101</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基本工资</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1,122.08</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30201</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277.98</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30701</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国内债务付息</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30102</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津贴补贴</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562.47</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30202</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印刷费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3.37</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30702</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国外债务付息</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30103</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奖金</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296.82</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30203</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咨询费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资本性支出</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4.37</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30106</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伙食补助费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6.07</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30204</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手续费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31001</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房屋建筑物购建</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30107</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绩效工资</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276.86</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30205</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31002</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办公设备购置</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4.37</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30108</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256.41</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30206</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电费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31003</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专用设备购置</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30109</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职业年金缴费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30207</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邮电费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31005</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30110</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职工基本医疗保险缴费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129.10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30208</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取暖费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31006</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大型修缮</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30111</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公务员医疗补助缴费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30209</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物业管理费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31007</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信息网络及软件购置更新</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30112</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其他社会保障缴费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2.39</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30211</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差旅费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31008</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物资储备</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30113</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111.80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30212</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因公出国（境）费用</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31009</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土地补偿</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30114</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0.53</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30213</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维修（护）费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31010</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安置补助</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30199</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其他工资福利支出</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2.95</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30214</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租赁费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31011</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地上附着物和青苗补偿</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对个人和家庭的补助</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143.31</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30215</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会议费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31012</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拆迁补偿</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30301</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离休费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30216</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0.63</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31013</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公务用车购置</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30302</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退休费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17.49</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30217</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公务接待费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31019</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其他交通工具购置</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30303</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退职（役）费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30218</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专用材料费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31021</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文物和陈列品购置</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30304</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抚恤金</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104.88</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30224</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被装购置费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31022</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无形资产购置</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30305</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生活补助</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20.65</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30225</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专用燃料费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31099</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其他资本性支出</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30306</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救济费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30226</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劳务费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3.41</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30307</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医疗费补助</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0.22</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30227</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委托业务费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39907</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国家赔偿费用支出</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30308</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助学金</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30228</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工会经费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39908</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对民间非营利组织和群众性自治组织补贴</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30309</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奖励金</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30229</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福利费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39909</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经常性赠与</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30310</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个人农业生产补贴</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30231</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公务用车运行维护费</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39910</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资本性赠与</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30311</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代缴社会保险费</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0.07</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30239</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其他交通费用</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158.71</w:t>
            </w:r>
          </w:p>
        </w:tc>
        <w:tc>
          <w:tcPr>
            <w:tcW w:w="117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39999</w:t>
            </w:r>
          </w:p>
        </w:tc>
        <w:tc>
          <w:tcPr>
            <w:tcW w:w="2745"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其他支出</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30399</w:t>
            </w:r>
          </w:p>
        </w:tc>
        <w:tc>
          <w:tcPr>
            <w:tcW w:w="27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其他对个人和家庭的补助</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30240</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税金及附加费用</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70"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745"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11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2767"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760"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117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30299</w:t>
            </w:r>
          </w:p>
        </w:tc>
        <w:tc>
          <w:tcPr>
            <w:tcW w:w="1950" w:type="dxa"/>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其他商品和服务支出</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12.29</w:t>
            </w:r>
          </w:p>
        </w:tc>
        <w:tc>
          <w:tcPr>
            <w:tcW w:w="1170"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2745" w:type="dxa"/>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rPr>
            </w:pPr>
          </w:p>
        </w:tc>
        <w:tc>
          <w:tcPr>
            <w:tcW w:w="119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5527"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人员经费合计</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2,910.79</w:t>
            </w:r>
          </w:p>
        </w:tc>
        <w:tc>
          <w:tcPr>
            <w:tcW w:w="8145" w:type="dxa"/>
            <w:gridSpan w:val="5"/>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公用经费合计</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463.29</w:t>
            </w:r>
          </w:p>
        </w:tc>
      </w:tr>
      <w:tr>
        <w:tblPrEx>
          <w:tblCellMar>
            <w:top w:w="0" w:type="dxa"/>
            <w:left w:w="108" w:type="dxa"/>
            <w:bottom w:w="0" w:type="dxa"/>
            <w:right w:w="108" w:type="dxa"/>
          </w:tblCellMar>
        </w:tblPrEx>
        <w:trPr>
          <w:trHeight w:val="308" w:hRule="atLeast"/>
        </w:trPr>
        <w:tc>
          <w:tcPr>
            <w:tcW w:w="16037" w:type="dxa"/>
            <w:gridSpan w:val="9"/>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注：本表反映部门本年度一般公共预算财政拨款基本支出明细情况。</w:t>
            </w:r>
          </w:p>
        </w:tc>
      </w:tr>
    </w:tbl>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kern w:val="0"/>
          <w:sz w:val="36"/>
          <w:szCs w:val="36"/>
        </w:rPr>
      </w:pPr>
      <w:bookmarkStart w:id="0" w:name="RANGE!A1:I22"/>
      <w:bookmarkEnd w:id="0"/>
      <w:bookmarkStart w:id="1" w:name="RANGE!A1:F16"/>
    </w:p>
    <w:bookmarkEnd w:id="1"/>
    <w:tbl>
      <w:tblPr>
        <w:tblStyle w:val="5"/>
        <w:tblW w:w="0" w:type="auto"/>
        <w:tblInd w:w="0" w:type="dxa"/>
        <w:tblLayout w:type="autofit"/>
        <w:tblCellMar>
          <w:top w:w="0" w:type="dxa"/>
          <w:left w:w="108" w:type="dxa"/>
          <w:bottom w:w="0" w:type="dxa"/>
          <w:right w:w="108" w:type="dxa"/>
        </w:tblCellMar>
      </w:tblPr>
      <w:tblGrid>
        <w:gridCol w:w="1003"/>
        <w:gridCol w:w="240"/>
        <w:gridCol w:w="1402"/>
        <w:gridCol w:w="2119"/>
        <w:gridCol w:w="2119"/>
        <w:gridCol w:w="2119"/>
        <w:gridCol w:w="2119"/>
        <w:gridCol w:w="2119"/>
        <w:gridCol w:w="2120"/>
      </w:tblGrid>
      <w:tr>
        <w:tblPrEx>
          <w:tblCellMar>
            <w:top w:w="0" w:type="dxa"/>
            <w:left w:w="108" w:type="dxa"/>
            <w:bottom w:w="0" w:type="dxa"/>
            <w:right w:w="108" w:type="dxa"/>
          </w:tblCellMar>
        </w:tblPrEx>
        <w:trPr>
          <w:trHeight w:val="690" w:hRule="atLeast"/>
        </w:trPr>
        <w:tc>
          <w:tcPr>
            <w:tcW w:w="15360" w:type="dxa"/>
            <w:gridSpan w:val="9"/>
            <w:tcBorders>
              <w:top w:val="nil"/>
              <w:left w:val="nil"/>
              <w:bottom w:val="nil"/>
              <w:right w:val="nil"/>
            </w:tcBorders>
            <w:shd w:val="clear" w:color="auto" w:fill="FFFFFF"/>
            <w:vAlign w:val="center"/>
          </w:tcPr>
          <w:p>
            <w:pPr>
              <w:widowControl/>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108" w:type="dxa"/>
            <w:bottom w:w="0" w:type="dxa"/>
            <w:right w:w="108" w:type="dxa"/>
          </w:tblCellMar>
        </w:tblPrEx>
        <w:trPr>
          <w:trHeight w:val="345" w:hRule="atLeast"/>
        </w:trPr>
        <w:tc>
          <w:tcPr>
            <w:tcW w:w="1003"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40"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40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20"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trHeight w:val="690" w:hRule="atLeast"/>
        </w:trPr>
        <w:tc>
          <w:tcPr>
            <w:tcW w:w="4764" w:type="dxa"/>
            <w:gridSpan w:val="4"/>
            <w:tcBorders>
              <w:top w:val="nil"/>
              <w:left w:val="nil"/>
              <w:bottom w:val="nil"/>
              <w:right w:val="nil"/>
            </w:tcBorders>
            <w:shd w:val="clear" w:color="auto" w:fill="FFFFFF"/>
            <w:noWrap/>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20" w:type="dxa"/>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3"/>
                <w:rFonts w:hint="default"/>
              </w:rPr>
              <w:t xml:space="preserve">   </w:t>
            </w:r>
            <w:r>
              <w:rPr>
                <w:rStyle w:val="14"/>
                <w:rFonts w:hint="default"/>
              </w:rPr>
              <w:t>目</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tblPrEx>
          <w:tblCellMar>
            <w:top w:w="0" w:type="dxa"/>
            <w:left w:w="108" w:type="dxa"/>
            <w:bottom w:w="0" w:type="dxa"/>
            <w:right w:w="108" w:type="dxa"/>
          </w:tblCellMar>
        </w:tblPrEx>
        <w:trPr>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tblPrEx>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楷体" w:hAnsi="楷体" w:eastAsia="楷体" w:cs="楷体"/>
                <w:b/>
                <w:bCs/>
                <w:kern w:val="0"/>
                <w:sz w:val="24"/>
                <w:szCs w:val="24"/>
              </w:rPr>
              <w:t>我单位没有政府性基金收入，也没有使用政府性基金安排的支出，故本表无数据。</w:t>
            </w:r>
          </w:p>
        </w:tc>
      </w:tr>
      <w:tr>
        <w:tblPrEx>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725" w:hRule="atLeast"/>
        </w:trPr>
        <w:tc>
          <w:tcPr>
            <w:tcW w:w="15360" w:type="dxa"/>
            <w:gridSpan w:val="9"/>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4"/>
                <w:szCs w:val="24"/>
              </w:rPr>
            </w:pPr>
          </w:p>
          <w:p>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说明：我单位没有政府性基金收入，也没有使用政府性基金安排的支出，故本表无数据。（当表格数据为空时，应有此说明）</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tbl>
      <w:tblPr>
        <w:tblStyle w:val="5"/>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left"/>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5"/>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楷体" w:hAnsi="楷体" w:eastAsia="楷体" w:cs="楷体"/>
                <w:b/>
                <w:bCs/>
                <w:kern w:val="0"/>
                <w:sz w:val="24"/>
                <w:szCs w:val="24"/>
              </w:rPr>
              <w:t>我单位没有使用国有资本经营预算安排的支出，故本表无数据。</w:t>
            </w: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pPr>
              <w:widowControl/>
              <w:jc w:val="left"/>
              <w:textAlignment w:val="center"/>
              <w:rPr>
                <w:rFonts w:ascii="宋体" w:hAnsi="宋体" w:eastAsia="宋体" w:cs="宋体"/>
                <w:color w:val="000000"/>
                <w:kern w:val="0"/>
                <w:sz w:val="24"/>
                <w:szCs w:val="24"/>
              </w:rPr>
            </w:pPr>
          </w:p>
          <w:p>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说明：我单位没有使用国有资本经营预算安排的支出，故本表无数据。（当表格数据为空时，应有此说明）</w:t>
            </w:r>
          </w:p>
        </w:tc>
      </w:tr>
    </w:tbl>
    <w:p>
      <w:pPr>
        <w:widowControl/>
        <w:jc w:val="center"/>
        <w:rPr>
          <w:rFonts w:ascii="Times New Roman" w:hAnsi="Times New Roman" w:eastAsia="方正小标宋_GBK" w:cs="Times New Roman"/>
          <w:color w:val="000000"/>
          <w:kern w:val="0"/>
          <w:sz w:val="36"/>
          <w:szCs w:val="36"/>
        </w:rPr>
      </w:pPr>
    </w:p>
    <w:tbl>
      <w:tblPr>
        <w:tblStyle w:val="5"/>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widowControl/>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部门：溆浦县市场监督管理局</w:t>
            </w: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37.99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1.61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1.42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1.42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0.19</w:t>
            </w:r>
          </w:p>
        </w:tc>
      </w:tr>
      <w:tr>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ascii="方正小标宋_GBK" w:hAnsi="方正小标宋_GBK" w:eastAsia="方正小标宋_GBK" w:cs="方正小标宋_GBK"/>
          <w:sz w:val="70"/>
          <w:szCs w:val="70"/>
        </w:rPr>
      </w:pPr>
    </w:p>
    <w:p>
      <w:pPr>
        <w:pStyle w:val="10"/>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2022年度部门决算情况说明</w:t>
      </w:r>
    </w:p>
    <w:p>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pPr>
        <w:pStyle w:val="10"/>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0"/>
        <w:spacing w:line="600" w:lineRule="exact"/>
        <w:ind w:firstLine="640" w:firstLineChars="200"/>
        <w:rPr>
          <w:rFonts w:asciiTheme="minorEastAsia" w:hAnsiTheme="minorEastAsia" w:eastAsiaTheme="minorEastAsia"/>
          <w:sz w:val="32"/>
          <w:szCs w:val="32"/>
        </w:rPr>
      </w:pPr>
      <w:r>
        <w:rPr>
          <w:rFonts w:hint="eastAsia" w:ascii="Times New Roman" w:hAnsi="Times New Roman" w:eastAsia="仿宋_GB2312"/>
          <w:sz w:val="32"/>
          <w:szCs w:val="32"/>
        </w:rPr>
        <w:t>2022年度收、支总计4049.97万元。与上年相比，增加270.48万元，增长7.15%，主要是因为业务增加各项经费增加等。</w:t>
      </w:r>
    </w:p>
    <w:p>
      <w:pPr>
        <w:pStyle w:val="10"/>
        <w:spacing w:line="600" w:lineRule="exact"/>
        <w:ind w:firstLine="640" w:firstLineChars="200"/>
        <w:rPr>
          <w:rFonts w:hAnsi="黑体"/>
          <w:bCs/>
          <w:sz w:val="32"/>
          <w:szCs w:val="32"/>
        </w:rPr>
      </w:pPr>
      <w:r>
        <w:rPr>
          <w:rFonts w:hint="eastAsia" w:hAnsi="黑体"/>
          <w:bCs/>
          <w:sz w:val="32"/>
          <w:szCs w:val="32"/>
        </w:rPr>
        <w:t>二、收入决算情况说明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2022年度收入合计4049.97万元，其中：财政拨款收入4039.89万元，占99.75%；上级补助收入0万元，占0%；事业收入0万元，占0%；经营收入0万元，占0%；附属单位上缴收入0万元，占0%；其他收入10.08万元，占0.25%。</w:t>
      </w:r>
    </w:p>
    <w:p>
      <w:pPr>
        <w:pStyle w:val="10"/>
        <w:spacing w:line="600" w:lineRule="exact"/>
        <w:ind w:firstLine="640" w:firstLineChars="200"/>
        <w:rPr>
          <w:rFonts w:hAnsi="黑体"/>
          <w:bCs/>
          <w:sz w:val="32"/>
          <w:szCs w:val="32"/>
        </w:rPr>
      </w:pPr>
      <w:r>
        <w:rPr>
          <w:rFonts w:hint="eastAsia" w:hAnsi="黑体"/>
          <w:bCs/>
          <w:sz w:val="32"/>
          <w:szCs w:val="32"/>
        </w:rPr>
        <w:t>三、支出决算情况说明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2022年度支出合计4049.97万元，其中：基本支出3384.15万元，占83.55；项目支出665.82万元，占16.44%；上缴上级支出0万元，占0%；经营支出0万元，占0%；对附属单位补助支出0万元，占0%。</w:t>
      </w:r>
    </w:p>
    <w:p>
      <w:pPr>
        <w:pStyle w:val="10"/>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0"/>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rPr>
        <w:t xml:space="preserve">    2022年度财政拨款收、支总计4039.89万元，与上年相比，增加360.97万元,增长8.83%，</w:t>
      </w:r>
      <w:r>
        <w:rPr>
          <w:rFonts w:hint="eastAsia" w:ascii="Times New Roman" w:hAnsi="Times New Roman" w:eastAsia="仿宋_GB2312"/>
          <w:sz w:val="32"/>
          <w:szCs w:val="32"/>
        </w:rPr>
        <w:t>主要是因为业务增加各项经费增加等。</w:t>
      </w:r>
    </w:p>
    <w:p>
      <w:pPr>
        <w:pStyle w:val="10"/>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10"/>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2022年度财政拨款支出4039.89万元，占本年支出合计的99.75%，与上年相比，财政拨款支出增加369.53万元，增长8.93%，</w:t>
      </w:r>
      <w:r>
        <w:rPr>
          <w:rFonts w:hint="eastAsia" w:asciiTheme="minorEastAsia" w:hAnsiTheme="minorEastAsia" w:eastAsiaTheme="minorEastAsia"/>
          <w:sz w:val="32"/>
          <w:szCs w:val="32"/>
        </w:rPr>
        <w:t>主要是因为业务增加各项经费增加等。</w:t>
      </w:r>
    </w:p>
    <w:p>
      <w:pPr>
        <w:pStyle w:val="10"/>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2022年度财政拨款支出4039.89万元，主要用于以下方面：一般公共服务（类）支出</w:t>
      </w:r>
      <w:r>
        <w:rPr>
          <w:rFonts w:ascii="Times New Roman" w:hAnsi="Times New Roman" w:eastAsia="仿宋_GB2312"/>
          <w:sz w:val="32"/>
          <w:szCs w:val="32"/>
        </w:rPr>
        <w:t>3,422.15</w:t>
      </w:r>
      <w:r>
        <w:rPr>
          <w:rFonts w:hint="eastAsia" w:ascii="Times New Roman" w:hAnsi="Times New Roman" w:eastAsia="仿宋_GB2312"/>
          <w:sz w:val="32"/>
          <w:szCs w:val="32"/>
        </w:rPr>
        <w:t>万元，占84.7%；社会保障和就业支出</w:t>
      </w:r>
      <w:r>
        <w:rPr>
          <w:rFonts w:ascii="Times New Roman" w:hAnsi="Times New Roman" w:eastAsia="仿宋_GB2312"/>
          <w:sz w:val="32"/>
          <w:szCs w:val="32"/>
        </w:rPr>
        <w:t>378.82</w:t>
      </w:r>
      <w:r>
        <w:rPr>
          <w:rFonts w:hint="eastAsia" w:ascii="Times New Roman" w:hAnsi="Times New Roman" w:eastAsia="仿宋_GB2312"/>
          <w:sz w:val="32"/>
          <w:szCs w:val="32"/>
        </w:rPr>
        <w:t>万元，占9.37%；卫生健康支出</w:t>
      </w:r>
      <w:r>
        <w:rPr>
          <w:rFonts w:ascii="Times New Roman" w:hAnsi="Times New Roman" w:eastAsia="仿宋_GB2312"/>
          <w:sz w:val="32"/>
          <w:szCs w:val="32"/>
        </w:rPr>
        <w:t>127.12</w:t>
      </w:r>
      <w:r>
        <w:rPr>
          <w:rFonts w:hint="eastAsia" w:ascii="Times New Roman" w:hAnsi="Times New Roman" w:eastAsia="仿宋_GB2312"/>
          <w:sz w:val="32"/>
          <w:szCs w:val="32"/>
        </w:rPr>
        <w:t>，占3.14%；住房保障支出</w:t>
      </w:r>
      <w:r>
        <w:rPr>
          <w:rFonts w:ascii="Times New Roman" w:hAnsi="Times New Roman" w:eastAsia="仿宋_GB2312"/>
          <w:sz w:val="32"/>
          <w:szCs w:val="32"/>
        </w:rPr>
        <w:t>111.8</w:t>
      </w:r>
      <w:r>
        <w:rPr>
          <w:rFonts w:hint="eastAsia" w:ascii="Times New Roman" w:hAnsi="Times New Roman" w:eastAsia="仿宋_GB2312"/>
          <w:sz w:val="32"/>
          <w:szCs w:val="32"/>
        </w:rPr>
        <w:t>万元，占2.76%。</w:t>
      </w:r>
    </w:p>
    <w:p>
      <w:pPr>
        <w:pStyle w:val="10"/>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（三）财政拨款支出决算具体情况</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2022年度财政拨款支出年初预算数为</w:t>
      </w:r>
      <w:r>
        <w:rPr>
          <w:rFonts w:ascii="Times New Roman" w:hAnsi="Times New Roman" w:eastAsia="仿宋_GB2312"/>
          <w:sz w:val="32"/>
          <w:szCs w:val="32"/>
        </w:rPr>
        <w:t>3635.43</w:t>
      </w:r>
      <w:r>
        <w:rPr>
          <w:rFonts w:hint="eastAsia" w:ascii="Times New Roman" w:hAnsi="Times New Roman" w:eastAsia="仿宋_GB2312"/>
          <w:sz w:val="32"/>
          <w:szCs w:val="32"/>
        </w:rPr>
        <w:t>万元，支出决算数为4039.89万元，完成年初预算的111.12%，其中：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1、一般公共服务支出（类）201政府办公厅（室）及相关机构事务（款）03行政运行（项）01。</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年初预算为0.51万元，支出决算为0.51万元，完成年初预算的100%。</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2、一般公共服务支出（类）201知识产权事务（类）14知识产权宏观管理（款）09。</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年初预算为10万元，支出决算为10万元，完成年初预算的100%。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3、一般公共服务（类）201市场监督管理事务（款）38行政运行（项）01。</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年初预算为2417.96万元，支出决算为2417.96万元，完成年初预算100%。</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4、一般公共服务（类）201市场监督管理事务（款）38一般行政管理事务（项）02。</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年初预算为192.81万元，支出决算为192.81万元，完成年初预算100%。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5、一般公共服务（类）201市场监督管理事务（款）38市场主体管理（项）04。</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年初预算为48.48万元，支出决算为48.48万元，完成年初预算100%。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6、一般公共服务（类）201市场监督管理事务（款）38市场秩序执法（项）05。</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年初预算为31.94万元，支出决算为31.94万元，完成年初预算100%。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7、一般公共服务（类）201市场监督管理事务（款）38信息化建设（项）08。</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年初预算为15万元，支出决算为15万元，完成年初预算100%。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8、一般公共服务（类）201市场监督管理事务（款）38质量基础（项）10。</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年初预算为12.88万元，支出决算为12.88万元，完成年初预算100%。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9、一般公共服务（类）201市场监督管理事务（款）38药品事务（项）12。</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年初预算为7元，支出决算为7万元，完成年初预算100%。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10、一般公共服务（类）201市场监督管理事务（款）38食品安全监管（项）16。</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年初预算为347.71元，支出决算为347.71万元，完成年初预算100%。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11、一般公共服务（类）201市场监督管理事务（款）38其他市场监督管理事务（项）99。</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年初预算为337.87元，支出决算为337.87万元，完成年初预算100%。</w:t>
      </w:r>
    </w:p>
    <w:p>
      <w:pPr>
        <w:pStyle w:val="10"/>
        <w:ind w:left="315" w:leftChars="15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12、社会保障和就业支出（类）208行政事业单位养老支出（款）05机关事业单位基本养老保险缴费支出（项）05。</w:t>
      </w:r>
    </w:p>
    <w:p>
      <w:pPr>
        <w:pStyle w:val="10"/>
        <w:ind w:left="210" w:leftChars="10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年初预算为256.41万元，支出决算为256.41万元，完成年初预算100%。</w:t>
      </w:r>
    </w:p>
    <w:p>
      <w:pPr>
        <w:pStyle w:val="10"/>
        <w:ind w:left="315" w:leftChars="15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13、社会保障和就业支出（类）208抚恤（款）08死亡抚恤（项）01。</w:t>
      </w:r>
    </w:p>
    <w:p>
      <w:pPr>
        <w:pStyle w:val="10"/>
        <w:ind w:left="210" w:leftChars="10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年初预算为122.41万元，支出决算为122.41万元，完成年初预算100%。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14、卫生健康支出（类）210行政事业单位医疗（款）11行政单位医疗（项）01</w:t>
      </w:r>
    </w:p>
    <w:p>
      <w:pPr>
        <w:pStyle w:val="10"/>
        <w:ind w:left="210" w:leftChars="10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年初预算为127.12万元，支出决算为127.12万元，完成年初预算100%。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15、住房保障支出（类）221住房改革支出（款）02住房公积金（项）01</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年初预算为111.80万元，支出决算为111.80万元，完成年初预算100%。</w:t>
      </w:r>
    </w:p>
    <w:p>
      <w:pPr>
        <w:pStyle w:val="10"/>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2022年度财政拨款基本支出3374.08万元，其中：</w:t>
      </w:r>
    </w:p>
    <w:p>
      <w:pPr>
        <w:pStyle w:val="10"/>
        <w:spacing w:line="600" w:lineRule="exact"/>
        <w:ind w:firstLine="640" w:firstLineChars="200"/>
        <w:rPr>
          <w:rFonts w:hint="eastAsia" w:asciiTheme="minorEastAsia" w:hAnsiTheme="minorEastAsia" w:eastAsiaTheme="minorEastAsia"/>
          <w:sz w:val="32"/>
          <w:szCs w:val="32"/>
        </w:rPr>
      </w:pPr>
      <w:r>
        <w:rPr>
          <w:rFonts w:hint="eastAsia" w:ascii="Times New Roman" w:hAnsi="Times New Roman" w:eastAsia="仿宋_GB2312"/>
          <w:b/>
          <w:bCs/>
          <w:sz w:val="32"/>
          <w:szCs w:val="32"/>
        </w:rPr>
        <w:t>人员经费</w:t>
      </w:r>
      <w:r>
        <w:rPr>
          <w:rFonts w:ascii="Times New Roman" w:hAnsi="Times New Roman" w:eastAsia="仿宋_GB2312"/>
          <w:sz w:val="32"/>
          <w:szCs w:val="32"/>
        </w:rPr>
        <w:t>2910.79</w:t>
      </w:r>
      <w:r>
        <w:rPr>
          <w:rFonts w:hint="eastAsia" w:ascii="Times New Roman" w:hAnsi="Times New Roman" w:eastAsia="仿宋_GB2312"/>
          <w:sz w:val="32"/>
          <w:szCs w:val="32"/>
        </w:rPr>
        <w:t>万元，占基本支出的86.27%,主要包括</w:t>
      </w:r>
      <w:r>
        <w:rPr>
          <w:rFonts w:hint="eastAsia" w:asciiTheme="minorEastAsia" w:hAnsiTheme="minorEastAsia" w:eastAsiaTheme="minorEastAsia"/>
          <w:sz w:val="32"/>
          <w:szCs w:val="32"/>
        </w:rPr>
        <w:t>基本工资</w:t>
      </w:r>
      <w:r>
        <w:rPr>
          <w:rFonts w:asciiTheme="minorEastAsia" w:hAnsiTheme="minorEastAsia" w:eastAsiaTheme="minorEastAsia"/>
          <w:sz w:val="32"/>
          <w:szCs w:val="32"/>
        </w:rPr>
        <w:t>1122.08</w:t>
      </w:r>
      <w:r>
        <w:rPr>
          <w:rFonts w:hint="eastAsia" w:asciiTheme="minorEastAsia" w:hAnsiTheme="minorEastAsia" w:eastAsiaTheme="minorEastAsia"/>
          <w:sz w:val="32"/>
          <w:szCs w:val="32"/>
        </w:rPr>
        <w:t>万元、津贴补贴</w:t>
      </w:r>
      <w:r>
        <w:rPr>
          <w:rFonts w:asciiTheme="minorEastAsia" w:hAnsiTheme="minorEastAsia" w:eastAsiaTheme="minorEastAsia"/>
          <w:sz w:val="32"/>
          <w:szCs w:val="32"/>
        </w:rPr>
        <w:t>562.47</w:t>
      </w:r>
      <w:r>
        <w:rPr>
          <w:rFonts w:hint="eastAsia" w:asciiTheme="minorEastAsia" w:hAnsiTheme="minorEastAsia" w:eastAsiaTheme="minorEastAsia"/>
          <w:sz w:val="32"/>
          <w:szCs w:val="32"/>
        </w:rPr>
        <w:t>万元、奖金</w:t>
      </w:r>
      <w:r>
        <w:rPr>
          <w:rFonts w:asciiTheme="minorEastAsia" w:hAnsiTheme="minorEastAsia" w:eastAsiaTheme="minorEastAsia"/>
          <w:sz w:val="32"/>
          <w:szCs w:val="32"/>
        </w:rPr>
        <w:t>296.82</w:t>
      </w:r>
      <w:r>
        <w:rPr>
          <w:rFonts w:hint="eastAsia" w:asciiTheme="minorEastAsia" w:hAnsiTheme="minorEastAsia" w:eastAsiaTheme="minorEastAsia"/>
          <w:sz w:val="32"/>
          <w:szCs w:val="32"/>
        </w:rPr>
        <w:t>万元、伙食补助费</w:t>
      </w:r>
      <w:r>
        <w:rPr>
          <w:rFonts w:asciiTheme="minorEastAsia" w:hAnsiTheme="minorEastAsia" w:eastAsiaTheme="minorEastAsia"/>
          <w:sz w:val="32"/>
          <w:szCs w:val="32"/>
        </w:rPr>
        <w:t>6.07</w:t>
      </w:r>
      <w:r>
        <w:rPr>
          <w:rFonts w:hint="eastAsia" w:asciiTheme="minorEastAsia" w:hAnsiTheme="minorEastAsia" w:eastAsiaTheme="minorEastAsia"/>
          <w:sz w:val="32"/>
          <w:szCs w:val="32"/>
        </w:rPr>
        <w:t>万元、绩效工资</w:t>
      </w:r>
      <w:r>
        <w:rPr>
          <w:rFonts w:asciiTheme="minorEastAsia" w:hAnsiTheme="minorEastAsia" w:eastAsiaTheme="minorEastAsia"/>
          <w:sz w:val="32"/>
          <w:szCs w:val="32"/>
        </w:rPr>
        <w:t>276.86</w:t>
      </w:r>
      <w:r>
        <w:rPr>
          <w:rFonts w:hint="eastAsia" w:asciiTheme="minorEastAsia" w:hAnsiTheme="minorEastAsia" w:eastAsiaTheme="minorEastAsia"/>
          <w:sz w:val="32"/>
          <w:szCs w:val="32"/>
        </w:rPr>
        <w:t>万元、养老保险</w:t>
      </w:r>
      <w:r>
        <w:rPr>
          <w:rFonts w:asciiTheme="minorEastAsia" w:hAnsiTheme="minorEastAsia" w:eastAsiaTheme="minorEastAsia"/>
          <w:sz w:val="32"/>
          <w:szCs w:val="32"/>
        </w:rPr>
        <w:t>256.41</w:t>
      </w:r>
      <w:r>
        <w:rPr>
          <w:rFonts w:hint="eastAsia" w:asciiTheme="minorEastAsia" w:hAnsiTheme="minorEastAsia" w:eastAsiaTheme="minorEastAsia"/>
          <w:sz w:val="32"/>
          <w:szCs w:val="32"/>
        </w:rPr>
        <w:t>万元、医疗保险</w:t>
      </w:r>
      <w:r>
        <w:rPr>
          <w:rFonts w:asciiTheme="minorEastAsia" w:hAnsiTheme="minorEastAsia" w:eastAsiaTheme="minorEastAsia"/>
          <w:sz w:val="32"/>
          <w:szCs w:val="32"/>
        </w:rPr>
        <w:t>129.1</w:t>
      </w:r>
      <w:r>
        <w:rPr>
          <w:rFonts w:hint="eastAsia" w:asciiTheme="minorEastAsia" w:hAnsiTheme="minorEastAsia" w:eastAsiaTheme="minorEastAsia"/>
          <w:sz w:val="32"/>
          <w:szCs w:val="32"/>
        </w:rPr>
        <w:t>万元、其他社会保障</w:t>
      </w:r>
      <w:r>
        <w:rPr>
          <w:rFonts w:asciiTheme="minorEastAsia" w:hAnsiTheme="minorEastAsia" w:eastAsiaTheme="minorEastAsia"/>
          <w:sz w:val="32"/>
          <w:szCs w:val="32"/>
        </w:rPr>
        <w:t>2.39</w:t>
      </w:r>
      <w:r>
        <w:rPr>
          <w:rFonts w:hint="eastAsia" w:asciiTheme="minorEastAsia" w:hAnsiTheme="minorEastAsia" w:eastAsiaTheme="minorEastAsia"/>
          <w:sz w:val="32"/>
          <w:szCs w:val="32"/>
        </w:rPr>
        <w:t>万元、住房公积金</w:t>
      </w:r>
      <w:r>
        <w:rPr>
          <w:rFonts w:asciiTheme="minorEastAsia" w:hAnsiTheme="minorEastAsia" w:eastAsiaTheme="minorEastAsia"/>
          <w:sz w:val="32"/>
          <w:szCs w:val="32"/>
        </w:rPr>
        <w:t>111.8</w:t>
      </w:r>
      <w:r>
        <w:rPr>
          <w:rFonts w:hint="eastAsia" w:asciiTheme="minorEastAsia" w:hAnsiTheme="minorEastAsia" w:eastAsiaTheme="minorEastAsia"/>
          <w:sz w:val="32"/>
          <w:szCs w:val="32"/>
        </w:rPr>
        <w:t>万元、医疗费</w:t>
      </w:r>
      <w:r>
        <w:rPr>
          <w:rFonts w:asciiTheme="minorEastAsia" w:hAnsiTheme="minorEastAsia" w:eastAsiaTheme="minorEastAsia"/>
          <w:sz w:val="32"/>
          <w:szCs w:val="32"/>
        </w:rPr>
        <w:t>0.53</w:t>
      </w:r>
      <w:r>
        <w:rPr>
          <w:rFonts w:hint="eastAsia" w:asciiTheme="minorEastAsia" w:hAnsiTheme="minorEastAsia" w:eastAsiaTheme="minorEastAsia"/>
          <w:sz w:val="32"/>
          <w:szCs w:val="32"/>
        </w:rPr>
        <w:t>万元、其他工资福利支出</w:t>
      </w:r>
      <w:r>
        <w:rPr>
          <w:rFonts w:asciiTheme="minorEastAsia" w:hAnsiTheme="minorEastAsia" w:eastAsiaTheme="minorEastAsia"/>
          <w:sz w:val="32"/>
          <w:szCs w:val="32"/>
        </w:rPr>
        <w:t>2.95</w:t>
      </w:r>
      <w:r>
        <w:rPr>
          <w:rFonts w:hint="eastAsia" w:asciiTheme="minorEastAsia" w:hAnsiTheme="minorEastAsia" w:eastAsiaTheme="minorEastAsia"/>
          <w:sz w:val="32"/>
          <w:szCs w:val="32"/>
        </w:rPr>
        <w:t>万元、退休费</w:t>
      </w:r>
      <w:r>
        <w:rPr>
          <w:rFonts w:asciiTheme="minorEastAsia" w:hAnsiTheme="minorEastAsia" w:eastAsiaTheme="minorEastAsia"/>
          <w:sz w:val="32"/>
          <w:szCs w:val="32"/>
        </w:rPr>
        <w:t>17.49</w:t>
      </w:r>
      <w:r>
        <w:rPr>
          <w:rFonts w:hint="eastAsia" w:asciiTheme="minorEastAsia" w:hAnsiTheme="minorEastAsia" w:eastAsiaTheme="minorEastAsia"/>
          <w:sz w:val="32"/>
          <w:szCs w:val="32"/>
        </w:rPr>
        <w:t>万元、抚恤金</w:t>
      </w:r>
      <w:r>
        <w:rPr>
          <w:rFonts w:asciiTheme="minorEastAsia" w:hAnsiTheme="minorEastAsia" w:eastAsiaTheme="minorEastAsia"/>
          <w:sz w:val="32"/>
          <w:szCs w:val="32"/>
        </w:rPr>
        <w:t>104.88</w:t>
      </w:r>
      <w:r>
        <w:rPr>
          <w:rFonts w:hint="eastAsia" w:asciiTheme="minorEastAsia" w:hAnsiTheme="minorEastAsia" w:eastAsiaTheme="minorEastAsia"/>
          <w:sz w:val="32"/>
          <w:szCs w:val="32"/>
        </w:rPr>
        <w:t>万元、生活补助</w:t>
      </w:r>
      <w:r>
        <w:rPr>
          <w:rFonts w:asciiTheme="minorEastAsia" w:hAnsiTheme="minorEastAsia" w:eastAsiaTheme="minorEastAsia"/>
          <w:sz w:val="32"/>
          <w:szCs w:val="32"/>
        </w:rPr>
        <w:t>20.65</w:t>
      </w:r>
      <w:r>
        <w:rPr>
          <w:rFonts w:hint="eastAsia" w:asciiTheme="minorEastAsia" w:hAnsiTheme="minorEastAsia" w:eastAsiaTheme="minorEastAsia"/>
          <w:sz w:val="32"/>
          <w:szCs w:val="32"/>
        </w:rPr>
        <w:t>万元、医疗费补助</w:t>
      </w:r>
      <w:r>
        <w:rPr>
          <w:rFonts w:asciiTheme="minorEastAsia" w:hAnsiTheme="minorEastAsia" w:eastAsiaTheme="minorEastAsia"/>
          <w:sz w:val="32"/>
          <w:szCs w:val="32"/>
        </w:rPr>
        <w:t>0.22</w:t>
      </w:r>
      <w:r>
        <w:rPr>
          <w:rFonts w:hint="eastAsia" w:asciiTheme="minorEastAsia" w:hAnsiTheme="minorEastAsia" w:eastAsiaTheme="minorEastAsia"/>
          <w:sz w:val="32"/>
          <w:szCs w:val="32"/>
        </w:rPr>
        <w:t>万元、代缴社会保险费</w:t>
      </w:r>
      <w:r>
        <w:rPr>
          <w:rFonts w:asciiTheme="minorEastAsia" w:hAnsiTheme="minorEastAsia" w:eastAsiaTheme="minorEastAsia"/>
          <w:sz w:val="32"/>
          <w:szCs w:val="32"/>
        </w:rPr>
        <w:t>0.07</w:t>
      </w:r>
      <w:r>
        <w:rPr>
          <w:rFonts w:hint="eastAsia" w:asciiTheme="minorEastAsia" w:hAnsiTheme="minorEastAsia" w:eastAsiaTheme="minorEastAsia"/>
          <w:sz w:val="32"/>
          <w:szCs w:val="32"/>
        </w:rPr>
        <w:t>万元；</w:t>
      </w:r>
    </w:p>
    <w:p>
      <w:pPr>
        <w:pStyle w:val="10"/>
        <w:ind w:firstLine="640" w:firstLineChars="200"/>
        <w:rPr>
          <w:rFonts w:asciiTheme="minorEastAsia" w:hAnsiTheme="minorEastAsia" w:eastAsiaTheme="minorEastAsia"/>
          <w:sz w:val="32"/>
          <w:szCs w:val="32"/>
        </w:rPr>
      </w:pPr>
      <w:r>
        <w:rPr>
          <w:rFonts w:hint="eastAsia" w:ascii="Times New Roman" w:hAnsi="Times New Roman" w:eastAsia="仿宋_GB2312"/>
          <w:b/>
          <w:bCs/>
          <w:sz w:val="32"/>
          <w:szCs w:val="32"/>
        </w:rPr>
        <w:t>公用经费</w:t>
      </w:r>
      <w:r>
        <w:rPr>
          <w:rFonts w:ascii="Times New Roman" w:hAnsi="Times New Roman" w:eastAsia="仿宋_GB2312"/>
          <w:sz w:val="32"/>
          <w:szCs w:val="32"/>
        </w:rPr>
        <w:t>463.29</w:t>
      </w:r>
      <w:r>
        <w:rPr>
          <w:rFonts w:hint="eastAsia" w:ascii="Times New Roman" w:hAnsi="Times New Roman" w:eastAsia="仿宋_GB2312"/>
          <w:sz w:val="32"/>
          <w:szCs w:val="32"/>
        </w:rPr>
        <w:t>万元，占基本支出的13.73%，主要包括</w:t>
      </w:r>
      <w:r>
        <w:rPr>
          <w:rFonts w:hint="eastAsia" w:asciiTheme="minorEastAsia" w:hAnsiTheme="minorEastAsia" w:eastAsiaTheme="minorEastAsia"/>
          <w:sz w:val="32"/>
          <w:szCs w:val="32"/>
        </w:rPr>
        <w:t>办公费</w:t>
      </w:r>
      <w:r>
        <w:rPr>
          <w:rFonts w:asciiTheme="minorEastAsia" w:hAnsiTheme="minorEastAsia" w:eastAsiaTheme="minorEastAsia"/>
          <w:sz w:val="32"/>
          <w:szCs w:val="32"/>
        </w:rPr>
        <w:t>277.98</w:t>
      </w:r>
      <w:r>
        <w:rPr>
          <w:rFonts w:hint="eastAsia" w:asciiTheme="minorEastAsia" w:hAnsiTheme="minorEastAsia" w:eastAsiaTheme="minorEastAsia"/>
          <w:sz w:val="32"/>
          <w:szCs w:val="32"/>
        </w:rPr>
        <w:t>万元、印刷费</w:t>
      </w:r>
      <w:r>
        <w:rPr>
          <w:rFonts w:asciiTheme="minorEastAsia" w:hAnsiTheme="minorEastAsia" w:eastAsiaTheme="minorEastAsia"/>
          <w:sz w:val="32"/>
          <w:szCs w:val="32"/>
        </w:rPr>
        <w:t>3.37</w:t>
      </w:r>
      <w:r>
        <w:rPr>
          <w:rFonts w:hint="eastAsia" w:asciiTheme="minorEastAsia" w:hAnsiTheme="minorEastAsia" w:eastAsiaTheme="minorEastAsia"/>
          <w:sz w:val="32"/>
          <w:szCs w:val="32"/>
        </w:rPr>
        <w:t>万元、电费</w:t>
      </w:r>
      <w:r>
        <w:rPr>
          <w:rFonts w:asciiTheme="minorEastAsia" w:hAnsiTheme="minorEastAsia" w:eastAsiaTheme="minorEastAsia"/>
          <w:sz w:val="32"/>
          <w:szCs w:val="32"/>
        </w:rPr>
        <w:t>0.74</w:t>
      </w:r>
      <w:r>
        <w:rPr>
          <w:rFonts w:hint="eastAsia" w:asciiTheme="minorEastAsia" w:hAnsiTheme="minorEastAsia" w:eastAsiaTheme="minorEastAsia"/>
          <w:sz w:val="32"/>
          <w:szCs w:val="32"/>
        </w:rPr>
        <w:t>万元、维修费</w:t>
      </w:r>
      <w:r>
        <w:rPr>
          <w:rFonts w:asciiTheme="minorEastAsia" w:hAnsiTheme="minorEastAsia" w:eastAsiaTheme="minorEastAsia"/>
          <w:sz w:val="32"/>
          <w:szCs w:val="32"/>
        </w:rPr>
        <w:t>1.8</w:t>
      </w:r>
      <w:r>
        <w:rPr>
          <w:rFonts w:hint="eastAsia" w:asciiTheme="minorEastAsia" w:hAnsiTheme="minorEastAsia" w:eastAsiaTheme="minorEastAsia"/>
          <w:sz w:val="32"/>
          <w:szCs w:val="32"/>
        </w:rPr>
        <w:t>万元、培训费</w:t>
      </w:r>
      <w:r>
        <w:rPr>
          <w:rFonts w:asciiTheme="minorEastAsia" w:hAnsiTheme="minorEastAsia" w:eastAsiaTheme="minorEastAsia"/>
          <w:sz w:val="32"/>
          <w:szCs w:val="32"/>
        </w:rPr>
        <w:t>0.63</w:t>
      </w:r>
      <w:r>
        <w:rPr>
          <w:rFonts w:hint="eastAsia" w:asciiTheme="minorEastAsia" w:hAnsiTheme="minorEastAsia" w:eastAsiaTheme="minorEastAsia"/>
          <w:sz w:val="32"/>
          <w:szCs w:val="32"/>
        </w:rPr>
        <w:t>万元、劳务费</w:t>
      </w:r>
      <w:r>
        <w:rPr>
          <w:rFonts w:asciiTheme="minorEastAsia" w:hAnsiTheme="minorEastAsia" w:eastAsiaTheme="minorEastAsia"/>
          <w:sz w:val="32"/>
          <w:szCs w:val="32"/>
        </w:rPr>
        <w:t>3.41</w:t>
      </w:r>
      <w:r>
        <w:rPr>
          <w:rFonts w:hint="eastAsia" w:asciiTheme="minorEastAsia" w:hAnsiTheme="minorEastAsia" w:eastAsiaTheme="minorEastAsia"/>
          <w:sz w:val="32"/>
          <w:szCs w:val="32"/>
        </w:rPr>
        <w:t>万元、其他交通费</w:t>
      </w:r>
      <w:r>
        <w:rPr>
          <w:rFonts w:asciiTheme="minorEastAsia" w:hAnsiTheme="minorEastAsia" w:eastAsiaTheme="minorEastAsia"/>
          <w:sz w:val="32"/>
          <w:szCs w:val="32"/>
        </w:rPr>
        <w:t>158.71</w:t>
      </w:r>
      <w:r>
        <w:rPr>
          <w:rFonts w:hint="eastAsia" w:asciiTheme="minorEastAsia" w:hAnsiTheme="minorEastAsia" w:eastAsiaTheme="minorEastAsia"/>
          <w:sz w:val="32"/>
          <w:szCs w:val="32"/>
        </w:rPr>
        <w:t>万元、其他商品和服务支出</w:t>
      </w:r>
      <w:r>
        <w:rPr>
          <w:rFonts w:asciiTheme="minorEastAsia" w:hAnsiTheme="minorEastAsia" w:eastAsiaTheme="minorEastAsia"/>
          <w:sz w:val="32"/>
          <w:szCs w:val="32"/>
        </w:rPr>
        <w:t>12.29</w:t>
      </w:r>
      <w:r>
        <w:rPr>
          <w:rFonts w:hint="eastAsia" w:asciiTheme="minorEastAsia" w:hAnsiTheme="minorEastAsia" w:eastAsiaTheme="minorEastAsia"/>
          <w:sz w:val="32"/>
          <w:szCs w:val="32"/>
        </w:rPr>
        <w:t>万元、办公设备购置</w:t>
      </w:r>
      <w:r>
        <w:rPr>
          <w:rFonts w:asciiTheme="minorEastAsia" w:hAnsiTheme="minorEastAsia" w:eastAsiaTheme="minorEastAsia"/>
          <w:sz w:val="32"/>
          <w:szCs w:val="32"/>
        </w:rPr>
        <w:t>4.37</w:t>
      </w:r>
      <w:r>
        <w:rPr>
          <w:rFonts w:hint="eastAsia" w:asciiTheme="minorEastAsia" w:hAnsiTheme="minorEastAsia" w:eastAsiaTheme="minorEastAsia"/>
          <w:sz w:val="32"/>
          <w:szCs w:val="32"/>
        </w:rPr>
        <w:t>万元。</w:t>
      </w:r>
    </w:p>
    <w:p>
      <w:pPr>
        <w:pStyle w:val="10"/>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pPr>
        <w:pStyle w:val="1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“三公”经费财政拨款支出预算为3</w:t>
      </w:r>
      <w:r>
        <w:rPr>
          <w:rFonts w:hint="eastAsia" w:ascii="Times New Roman" w:hAnsi="Times New Roman" w:eastAsia="仿宋_GB2312"/>
          <w:sz w:val="32"/>
          <w:szCs w:val="32"/>
          <w:lang w:val="en-US" w:eastAsia="zh-CN"/>
        </w:rPr>
        <w:t>7.99</w:t>
      </w:r>
      <w:r>
        <w:rPr>
          <w:rFonts w:hint="eastAsia" w:ascii="Times New Roman" w:hAnsi="Times New Roman" w:eastAsia="仿宋_GB2312"/>
          <w:sz w:val="32"/>
          <w:szCs w:val="32"/>
        </w:rPr>
        <w:t>万元，支出决算为1.61万元，完成预算的4.24%，其中：</w:t>
      </w:r>
    </w:p>
    <w:p>
      <w:pPr>
        <w:pStyle w:val="10"/>
        <w:spacing w:line="600" w:lineRule="exact"/>
        <w:ind w:firstLine="800" w:firstLineChars="250"/>
        <w:rPr>
          <w:rFonts w:hint="eastAsia" w:asciiTheme="minorEastAsia" w:hAnsiTheme="minorEastAsia" w:eastAsiaTheme="minorEastAsia"/>
          <w:sz w:val="32"/>
          <w:szCs w:val="32"/>
        </w:rPr>
      </w:pPr>
      <w:r>
        <w:rPr>
          <w:rFonts w:hint="eastAsia" w:ascii="Times New Roman" w:hAnsi="Times New Roman" w:eastAsia="仿宋_GB2312"/>
          <w:sz w:val="32"/>
          <w:szCs w:val="32"/>
        </w:rPr>
        <w:t>因公出国（境）费支出预算为0万元，支出决算为0万元，完成预算的0%，决算数等于预算数，与上年一致。</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公务接待费支出预算为5.22万元，支出决算为0.19万元，完成预算的3.64%，决算数小于预算数的主要原因是公务接待减少，与上年相比减少1.16万元，减少85.9%,减少的主要原因是公务接待减少。</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公务用车购置费支出预算为0万元，支出决算为0万元，完成预算的0%，决算数等于预算数，与上年一致。</w:t>
      </w:r>
    </w:p>
    <w:p>
      <w:pPr>
        <w:pStyle w:val="1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公务用车运行维护费支出预算为32.78万元，支出决算为1.42万元，完成预算的4.33%，决算数小于预算数的主要原因是控制车辆维修开支，与上年相比减少16.47万元，减少92%,减少的主要原因是控制车辆维修开支。</w:t>
      </w:r>
    </w:p>
    <w:p>
      <w:pPr>
        <w:pStyle w:val="1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2022年度“三公”经费财政拨款支出决算中，公务接待费支出决算0.19万元，占0.5%,因公出国（境）费支出决算0万元，占0%,公务用车购置费及运行维护费支出决算1.42万元，占3.73%。其中：</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2、公务接待费支出决算为0.19万元，</w:t>
      </w:r>
      <w:r>
        <w:rPr>
          <w:rFonts w:hint="eastAsia" w:ascii="Times New Roman" w:hAnsi="Times New Roman" w:eastAsia="仿宋_GB2312"/>
          <w:bCs/>
          <w:sz w:val="32"/>
          <w:szCs w:val="32"/>
        </w:rPr>
        <w:t>全年共接待来访</w:t>
      </w:r>
      <w:r>
        <w:rPr>
          <w:rFonts w:hint="eastAsia" w:ascii="Times New Roman" w:hAnsi="Times New Roman" w:eastAsia="仿宋_GB2312"/>
          <w:sz w:val="32"/>
          <w:szCs w:val="32"/>
        </w:rPr>
        <w:t>公务接待10批次，约100人，主要是上级领导检查工作接待。</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3、公务用车购置费及运行维护费支出决算为1.42万元，其中：公务用车购置费0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0辆</w:t>
      </w:r>
      <w:r>
        <w:rPr>
          <w:rFonts w:hint="eastAsia" w:ascii="Times New Roman" w:hAnsi="Times New Roman" w:eastAsia="仿宋_GB2312"/>
          <w:sz w:val="32"/>
          <w:szCs w:val="32"/>
        </w:rPr>
        <w:t>。公务用车运行维护费1.42万元，主要是车辆油料费、维修费支出，截止2022年12月31日，我单</w:t>
      </w:r>
      <w:r>
        <w:rPr>
          <w:rFonts w:hint="eastAsia" w:ascii="Times New Roman" w:hAnsi="Times New Roman" w:eastAsia="仿宋_GB2312"/>
          <w:sz w:val="32"/>
          <w:szCs w:val="32"/>
        </w:rPr>
        <w:t>位开支财政拨款的公务用车保有量为9辆。</w:t>
      </w:r>
    </w:p>
    <w:p>
      <w:pPr>
        <w:pStyle w:val="10"/>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10"/>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年度政府性基金预算财政拨款收入0万元；年初结转和结余0万元；支出0万元，其中基本支出0万元，项目支出0万元；年末结转和结余0万元。</w:t>
      </w:r>
    </w:p>
    <w:p>
      <w:pPr>
        <w:pStyle w:val="10"/>
        <w:rPr>
          <w:rFonts w:hint="eastAsia" w:ascii="Times New Roman" w:hAnsi="Times New Roman" w:eastAsia="仿宋_GB2312"/>
          <w:sz w:val="32"/>
          <w:szCs w:val="32"/>
        </w:rPr>
      </w:pPr>
      <w:r>
        <w:rPr>
          <w:rFonts w:hint="eastAsia" w:ascii="Times New Roman" w:hAnsi="Times New Roman" w:eastAsia="仿宋_GB2312"/>
          <w:sz w:val="32"/>
          <w:szCs w:val="32"/>
        </w:rPr>
        <w:t>本单位无政府性基金收支。</w:t>
      </w:r>
    </w:p>
    <w:p>
      <w:pPr>
        <w:pStyle w:val="10"/>
        <w:ind w:firstLine="640" w:firstLineChars="200"/>
        <w:rPr>
          <w:rFonts w:hAnsi="黑体"/>
          <w:bCs/>
          <w:sz w:val="32"/>
          <w:szCs w:val="32"/>
        </w:rPr>
      </w:pPr>
      <w:r>
        <w:rPr>
          <w:rFonts w:hint="eastAsia" w:hAnsi="黑体"/>
          <w:bCs/>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本部门2022年度机关运行经费支出</w:t>
      </w:r>
      <w:r>
        <w:rPr>
          <w:rFonts w:asciiTheme="minorEastAsia" w:hAnsiTheme="minorEastAsia" w:eastAsiaTheme="minorEastAsia"/>
          <w:sz w:val="32"/>
          <w:szCs w:val="32"/>
        </w:rPr>
        <w:t>463.29</w:t>
      </w:r>
      <w:r>
        <w:rPr>
          <w:rFonts w:hint="eastAsia" w:asciiTheme="minorEastAsia" w:hAnsiTheme="minorEastAsia" w:eastAsiaTheme="minorEastAsia"/>
          <w:sz w:val="32"/>
          <w:szCs w:val="32"/>
        </w:rPr>
        <w:t>万元，比上年决算数减少239.3万元，减少34%。主要原因是：主要原因是各项办公费、印刷费、差旅费、公务接待费、办公设备购置、其他交通费用、信息网络及软件购置更新等开支减少。</w:t>
      </w:r>
    </w:p>
    <w:p>
      <w:pPr>
        <w:pStyle w:val="10"/>
        <w:spacing w:line="600" w:lineRule="exact"/>
        <w:ind w:firstLine="640" w:firstLineChars="200"/>
        <w:rPr>
          <w:rFonts w:hAnsi="黑体"/>
          <w:bCs/>
          <w:sz w:val="32"/>
          <w:szCs w:val="32"/>
        </w:rPr>
      </w:pPr>
      <w:r>
        <w:rPr>
          <w:rFonts w:hint="eastAsia" w:hAnsi="黑体"/>
          <w:bCs/>
          <w:sz w:val="32"/>
          <w:szCs w:val="32"/>
        </w:rPr>
        <w:t>十、一般性支出情况说明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开支培训费0.63万元，主要用于开展法制培训等，人数400人；</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举办0次等节庆、晚会、论坛、赛事活动，开支0万元。</w:t>
      </w:r>
    </w:p>
    <w:p>
      <w:pPr>
        <w:pStyle w:val="10"/>
        <w:spacing w:line="600" w:lineRule="exact"/>
        <w:ind w:firstLine="640" w:firstLineChars="200"/>
        <w:rPr>
          <w:rFonts w:hAnsi="黑体"/>
          <w:bCs/>
          <w:sz w:val="32"/>
          <w:szCs w:val="32"/>
        </w:rPr>
      </w:pPr>
      <w:r>
        <w:rPr>
          <w:rFonts w:hint="eastAsia" w:hAnsi="黑体"/>
          <w:bCs/>
          <w:sz w:val="32"/>
          <w:szCs w:val="32"/>
        </w:rPr>
        <w:t>十一、关于政府采购支出说明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2022年度政府采购支出总额0万元，其中：政府采购货物支出0万元、政府采购工程支出0万元、政府采购服务支出0万元。授予中小企业合同金额0万元，占政府采购支出总额的0%，其中：授予小微企业合同金额XX万元，占授予中小企业合同金额的0%；货物采购授予中小企业合同金额占货物支出金额的0%，工程采购授予中小企业合同金额占工程支出金额的0%，服务采购授予中小企业合同金额占服务支出金额的0%。</w:t>
      </w:r>
    </w:p>
    <w:p>
      <w:pPr>
        <w:pStyle w:val="10"/>
        <w:spacing w:line="600" w:lineRule="exact"/>
        <w:ind w:firstLine="640" w:firstLineChars="200"/>
        <w:rPr>
          <w:rFonts w:hAnsi="黑体"/>
          <w:bCs/>
          <w:sz w:val="32"/>
          <w:szCs w:val="32"/>
        </w:rPr>
      </w:pPr>
      <w:r>
        <w:rPr>
          <w:rFonts w:hint="eastAsia" w:hAnsi="黑体"/>
          <w:bCs/>
          <w:sz w:val="32"/>
          <w:szCs w:val="32"/>
        </w:rPr>
        <w:t>十二、关于国有资产占用情况说明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2022年12月31日，部门（单位）共有车辆9辆，其中，主要领导干部用车0辆，机要通信用车0辆、应急保障用车0辆、执法执勤用车7辆、特种专业技术用车2辆、其他用车0辆；单位价值50万元以上通用设备0台（套）；单位价值100万元以上专用设备0台（套）。</w:t>
      </w:r>
    </w:p>
    <w:p>
      <w:pPr>
        <w:pStyle w:val="10"/>
        <w:spacing w:line="600" w:lineRule="exact"/>
        <w:ind w:firstLine="640" w:firstLineChars="200"/>
        <w:rPr>
          <w:rFonts w:hAnsi="黑体"/>
          <w:bCs/>
          <w:sz w:val="32"/>
          <w:szCs w:val="32"/>
        </w:rPr>
      </w:pPr>
      <w:r>
        <w:rPr>
          <w:rFonts w:hint="eastAsia" w:hAnsi="黑体"/>
          <w:bCs/>
          <w:sz w:val="32"/>
          <w:szCs w:val="32"/>
        </w:rPr>
        <w:t>十三、关于</w:t>
      </w:r>
      <w:r>
        <w:rPr>
          <w:rFonts w:hint="eastAsia" w:ascii="Times New Roman" w:hAnsi="Times New Roman" w:eastAsia="仿宋_GB2312"/>
          <w:sz w:val="32"/>
          <w:szCs w:val="32"/>
        </w:rPr>
        <w:t>2022</w:t>
      </w:r>
      <w:r>
        <w:rPr>
          <w:rFonts w:hint="eastAsia" w:hAnsi="黑体"/>
          <w:bCs/>
          <w:sz w:val="32"/>
          <w:szCs w:val="32"/>
        </w:rPr>
        <w:t>年度预算绩效情况的说明</w:t>
      </w:r>
    </w:p>
    <w:p>
      <w:pPr>
        <w:pStyle w:val="10"/>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（一）部门整体支出绩效情况</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adjustRightInd w:val="0"/>
        <w:snapToGrid w:val="0"/>
        <w:spacing w:line="580" w:lineRule="exact"/>
        <w:ind w:firstLine="640" w:firstLineChars="200"/>
        <w:outlineLvl w:val="0"/>
        <w:rPr>
          <w:rFonts w:ascii="仿宋_GB2312" w:eastAsia="仿宋_GB2312"/>
          <w:spacing w:val="-4"/>
          <w:sz w:val="32"/>
          <w:szCs w:val="32"/>
        </w:rPr>
      </w:pPr>
      <w:r>
        <w:rPr>
          <w:rFonts w:hint="eastAsia" w:ascii="仿宋_GB2312" w:hAnsi="楷体" w:eastAsia="仿宋_GB2312" w:cs="楷体"/>
          <w:bCs/>
          <w:sz w:val="32"/>
          <w:szCs w:val="32"/>
        </w:rPr>
        <w:t>2022年我局坚持优质高效服务，助推营商环境迈向一流，</w:t>
      </w:r>
      <w:r>
        <w:rPr>
          <w:rFonts w:hint="eastAsia" w:ascii="仿宋_GB2312" w:hAnsi="仿宋" w:eastAsia="仿宋_GB2312" w:cs="仿宋"/>
          <w:bCs/>
          <w:sz w:val="32"/>
          <w:szCs w:val="32"/>
        </w:rPr>
        <w:t>办事流程更简化，</w:t>
      </w:r>
      <w:r>
        <w:rPr>
          <w:rFonts w:hint="eastAsia" w:ascii="仿宋_GB2312" w:hAnsi="仿宋" w:eastAsia="仿宋_GB2312" w:cs="仿宋"/>
          <w:sz w:val="32"/>
          <w:szCs w:val="32"/>
        </w:rPr>
        <w:t>现全县市场主体达41943户，2022年新增市场主体7397户，其中企业2698户，个体4699户。</w:t>
      </w:r>
      <w:r>
        <w:rPr>
          <w:rFonts w:hint="eastAsia" w:ascii="仿宋_GB2312" w:hAnsi="仿宋" w:eastAsia="仿宋_GB2312" w:cs="仿宋"/>
          <w:bCs/>
          <w:sz w:val="32"/>
          <w:szCs w:val="32"/>
        </w:rPr>
        <w:t>“一窗通办”更快捷。</w:t>
      </w:r>
      <w:r>
        <w:rPr>
          <w:rFonts w:hint="eastAsia" w:ascii="仿宋_GB2312" w:hAnsi="仿宋" w:eastAsia="仿宋_GB2312" w:cs="仿宋"/>
          <w:sz w:val="32"/>
          <w:szCs w:val="32"/>
        </w:rPr>
        <w:t>建立企业开办“一门进出、一次告知、一窗受理、一套表单、一次采集、一网通办、一次办好、一次送达”八个一工作机制，在县政务服务中心、县产业开发区设立专门服务窗口，企业设立登记时限压缩至0.5个工作日。服务效率更高效，全面推行市场监管领域部门联合“双随机、一公开”监管工作，建立“部门联合、随机抽查、标准统一”的监管机制，目前已经实施联合执法行动2次，全县企业年报率达99.32%。</w:t>
      </w:r>
    </w:p>
    <w:p>
      <w:pPr>
        <w:spacing w:line="600" w:lineRule="exact"/>
        <w:ind w:firstLine="640" w:firstLineChars="200"/>
        <w:rPr>
          <w:rFonts w:ascii="仿宋_GB2312" w:hAnsi="楷体" w:eastAsia="仿宋_GB2312" w:cs="楷体"/>
          <w:bCs/>
          <w:sz w:val="32"/>
          <w:szCs w:val="32"/>
        </w:rPr>
      </w:pPr>
      <w:r>
        <w:rPr>
          <w:rFonts w:hint="eastAsia" w:ascii="仿宋_GB2312" w:hAnsi="楷体" w:eastAsia="仿宋_GB2312" w:cs="楷体"/>
          <w:bCs/>
          <w:sz w:val="32"/>
          <w:szCs w:val="32"/>
        </w:rPr>
        <w:t>坚持质量全面提升，实现县域经济稳中向好，</w:t>
      </w:r>
      <w:r>
        <w:rPr>
          <w:rFonts w:hint="eastAsia" w:ascii="仿宋_GB2312" w:hAnsi="仿宋" w:eastAsia="仿宋_GB2312"/>
          <w:sz w:val="32"/>
          <w:szCs w:val="32"/>
        </w:rPr>
        <w:t>提升“一站式”服务窗口质量，建立检验检测和标准化服务质量基础信息库。组织专家团队开展上门服务120</w:t>
      </w:r>
      <w:r>
        <w:rPr>
          <w:rFonts w:hint="eastAsia" w:ascii="仿宋_GB2312" w:hAnsi="楷体" w:eastAsia="仿宋_GB2312" w:cs="楷体"/>
          <w:bCs/>
          <w:sz w:val="32"/>
          <w:szCs w:val="32"/>
        </w:rPr>
        <w:t>次，帮助指导82家企业检定计量器具1500台件次，解决企业各类</w:t>
      </w:r>
      <w:r>
        <w:rPr>
          <w:rFonts w:hint="eastAsia" w:ascii="仿宋_GB2312" w:hAnsi="仿宋" w:eastAsia="仿宋_GB2312"/>
          <w:sz w:val="32"/>
          <w:szCs w:val="32"/>
        </w:rPr>
        <w:t>问题213个。指导溆浦县白丝糯产业振兴协会制定团体标准《龙潭糍粑》；指导“溆浦龙潭猪”顺利通过国家地理标志证明商标认证；制定溆浦县第一个团体标准《溆浦红糖》，16个地理标志专用标志使用企业获得信用代码和口令。现我县拥有国家地理标志保护产品2个（溆浦鹅、溆浦瑶茶）、国家驰名商标1个、马德里商标1个（筷言菇语）、国家地理标志证明商标3个（溆浦蜜桔、溆浦脐橙、溆浦龙潭猪）、国家级农业标准化示范区2个、市长质量奖1个、县长质量奖5个，2022年截止10月份拥有有效发明专利121件，发明专利授权264件。</w:t>
      </w:r>
    </w:p>
    <w:p>
      <w:pPr>
        <w:spacing w:line="600" w:lineRule="exact"/>
        <w:ind w:firstLine="640" w:firstLineChars="200"/>
        <w:rPr>
          <w:rStyle w:val="16"/>
          <w:rFonts w:ascii="仿宋_GB2312" w:hAnsi="仿宋" w:eastAsia="仿宋_GB2312" w:cs="仿宋"/>
          <w:color w:val="000000"/>
          <w:sz w:val="32"/>
          <w:szCs w:val="32"/>
        </w:rPr>
      </w:pPr>
      <w:r>
        <w:rPr>
          <w:rFonts w:hint="eastAsia" w:ascii="仿宋_GB2312" w:hAnsi="仿宋" w:eastAsia="仿宋_GB2312"/>
          <w:sz w:val="32"/>
          <w:szCs w:val="32"/>
        </w:rPr>
        <w:t>今年以来，先后组织</w:t>
      </w:r>
      <w:r>
        <w:rPr>
          <w:rFonts w:hint="eastAsia" w:ascii="仿宋_GB2312" w:hAnsi="仿宋" w:eastAsia="仿宋_GB2312"/>
          <w:sz w:val="32"/>
          <w:szCs w:val="32"/>
          <w:lang w:val="zh-TW"/>
        </w:rPr>
        <w:t>开展</w:t>
      </w:r>
      <w:r>
        <w:rPr>
          <w:rFonts w:hint="eastAsia" w:ascii="仿宋_GB2312" w:hAnsi="仿宋" w:eastAsia="仿宋_GB2312"/>
          <w:sz w:val="32"/>
          <w:szCs w:val="32"/>
        </w:rPr>
        <w:t>食品安全“年关守护”（2022）、</w:t>
      </w:r>
      <w:r>
        <w:rPr>
          <w:rFonts w:hint="eastAsia" w:ascii="仿宋_GB2312" w:hAnsi="仿宋" w:eastAsia="仿宋_GB2312"/>
          <w:sz w:val="32"/>
          <w:szCs w:val="32"/>
          <w:lang w:val="zh-TW"/>
        </w:rPr>
        <w:t xml:space="preserve"> </w:t>
      </w:r>
      <w:r>
        <w:rPr>
          <w:rFonts w:hint="eastAsia" w:ascii="仿宋_GB2312" w:hAnsi="仿宋" w:eastAsia="仿宋_GB2312"/>
          <w:sz w:val="32"/>
          <w:szCs w:val="32"/>
        </w:rPr>
        <w:t>桶装水专项整治、粮食质量安全、</w:t>
      </w:r>
      <w:r>
        <w:rPr>
          <w:rFonts w:hint="eastAsia" w:ascii="仿宋_GB2312" w:hAnsi="仿宋" w:eastAsia="仿宋_GB2312"/>
          <w:sz w:val="32"/>
          <w:szCs w:val="32"/>
          <w:lang w:val="zh-TW"/>
        </w:rPr>
        <w:t>校园及周边“食品安全护苗行动”</w:t>
      </w:r>
      <w:r>
        <w:rPr>
          <w:rFonts w:hint="eastAsia" w:ascii="仿宋_GB2312" w:hAnsi="仿宋" w:eastAsia="仿宋_GB2312"/>
          <w:sz w:val="32"/>
          <w:szCs w:val="32"/>
        </w:rPr>
        <w:t>等12个领域专项行动，全力筑牢市监领域安全防护网</w:t>
      </w:r>
      <w:r>
        <w:rPr>
          <w:rFonts w:hint="eastAsia" w:ascii="仿宋_GB2312" w:hAnsi="仿宋" w:eastAsia="仿宋_GB2312"/>
          <w:sz w:val="32"/>
          <w:szCs w:val="32"/>
          <w:lang w:val="zh-CN"/>
        </w:rPr>
        <w:t>。</w:t>
      </w:r>
      <w:r>
        <w:rPr>
          <w:rFonts w:hint="eastAsia" w:ascii="仿宋_GB2312" w:hAnsi="仿宋" w:eastAsia="仿宋_GB2312"/>
          <w:bCs/>
          <w:sz w:val="32"/>
          <w:szCs w:val="32"/>
        </w:rPr>
        <w:t>一是食品安全方面</w:t>
      </w:r>
      <w:r>
        <w:rPr>
          <w:rFonts w:hint="eastAsia" w:ascii="仿宋_GB2312" w:hAnsi="仿宋" w:eastAsia="仿宋_GB2312"/>
          <w:sz w:val="32"/>
          <w:szCs w:val="32"/>
        </w:rPr>
        <w:t>。明确全县8家A级主体食品安全总监和包保领导干部、99家B级主体包保干部；建立330家C级和5162家D级主体食品责任体系。</w:t>
      </w:r>
      <w:r>
        <w:rPr>
          <w:rFonts w:hint="eastAsia" w:ascii="仿宋_GB2312" w:hAnsi="仿宋" w:eastAsia="仿宋_GB2312" w:cs="仿宋"/>
          <w:kern w:val="0"/>
          <w:sz w:val="32"/>
          <w:szCs w:val="32"/>
          <w:lang w:val="zh-CN"/>
        </w:rPr>
        <w:t>按照</w:t>
      </w:r>
      <w:r>
        <w:rPr>
          <w:rFonts w:hint="eastAsia" w:ascii="仿宋_GB2312" w:hAnsi="仿宋" w:eastAsia="仿宋_GB2312" w:cs="仿宋"/>
          <w:kern w:val="0"/>
          <w:sz w:val="32"/>
          <w:szCs w:val="32"/>
        </w:rPr>
        <w:t>全年</w:t>
      </w:r>
      <w:r>
        <w:rPr>
          <w:rFonts w:hint="eastAsia" w:ascii="仿宋_GB2312" w:hAnsi="仿宋" w:eastAsia="仿宋_GB2312"/>
          <w:sz w:val="32"/>
          <w:szCs w:val="32"/>
        </w:rPr>
        <w:t>抽检</w:t>
      </w:r>
      <w:r>
        <w:rPr>
          <w:rFonts w:hint="eastAsia" w:ascii="仿宋_GB2312" w:hAnsi="仿宋" w:eastAsia="仿宋_GB2312" w:cs="仿宋"/>
          <w:kern w:val="0"/>
          <w:sz w:val="32"/>
          <w:szCs w:val="32"/>
        </w:rPr>
        <w:t>计划安排，已对食品领域</w:t>
      </w:r>
      <w:r>
        <w:rPr>
          <w:rFonts w:hint="eastAsia" w:ascii="仿宋_GB2312" w:hAnsi="仿宋" w:eastAsia="仿宋_GB2312"/>
          <w:sz w:val="32"/>
          <w:szCs w:val="32"/>
        </w:rPr>
        <w:t>1665个品种批次进行抽检，不合格率为3.13%。</w:t>
      </w:r>
      <w:r>
        <w:rPr>
          <w:rStyle w:val="16"/>
          <w:rFonts w:hint="eastAsia" w:ascii="仿宋_GB2312" w:hAnsi="仿宋" w:eastAsia="仿宋_GB2312" w:cs="仿宋"/>
          <w:bCs/>
          <w:color w:val="000000"/>
          <w:sz w:val="32"/>
          <w:szCs w:val="32"/>
        </w:rPr>
        <w:t>二是药品安全方面。</w:t>
      </w:r>
      <w:r>
        <w:rPr>
          <w:rFonts w:hint="eastAsia" w:ascii="仿宋_GB2312" w:hAnsi="仿宋" w:eastAsia="仿宋_GB2312" w:cs="仿宋"/>
          <w:kern w:val="0"/>
          <w:sz w:val="32"/>
          <w:szCs w:val="32"/>
        </w:rPr>
        <w:t>严格规范“四类药品”管控，</w:t>
      </w:r>
      <w:r>
        <w:rPr>
          <w:rFonts w:hint="eastAsia" w:ascii="仿宋_GB2312" w:hAnsi="仿宋" w:eastAsia="仿宋_GB2312"/>
          <w:sz w:val="32"/>
          <w:szCs w:val="32"/>
        </w:rPr>
        <w:t>强化疫苗专项检查，检查县疾控中心1家、接种机构48家，责令整改4家。</w:t>
      </w:r>
      <w:r>
        <w:rPr>
          <w:rStyle w:val="16"/>
          <w:rFonts w:hint="eastAsia" w:ascii="仿宋_GB2312" w:hAnsi="仿宋" w:eastAsia="仿宋_GB2312" w:cs="仿宋"/>
          <w:color w:val="000000"/>
          <w:sz w:val="32"/>
          <w:szCs w:val="32"/>
        </w:rPr>
        <w:t>检查零售</w:t>
      </w:r>
      <w:r>
        <w:rPr>
          <w:rFonts w:hint="eastAsia" w:ascii="仿宋_GB2312" w:hAnsi="仿宋" w:eastAsia="仿宋_GB2312" w:cs="仿宋"/>
          <w:kern w:val="0"/>
          <w:sz w:val="32"/>
          <w:szCs w:val="32"/>
        </w:rPr>
        <w:t>药店、医疗机构等药械经营使用单位437家次，出动检查人员232人次，</w:t>
      </w:r>
      <w:r>
        <w:rPr>
          <w:rStyle w:val="16"/>
          <w:rFonts w:hint="eastAsia" w:ascii="仿宋_GB2312" w:hAnsi="仿宋" w:eastAsia="仿宋_GB2312" w:cs="仿宋"/>
          <w:color w:val="000000"/>
          <w:sz w:val="32"/>
          <w:szCs w:val="32"/>
        </w:rPr>
        <w:t>对验收记录、票据管理、储存条件、销售管理等方面存在的27个问题逐一限期整改到位。</w:t>
      </w:r>
      <w:r>
        <w:rPr>
          <w:rStyle w:val="16"/>
          <w:rFonts w:hint="eastAsia" w:ascii="仿宋_GB2312" w:hAnsi="仿宋" w:eastAsia="仿宋_GB2312" w:cs="仿宋"/>
          <w:bCs/>
          <w:color w:val="000000"/>
          <w:sz w:val="32"/>
          <w:szCs w:val="32"/>
        </w:rPr>
        <w:t>三是特种设备安全方面。</w:t>
      </w:r>
      <w:r>
        <w:rPr>
          <w:rFonts w:hint="eastAsia" w:ascii="仿宋_GB2312" w:hAnsi="仿宋" w:eastAsia="仿宋_GB2312" w:cs="仿宋"/>
          <w:sz w:val="32"/>
          <w:szCs w:val="32"/>
        </w:rPr>
        <w:t>出动执法人员600余人次，检查单位330余家，发现安全隐患81起，下达《特种设备安全监察指令书》81份，停用特种设备（山银花杀青锅炉）43台，立案查处特种设备安全违法行为案6起。</w:t>
      </w:r>
      <w:r>
        <w:rPr>
          <w:rStyle w:val="16"/>
          <w:rFonts w:hint="eastAsia" w:ascii="仿宋_GB2312" w:hAnsi="仿宋" w:eastAsia="仿宋_GB2312" w:cs="仿宋"/>
          <w:bCs/>
          <w:color w:val="000000"/>
          <w:sz w:val="32"/>
          <w:szCs w:val="32"/>
        </w:rPr>
        <w:t>四是工业产品安全方面。</w:t>
      </w:r>
      <w:r>
        <w:rPr>
          <w:rFonts w:hint="eastAsia" w:ascii="仿宋_GB2312" w:hAnsi="仿宋" w:eastAsia="仿宋_GB2312" w:cs="仿宋"/>
          <w:sz w:val="32"/>
          <w:szCs w:val="32"/>
        </w:rPr>
        <w:t>对县域获证3家水泥厂抽检水泥4批次，水泥包装袋3批次；对县域2家增压加气混凝土砌块抽检2批次；对流通领域农资产品监督抽检肥料25个批次，合格19批次；成品油监督抽检4批次，学生文具、电动车、安全帽抽检2批次，电线电缆、人造地板、钢筋抽检5批次，整体合格率达90.69%。</w:t>
      </w:r>
      <w:r>
        <w:rPr>
          <w:rStyle w:val="16"/>
          <w:rFonts w:hint="eastAsia" w:ascii="仿宋_GB2312" w:hAnsi="仿宋" w:eastAsia="仿宋_GB2312" w:cs="仿宋"/>
          <w:bCs/>
          <w:color w:val="000000"/>
          <w:sz w:val="32"/>
          <w:szCs w:val="32"/>
        </w:rPr>
        <w:t>五是交通问题顽瘴痼疾整治方面。</w:t>
      </w:r>
      <w:r>
        <w:rPr>
          <w:rFonts w:hint="eastAsia" w:ascii="仿宋_GB2312" w:hAnsi="仿宋" w:eastAsia="仿宋_GB2312" w:cs="仿宋"/>
          <w:sz w:val="32"/>
          <w:szCs w:val="32"/>
        </w:rPr>
        <w:t>截止目前，立案查处10起，办结10起；下达《责令改正通知书》17份；张贴《关于禁止销售非法非标三、四轮电动车（机动车）的通告》500份。</w:t>
      </w:r>
      <w:r>
        <w:rPr>
          <w:rStyle w:val="16"/>
          <w:rFonts w:hint="eastAsia" w:ascii="仿宋_GB2312" w:hAnsi="仿宋" w:eastAsia="仿宋_GB2312" w:cs="仿宋"/>
          <w:bCs/>
          <w:color w:val="000000"/>
          <w:sz w:val="32"/>
          <w:szCs w:val="32"/>
        </w:rPr>
        <w:t>六是疫情防控方面。</w:t>
      </w:r>
      <w:r>
        <w:rPr>
          <w:rStyle w:val="16"/>
          <w:rFonts w:hint="eastAsia" w:ascii="仿宋_GB2312" w:hAnsi="仿宋" w:eastAsia="仿宋_GB2312" w:cs="仿宋"/>
          <w:color w:val="000000"/>
          <w:sz w:val="32"/>
          <w:szCs w:val="32"/>
        </w:rPr>
        <w:t>全面落实疫情防控工作一系列工作要求和规定，</w:t>
      </w:r>
      <w:r>
        <w:rPr>
          <w:rFonts w:hint="eastAsia" w:ascii="仿宋_GB2312" w:hAnsi="仿宋" w:eastAsia="仿宋_GB2312" w:cs="仿宋"/>
          <w:sz w:val="32"/>
          <w:szCs w:val="32"/>
        </w:rPr>
        <w:t>严格执行进口冷链食品“五有、五证、六专”规定，督促全县155家零售药店落实“四类药品”销售登记报告制。收到进口冷链水果报备单位13家，累计12.37吨，共对470批次冷链食品和环境样本、冷链食品从业人员(含外卖、一线工作人员）和超市从业人员1329人次进行了核酸检测。</w:t>
      </w:r>
      <w:r>
        <w:rPr>
          <w:rFonts w:hint="eastAsia" w:ascii="仿宋_GB2312" w:hAnsi="仿宋" w:eastAsia="仿宋_GB2312" w:cs="仿宋"/>
          <w:bCs/>
          <w:sz w:val="32"/>
          <w:szCs w:val="32"/>
        </w:rPr>
        <w:t>七是经营性自建房排查整治方面。</w:t>
      </w:r>
      <w:r>
        <w:rPr>
          <w:rFonts w:hint="eastAsia" w:ascii="仿宋_GB2312" w:hAnsi="仿宋" w:eastAsia="仿宋_GB2312" w:cs="仿宋"/>
          <w:snapToGrid w:val="0"/>
          <w:color w:val="000000"/>
          <w:kern w:val="0"/>
          <w:sz w:val="32"/>
          <w:szCs w:val="32"/>
        </w:rPr>
        <w:t>制定下发《</w:t>
      </w:r>
      <w:r>
        <w:rPr>
          <w:rFonts w:hint="eastAsia" w:ascii="仿宋_GB2312" w:hAnsi="仿宋" w:eastAsia="仿宋_GB2312" w:cs="仿宋"/>
          <w:sz w:val="32"/>
          <w:szCs w:val="32"/>
        </w:rPr>
        <w:t>2022年市监领域房屋建筑安全隐患大排查大整治工作方案</w:t>
      </w:r>
      <w:r>
        <w:rPr>
          <w:rFonts w:hint="eastAsia" w:ascii="仿宋_GB2312" w:hAnsi="仿宋" w:eastAsia="仿宋_GB2312" w:cs="仿宋"/>
          <w:snapToGrid w:val="0"/>
          <w:color w:val="000000"/>
          <w:kern w:val="0"/>
          <w:sz w:val="32"/>
          <w:szCs w:val="32"/>
        </w:rPr>
        <w:t>》、《溆浦县市场监督管理局居民自建房安全专项整治工作及“百日攻坚”行动实施方案》、《关于对全县范围内经营性居民自建房进行房屋安全鉴定的通知》，重点围绕“改、停、拆、封、注”五个方面开展工作，具体涵盖内容有三项，一是源头审批；二是旧址变更；三是无证处理，目前共排查整治经营性自建房屋7227栋。</w:t>
      </w:r>
    </w:p>
    <w:p>
      <w:pPr>
        <w:spacing w:line="600" w:lineRule="exact"/>
        <w:ind w:firstLine="640" w:firstLineChars="200"/>
        <w:rPr>
          <w:rFonts w:ascii="仿宋_GB2312" w:hAnsi="仿宋" w:eastAsia="仿宋_GB2312"/>
          <w:sz w:val="32"/>
          <w:szCs w:val="32"/>
        </w:rPr>
      </w:pPr>
      <w:r>
        <w:rPr>
          <w:rFonts w:hint="eastAsia" w:ascii="仿宋_GB2312" w:hAnsi="楷体" w:eastAsia="仿宋_GB2312" w:cs="楷体"/>
          <w:bCs/>
          <w:sz w:val="32"/>
          <w:szCs w:val="32"/>
        </w:rPr>
        <w:t>坚持铁拳持续出击，确保行政执法力度不减</w:t>
      </w:r>
      <w:r>
        <w:rPr>
          <w:rFonts w:hint="eastAsia" w:ascii="仿宋_GB2312" w:hAnsi="仿宋" w:eastAsia="仿宋_GB2312" w:cs="仿宋"/>
          <w:bCs/>
          <w:kern w:val="0"/>
          <w:sz w:val="32"/>
          <w:szCs w:val="32"/>
        </w:rPr>
        <w:t>，</w:t>
      </w:r>
      <w:r>
        <w:rPr>
          <w:rFonts w:hint="eastAsia" w:ascii="仿宋_GB2312" w:hAnsi="仿宋" w:eastAsia="仿宋_GB2312" w:cs="仿宋"/>
          <w:snapToGrid w:val="0"/>
          <w:color w:val="000000"/>
          <w:kern w:val="0"/>
          <w:sz w:val="32"/>
          <w:szCs w:val="32"/>
        </w:rPr>
        <w:t>全县农村药品专项整治案件数在全省位居前列。截止目前共立案437起，结案379起；与公安</w:t>
      </w:r>
      <w:r>
        <w:rPr>
          <w:rFonts w:hint="eastAsia" w:ascii="仿宋_GB2312" w:hAnsi="仿宋" w:eastAsia="仿宋_GB2312" w:cs="仿宋"/>
          <w:snapToGrid w:val="0"/>
          <w:color w:val="000000"/>
          <w:kern w:val="0"/>
          <w:sz w:val="32"/>
          <w:szCs w:val="32"/>
          <w:lang w:val="zh-CN"/>
        </w:rPr>
        <w:t>检察</w:t>
      </w:r>
      <w:r>
        <w:rPr>
          <w:rFonts w:hint="eastAsia" w:ascii="仿宋_GB2312" w:hAnsi="仿宋" w:eastAsia="仿宋_GB2312" w:cs="仿宋"/>
          <w:snapToGrid w:val="0"/>
          <w:color w:val="000000"/>
          <w:kern w:val="0"/>
          <w:sz w:val="32"/>
          <w:szCs w:val="32"/>
        </w:rPr>
        <w:t>机关开展</w:t>
      </w:r>
      <w:r>
        <w:rPr>
          <w:rFonts w:hint="eastAsia" w:ascii="仿宋_GB2312" w:hAnsi="仿宋" w:eastAsia="仿宋_GB2312" w:cs="仿宋"/>
          <w:snapToGrid w:val="0"/>
          <w:color w:val="000000"/>
          <w:kern w:val="0"/>
          <w:sz w:val="32"/>
          <w:szCs w:val="32"/>
          <w:lang w:val="zh-CN"/>
        </w:rPr>
        <w:t>联合执法</w:t>
      </w:r>
      <w:r>
        <w:rPr>
          <w:rFonts w:hint="eastAsia" w:ascii="仿宋_GB2312" w:hAnsi="仿宋" w:eastAsia="仿宋_GB2312" w:cs="仿宋"/>
          <w:snapToGrid w:val="0"/>
          <w:color w:val="000000"/>
          <w:kern w:val="0"/>
          <w:sz w:val="32"/>
          <w:szCs w:val="32"/>
        </w:rPr>
        <w:t>5</w:t>
      </w:r>
      <w:r>
        <w:rPr>
          <w:rFonts w:hint="eastAsia" w:ascii="仿宋_GB2312" w:hAnsi="仿宋" w:eastAsia="仿宋_GB2312" w:cs="仿宋"/>
          <w:snapToGrid w:val="0"/>
          <w:color w:val="000000"/>
          <w:kern w:val="0"/>
          <w:sz w:val="32"/>
          <w:szCs w:val="32"/>
          <w:lang w:val="zh-CN"/>
        </w:rPr>
        <w:t>次，</w:t>
      </w:r>
      <w:r>
        <w:rPr>
          <w:rFonts w:hint="eastAsia" w:ascii="仿宋_GB2312" w:hAnsi="仿宋" w:eastAsia="仿宋_GB2312" w:cs="仿宋"/>
          <w:snapToGrid w:val="0"/>
          <w:color w:val="000000"/>
          <w:kern w:val="0"/>
          <w:sz w:val="32"/>
          <w:szCs w:val="32"/>
        </w:rPr>
        <w:t>向公安机关移送11起案件线索，从严推动监管工作提质提效。</w:t>
      </w:r>
      <w:r>
        <w:rPr>
          <w:rFonts w:hint="eastAsia" w:ascii="仿宋_GB2312" w:hAnsi="仿宋" w:eastAsia="仿宋_GB2312" w:cs="仿宋"/>
          <w:bCs/>
          <w:sz w:val="32"/>
          <w:szCs w:val="32"/>
        </w:rPr>
        <w:t>强化价格监督检查。</w:t>
      </w:r>
      <w:r>
        <w:rPr>
          <w:rFonts w:hint="eastAsia" w:ascii="仿宋_GB2312" w:hAnsi="仿宋" w:eastAsia="仿宋_GB2312" w:cs="仿宋"/>
          <w:sz w:val="32"/>
          <w:szCs w:val="32"/>
        </w:rPr>
        <w:t>积极开展行业协会商会、机动车停放服务收费等专项检查，</w:t>
      </w:r>
      <w:r>
        <w:rPr>
          <w:rFonts w:hint="eastAsia" w:ascii="仿宋_GB2312" w:hAnsi="仿宋" w:eastAsia="仿宋_GB2312"/>
          <w:bCs/>
          <w:spacing w:val="-4"/>
          <w:sz w:val="32"/>
          <w:szCs w:val="32"/>
        </w:rPr>
        <w:t>对</w:t>
      </w:r>
      <w:r>
        <w:rPr>
          <w:rFonts w:hint="eastAsia" w:ascii="仿宋_GB2312" w:hAnsi="仿宋" w:eastAsia="仿宋_GB2312" w:cs="仿宋"/>
          <w:color w:val="191919"/>
          <w:spacing w:val="5"/>
          <w:sz w:val="32"/>
          <w:szCs w:val="32"/>
          <w:shd w:val="clear" w:color="auto" w:fill="FFFFFF"/>
        </w:rPr>
        <w:t>校外培训和养老机构乱收费行为进行专项整治，立案查处3起</w:t>
      </w:r>
      <w:r>
        <w:rPr>
          <w:rFonts w:hint="eastAsia" w:ascii="仿宋_GB2312" w:hAnsi="仿宋" w:eastAsia="仿宋_GB2312" w:cs="仿宋"/>
          <w:bCs/>
          <w:sz w:val="32"/>
          <w:szCs w:val="32"/>
        </w:rPr>
        <w:t>。强化反垄断和反不正当竞争检查。</w:t>
      </w:r>
      <w:r>
        <w:rPr>
          <w:rFonts w:hint="eastAsia" w:ascii="仿宋_GB2312" w:hAnsi="仿宋" w:eastAsia="仿宋_GB2312"/>
          <w:kern w:val="0"/>
          <w:sz w:val="32"/>
          <w:szCs w:val="32"/>
        </w:rPr>
        <w:t>认真开展“违法违规商业营销宣传集中整治行动”，</w:t>
      </w:r>
      <w:r>
        <w:rPr>
          <w:rFonts w:hint="eastAsia" w:ascii="仿宋_GB2312" w:hAnsi="仿宋" w:eastAsia="仿宋_GB2312"/>
          <w:sz w:val="32"/>
          <w:szCs w:val="32"/>
        </w:rPr>
        <w:t>严厉打击借庆祝建党 101 周年等名义从事商业营销宣传和炒作行为，从严查处涉及敏感问题、影响政治安全的商业营销宣传行为。查处不正当竞争案件2起、利用网店销售虚假宣传案3起。</w:t>
      </w:r>
      <w:r>
        <w:rPr>
          <w:rFonts w:hint="eastAsia" w:ascii="仿宋_GB2312" w:hAnsi="仿宋" w:eastAsia="仿宋_GB2312" w:cs="仿宋"/>
          <w:bCs/>
          <w:sz w:val="32"/>
          <w:szCs w:val="32"/>
        </w:rPr>
        <w:t>扎实开展无证无照经营专项整治。</w:t>
      </w:r>
      <w:r>
        <w:rPr>
          <w:rFonts w:hint="eastAsia" w:ascii="仿宋_GB2312" w:hAnsi="仿宋" w:eastAsia="仿宋_GB2312" w:cs="仿宋"/>
          <w:sz w:val="32"/>
          <w:szCs w:val="32"/>
        </w:rPr>
        <w:t>今年共清理各类市场主体3758户，清理无证无照经营42户，引导办理营业执照25户，办理食品经营许可证2户，停业整顿15户。并按照包容执法要求，对3户轻微违章违法经营主体实行限期整改，免于行政处罚，全县经营户基本实现悬照营业，悬照经营率为98.3%。</w:t>
      </w:r>
      <w:r>
        <w:rPr>
          <w:rFonts w:hint="eastAsia" w:ascii="仿宋_GB2312" w:hAnsi="仿宋" w:eastAsia="仿宋_GB2312" w:cs="仿宋"/>
          <w:bCs/>
          <w:sz w:val="32"/>
          <w:szCs w:val="32"/>
        </w:rPr>
        <w:t>狠抓消费者权益保护。</w:t>
      </w:r>
      <w:r>
        <w:rPr>
          <w:rFonts w:hint="eastAsia" w:ascii="仿宋_GB2312" w:hAnsi="仿宋" w:eastAsia="仿宋_GB2312"/>
          <w:sz w:val="32"/>
          <w:szCs w:val="32"/>
        </w:rPr>
        <w:t>1-11月共受理12315、12345投诉举报973起，成功调解954起，办结率达98.2%，为消费者挽回损失150余万元。扎</w:t>
      </w:r>
      <w:r>
        <w:rPr>
          <w:rFonts w:hint="eastAsia" w:ascii="仿宋_GB2312" w:hAnsi="仿宋" w:eastAsia="仿宋_GB2312" w:cs="仿宋"/>
          <w:sz w:val="32"/>
          <w:szCs w:val="32"/>
        </w:rPr>
        <w:t>实开展“3·15”国际消费者权益日活动，发放《中华人民共和国消费者权益保护法》、《湖南省消费者保护条例》宣传资料5000份，并对</w:t>
      </w:r>
      <w:r>
        <w:rPr>
          <w:rFonts w:hint="eastAsia" w:ascii="仿宋_GB2312" w:hAnsi="仿宋" w:eastAsia="仿宋_GB2312"/>
          <w:sz w:val="32"/>
          <w:szCs w:val="32"/>
        </w:rPr>
        <w:t>假冒伪劣商品进行集中销毁，共计销毁212个品种、1506件、价值42.37万元的假冒伪劣商品。</w:t>
      </w:r>
    </w:p>
    <w:p>
      <w:pPr>
        <w:pStyle w:val="10"/>
        <w:ind w:firstLine="640" w:firstLineChars="200"/>
        <w:rPr>
          <w:rFonts w:hint="eastAsia"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在省市县各级财政部门共同努力下，2022年度溆浦县市场监管工作基本完成。资金使用符合相关财务规定，通过专项资金的实施，全力推进全县市场监管工作，各项工作取得了明显成效。</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autoSpaceDE w:val="0"/>
        <w:autoSpaceDN w:val="0"/>
        <w:adjustRightInd w:val="0"/>
        <w:spacing w:line="600" w:lineRule="exact"/>
        <w:ind w:firstLine="640" w:firstLineChars="200"/>
        <w:jc w:val="left"/>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1.专项资金执行进度较慢</w:t>
      </w:r>
    </w:p>
    <w:p>
      <w:pPr>
        <w:autoSpaceDE w:val="0"/>
        <w:autoSpaceDN w:val="0"/>
        <w:adjustRightInd w:val="0"/>
        <w:spacing w:line="600" w:lineRule="exact"/>
        <w:ind w:firstLine="640" w:firstLineChars="200"/>
        <w:jc w:val="left"/>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一是对项目资金执行进度的监管力度有所欠缺；二是财政部门因财政资金紧张未及时拨付专项资金。</w:t>
      </w:r>
    </w:p>
    <w:p>
      <w:pPr>
        <w:autoSpaceDE w:val="0"/>
        <w:autoSpaceDN w:val="0"/>
        <w:adjustRightInd w:val="0"/>
        <w:spacing w:line="600" w:lineRule="exact"/>
        <w:ind w:firstLine="640" w:firstLineChars="200"/>
        <w:jc w:val="left"/>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2.部分资金使用管理不够规范</w:t>
      </w:r>
    </w:p>
    <w:p>
      <w:pPr>
        <w:autoSpaceDE w:val="0"/>
        <w:autoSpaceDN w:val="0"/>
        <w:adjustRightInd w:val="0"/>
        <w:spacing w:line="600" w:lineRule="exact"/>
        <w:ind w:firstLine="640" w:firstLineChars="200"/>
        <w:jc w:val="left"/>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一是验收程序不够完善；二是对项目资金的监督、检查力度有所不足。</w:t>
      </w:r>
    </w:p>
    <w:p>
      <w:pPr>
        <w:autoSpaceDE w:val="0"/>
        <w:autoSpaceDN w:val="0"/>
        <w:adjustRightInd w:val="0"/>
        <w:spacing w:line="600" w:lineRule="exact"/>
        <w:ind w:firstLine="640" w:firstLineChars="200"/>
        <w:jc w:val="left"/>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3.部分项目实施管理不够规范</w:t>
      </w:r>
    </w:p>
    <w:p>
      <w:pPr>
        <w:autoSpaceDE w:val="0"/>
        <w:autoSpaceDN w:val="0"/>
        <w:adjustRightInd w:val="0"/>
        <w:spacing w:line="600" w:lineRule="exact"/>
        <w:ind w:firstLine="640" w:firstLineChars="200"/>
        <w:jc w:val="left"/>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项目管理机制不够完善，在实施项目全过程管理，包括项目申报、政府采购、合同签订、项目验收等各环节，及时发现问题、及时协调处理问题的能力仍需加强。</w:t>
      </w:r>
    </w:p>
    <w:p>
      <w:pPr>
        <w:autoSpaceDE w:val="0"/>
        <w:autoSpaceDN w:val="0"/>
        <w:adjustRightInd w:val="0"/>
        <w:spacing w:line="600" w:lineRule="exact"/>
        <w:ind w:firstLine="640" w:firstLineChars="200"/>
        <w:jc w:val="left"/>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4.绩效管理工作不够到位</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一是基础工作不够扎实，业务工作中仍存在个别漏洞；二是预算绩效运行监控力度不够，对绩效运行情况、项目绩效运行监控汇总分析不够。</w:t>
      </w:r>
    </w:p>
    <w:p>
      <w:pPr>
        <w:pStyle w:val="10"/>
        <w:ind w:firstLine="640" w:firstLineChars="200"/>
        <w:rPr>
          <w:rFonts w:hint="eastAsia" w:ascii="仿宋_GB2312" w:hAnsi="仿宋" w:eastAsia="仿宋_GB2312" w:cs="仿宋"/>
          <w:color w:val="auto"/>
          <w:kern w:val="2"/>
          <w:sz w:val="32"/>
          <w:szCs w:val="3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pStyle w:val="10"/>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1、财政拨款收入：指县财政当年拨付的资金。</w:t>
      </w:r>
    </w:p>
    <w:p>
      <w:pPr>
        <w:pStyle w:val="10"/>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2、基本支出：指部门为保障其机构正常运转、完成日常工作任务的年度基本支出，包括人员经费和公用经费两部分。</w:t>
      </w:r>
    </w:p>
    <w:p>
      <w:pPr>
        <w:pStyle w:val="10"/>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3、</w:t>
      </w:r>
      <w:r>
        <w:rPr>
          <w:rFonts w:ascii="仿宋_GB2312" w:eastAsia="仿宋_GB2312" w:cstheme="minorBidi"/>
          <w:color w:val="auto"/>
          <w:kern w:val="2"/>
          <w:sz w:val="32"/>
          <w:szCs w:val="32"/>
        </w:rPr>
        <w:t>“三公”经费:包括因公出国（境）费、公务接待费和公务用车购置及运行费</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因公出国（境）费，指单位工作人员公务出国（境）的住宿费、旅费、伙食补助费、杂费、培训费等支出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公务接待费，指单位按规定开支的各类公务接待（含外宾接待）支出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公务用车购置及运行费，指单位公务用车购置费及租用费、燃料费、维修费、过路过桥费、保险费、安全奖励费用等支出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公务用车指用于履行公务的机动车辆。</w:t>
      </w:r>
    </w:p>
    <w:p>
      <w:pPr>
        <w:pStyle w:val="10"/>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4、机关运行经费：</w:t>
      </w:r>
      <w:r>
        <w:rPr>
          <w:rFonts w:ascii="仿宋_GB2312" w:eastAsia="仿宋_GB2312" w:cstheme="minorBidi"/>
          <w:color w:val="auto"/>
          <w:kern w:val="2"/>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bookmarkStart w:id="2" w:name="_GoBack"/>
      <w:bookmarkEnd w:id="2"/>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JiM2M0MjY0MmNiMmRjZDYzZGE2ZGE4YTVmMDRiZjgifQ=="/>
  </w:docVars>
  <w:rsids>
    <w:rsidRoot w:val="004506F9"/>
    <w:rsid w:val="0002229B"/>
    <w:rsid w:val="000273BD"/>
    <w:rsid w:val="00040CBC"/>
    <w:rsid w:val="000415B7"/>
    <w:rsid w:val="00041E3F"/>
    <w:rsid w:val="00042F07"/>
    <w:rsid w:val="00055DAA"/>
    <w:rsid w:val="00061F7B"/>
    <w:rsid w:val="000658A3"/>
    <w:rsid w:val="00067CBA"/>
    <w:rsid w:val="00074155"/>
    <w:rsid w:val="000A20E4"/>
    <w:rsid w:val="000A2C36"/>
    <w:rsid w:val="000A3F69"/>
    <w:rsid w:val="00103957"/>
    <w:rsid w:val="00152C6D"/>
    <w:rsid w:val="00154D3F"/>
    <w:rsid w:val="00162D39"/>
    <w:rsid w:val="001678BD"/>
    <w:rsid w:val="00182373"/>
    <w:rsid w:val="001A67DB"/>
    <w:rsid w:val="001B333F"/>
    <w:rsid w:val="001C3C29"/>
    <w:rsid w:val="001D51E5"/>
    <w:rsid w:val="001E080D"/>
    <w:rsid w:val="001E53D0"/>
    <w:rsid w:val="001F0C3B"/>
    <w:rsid w:val="00202C82"/>
    <w:rsid w:val="00214427"/>
    <w:rsid w:val="00226CB7"/>
    <w:rsid w:val="00235C94"/>
    <w:rsid w:val="00264552"/>
    <w:rsid w:val="00264EF9"/>
    <w:rsid w:val="00265724"/>
    <w:rsid w:val="0027426B"/>
    <w:rsid w:val="002C6056"/>
    <w:rsid w:val="002E0A30"/>
    <w:rsid w:val="003130C4"/>
    <w:rsid w:val="00316C4B"/>
    <w:rsid w:val="0032192B"/>
    <w:rsid w:val="00345323"/>
    <w:rsid w:val="003479BD"/>
    <w:rsid w:val="00352C1D"/>
    <w:rsid w:val="0037197D"/>
    <w:rsid w:val="003768D5"/>
    <w:rsid w:val="00384E3A"/>
    <w:rsid w:val="003926B9"/>
    <w:rsid w:val="003C47E6"/>
    <w:rsid w:val="003C4FC2"/>
    <w:rsid w:val="003F1946"/>
    <w:rsid w:val="003F38FA"/>
    <w:rsid w:val="00412B79"/>
    <w:rsid w:val="00416E61"/>
    <w:rsid w:val="00423E65"/>
    <w:rsid w:val="0042790C"/>
    <w:rsid w:val="004506F9"/>
    <w:rsid w:val="004717A2"/>
    <w:rsid w:val="00473DF3"/>
    <w:rsid w:val="00487911"/>
    <w:rsid w:val="00491741"/>
    <w:rsid w:val="004B0CEE"/>
    <w:rsid w:val="004D061C"/>
    <w:rsid w:val="00500E5F"/>
    <w:rsid w:val="005122EF"/>
    <w:rsid w:val="0051441A"/>
    <w:rsid w:val="00517C33"/>
    <w:rsid w:val="00517D5F"/>
    <w:rsid w:val="00523644"/>
    <w:rsid w:val="0054069E"/>
    <w:rsid w:val="00544866"/>
    <w:rsid w:val="0055150B"/>
    <w:rsid w:val="00556081"/>
    <w:rsid w:val="005767CC"/>
    <w:rsid w:val="005879C8"/>
    <w:rsid w:val="00590D9F"/>
    <w:rsid w:val="00595D26"/>
    <w:rsid w:val="005A57E8"/>
    <w:rsid w:val="005A74E6"/>
    <w:rsid w:val="005B404E"/>
    <w:rsid w:val="005D4D55"/>
    <w:rsid w:val="005E2CFB"/>
    <w:rsid w:val="005F2103"/>
    <w:rsid w:val="005F3D1C"/>
    <w:rsid w:val="00605CBB"/>
    <w:rsid w:val="0062378F"/>
    <w:rsid w:val="00641842"/>
    <w:rsid w:val="00643951"/>
    <w:rsid w:val="00651EEC"/>
    <w:rsid w:val="00686673"/>
    <w:rsid w:val="00691E8C"/>
    <w:rsid w:val="006A22C4"/>
    <w:rsid w:val="006A351B"/>
    <w:rsid w:val="006B0422"/>
    <w:rsid w:val="006C1B53"/>
    <w:rsid w:val="006D7730"/>
    <w:rsid w:val="006E5284"/>
    <w:rsid w:val="006F3EB5"/>
    <w:rsid w:val="00702E34"/>
    <w:rsid w:val="00704395"/>
    <w:rsid w:val="00707C21"/>
    <w:rsid w:val="00710FE7"/>
    <w:rsid w:val="00717621"/>
    <w:rsid w:val="00720FF1"/>
    <w:rsid w:val="00727A53"/>
    <w:rsid w:val="00777D21"/>
    <w:rsid w:val="007803C7"/>
    <w:rsid w:val="00787B42"/>
    <w:rsid w:val="007C4539"/>
    <w:rsid w:val="007F3657"/>
    <w:rsid w:val="00812ED5"/>
    <w:rsid w:val="008277D9"/>
    <w:rsid w:val="0084478C"/>
    <w:rsid w:val="0086638C"/>
    <w:rsid w:val="008A3E8D"/>
    <w:rsid w:val="008D1C53"/>
    <w:rsid w:val="009237C4"/>
    <w:rsid w:val="00944C48"/>
    <w:rsid w:val="00950252"/>
    <w:rsid w:val="00967F5D"/>
    <w:rsid w:val="009A0F95"/>
    <w:rsid w:val="009B3ADF"/>
    <w:rsid w:val="009B3EBD"/>
    <w:rsid w:val="009C3B52"/>
    <w:rsid w:val="009E6817"/>
    <w:rsid w:val="009E6E9A"/>
    <w:rsid w:val="00A01D2B"/>
    <w:rsid w:val="00A42218"/>
    <w:rsid w:val="00A44EB0"/>
    <w:rsid w:val="00A70249"/>
    <w:rsid w:val="00A70B02"/>
    <w:rsid w:val="00A71D9F"/>
    <w:rsid w:val="00A735AA"/>
    <w:rsid w:val="00A92E9F"/>
    <w:rsid w:val="00AB18FF"/>
    <w:rsid w:val="00AF32A6"/>
    <w:rsid w:val="00B25BDE"/>
    <w:rsid w:val="00B33315"/>
    <w:rsid w:val="00B33BEA"/>
    <w:rsid w:val="00B57C9F"/>
    <w:rsid w:val="00B63572"/>
    <w:rsid w:val="00B845B3"/>
    <w:rsid w:val="00B85D8B"/>
    <w:rsid w:val="00BA3DAB"/>
    <w:rsid w:val="00BB4A40"/>
    <w:rsid w:val="00BC6A51"/>
    <w:rsid w:val="00BD6C3E"/>
    <w:rsid w:val="00BE3094"/>
    <w:rsid w:val="00BE3674"/>
    <w:rsid w:val="00C10681"/>
    <w:rsid w:val="00C3049A"/>
    <w:rsid w:val="00C31B1E"/>
    <w:rsid w:val="00C77645"/>
    <w:rsid w:val="00C83B78"/>
    <w:rsid w:val="00CE04C3"/>
    <w:rsid w:val="00CE76A0"/>
    <w:rsid w:val="00D148C6"/>
    <w:rsid w:val="00D17A8A"/>
    <w:rsid w:val="00D415BA"/>
    <w:rsid w:val="00D47C9C"/>
    <w:rsid w:val="00D56968"/>
    <w:rsid w:val="00D63780"/>
    <w:rsid w:val="00D63E5F"/>
    <w:rsid w:val="00D644EE"/>
    <w:rsid w:val="00D94AEA"/>
    <w:rsid w:val="00DB48B0"/>
    <w:rsid w:val="00DC2461"/>
    <w:rsid w:val="00DC77C4"/>
    <w:rsid w:val="00DD06FF"/>
    <w:rsid w:val="00DD5FE9"/>
    <w:rsid w:val="00DF5BB4"/>
    <w:rsid w:val="00E00C7A"/>
    <w:rsid w:val="00E37D6C"/>
    <w:rsid w:val="00E55B68"/>
    <w:rsid w:val="00E561AE"/>
    <w:rsid w:val="00E5788C"/>
    <w:rsid w:val="00E67BE6"/>
    <w:rsid w:val="00E8683C"/>
    <w:rsid w:val="00E92266"/>
    <w:rsid w:val="00EA2B72"/>
    <w:rsid w:val="00EB2E80"/>
    <w:rsid w:val="00EE73FF"/>
    <w:rsid w:val="00F00D24"/>
    <w:rsid w:val="00F540F6"/>
    <w:rsid w:val="00F725D0"/>
    <w:rsid w:val="00F74360"/>
    <w:rsid w:val="00F821EF"/>
    <w:rsid w:val="00FA68C6"/>
    <w:rsid w:val="00FB462F"/>
    <w:rsid w:val="00FE16D1"/>
    <w:rsid w:val="00FE16FA"/>
    <w:rsid w:val="00FE328A"/>
    <w:rsid w:val="00FE6269"/>
    <w:rsid w:val="00FF5CD6"/>
    <w:rsid w:val="02A83DEC"/>
    <w:rsid w:val="090D1C4B"/>
    <w:rsid w:val="0EA10872"/>
    <w:rsid w:val="15D17410"/>
    <w:rsid w:val="170F23F4"/>
    <w:rsid w:val="1EC21DA9"/>
    <w:rsid w:val="203E2BC4"/>
    <w:rsid w:val="28BD7465"/>
    <w:rsid w:val="2DEC2FC4"/>
    <w:rsid w:val="310F3B71"/>
    <w:rsid w:val="372B4FBE"/>
    <w:rsid w:val="380252A4"/>
    <w:rsid w:val="3E52134C"/>
    <w:rsid w:val="47C84024"/>
    <w:rsid w:val="53D26321"/>
    <w:rsid w:val="5777D4F5"/>
    <w:rsid w:val="57CF6D09"/>
    <w:rsid w:val="5FC6BB1E"/>
    <w:rsid w:val="5FF720F1"/>
    <w:rsid w:val="66147581"/>
    <w:rsid w:val="6AC80E1A"/>
    <w:rsid w:val="6C157F30"/>
    <w:rsid w:val="737D59BA"/>
    <w:rsid w:val="76B839FE"/>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 w:type="character" w:customStyle="1" w:styleId="13">
    <w:name w:val="font01"/>
    <w:basedOn w:val="6"/>
    <w:qFormat/>
    <w:uiPriority w:val="0"/>
    <w:rPr>
      <w:rFonts w:hint="eastAsia" w:ascii="宋体" w:hAnsi="宋体" w:eastAsia="宋体" w:cs="宋体"/>
      <w:color w:val="000000"/>
      <w:sz w:val="22"/>
      <w:szCs w:val="22"/>
      <w:u w:val="none"/>
    </w:rPr>
  </w:style>
  <w:style w:type="character" w:customStyle="1" w:styleId="14">
    <w:name w:val="font21"/>
    <w:basedOn w:val="6"/>
    <w:qFormat/>
    <w:uiPriority w:val="0"/>
    <w:rPr>
      <w:rFonts w:hint="eastAsia" w:ascii="宋体" w:hAnsi="宋体" w:eastAsia="宋体" w:cs="宋体"/>
      <w:color w:val="000000"/>
      <w:sz w:val="24"/>
      <w:szCs w:val="24"/>
      <w:u w:val="none"/>
    </w:rPr>
  </w:style>
  <w:style w:type="character" w:customStyle="1" w:styleId="15">
    <w:name w:val="font11"/>
    <w:basedOn w:val="6"/>
    <w:qFormat/>
    <w:uiPriority w:val="0"/>
    <w:rPr>
      <w:rFonts w:hint="eastAsia" w:ascii="宋体" w:hAnsi="宋体" w:eastAsia="宋体" w:cs="宋体"/>
      <w:color w:val="000000"/>
      <w:sz w:val="24"/>
      <w:szCs w:val="24"/>
      <w:u w:val="none"/>
    </w:rPr>
  </w:style>
  <w:style w:type="character" w:customStyle="1" w:styleId="16">
    <w:name w:val="NormalCharacter"/>
    <w:link w:val="17"/>
    <w:qFormat/>
    <w:uiPriority w:val="0"/>
    <w:rPr>
      <w:kern w:val="2"/>
      <w:sz w:val="21"/>
      <w:szCs w:val="22"/>
    </w:rPr>
  </w:style>
  <w:style w:type="paragraph" w:customStyle="1" w:styleId="17">
    <w:name w:val="UserStyle_5"/>
    <w:link w:val="16"/>
    <w:qFormat/>
    <w:uiPriority w:val="0"/>
    <w:pPr>
      <w:textAlignment w:val="baseline"/>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3999</Words>
  <Characters>22797</Characters>
  <Lines>189</Lines>
  <Paragraphs>53</Paragraphs>
  <TotalTime>0</TotalTime>
  <ScaleCrop>false</ScaleCrop>
  <LinksUpToDate>false</LinksUpToDate>
  <CharactersWithSpaces>26743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cry1416141497</cp:lastModifiedBy>
  <cp:lastPrinted>2023-08-15T09:28:00Z</cp:lastPrinted>
  <dcterms:modified xsi:type="dcterms:W3CDTF">2023-10-12T08:24:43Z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A647E669C9A145AB899FCA050DBB5B1F_12</vt:lpwstr>
  </property>
</Properties>
</file>