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bookmarkStart w:id="3" w:name="_GoBack"/>
      <w:r>
        <w:rPr>
          <w:rFonts w:hint="eastAsia"/>
          <w:sz w:val="84"/>
          <w:szCs w:val="84"/>
        </w:rPr>
        <w:t>2021年度</w:t>
      </w:r>
    </w:p>
    <w:p>
      <w:pPr>
        <w:pStyle w:val="9"/>
        <w:jc w:val="center"/>
        <w:rPr>
          <w:sz w:val="84"/>
          <w:szCs w:val="84"/>
        </w:rPr>
      </w:pPr>
      <w:r>
        <w:rPr>
          <w:rFonts w:hint="eastAsia"/>
          <w:sz w:val="84"/>
          <w:szCs w:val="84"/>
        </w:rPr>
        <w:t>溆浦县市场监督管理局</w:t>
      </w:r>
    </w:p>
    <w:p>
      <w:pPr>
        <w:pStyle w:val="9"/>
        <w:jc w:val="center"/>
        <w:rPr>
          <w:sz w:val="84"/>
          <w:szCs w:val="84"/>
        </w:rPr>
      </w:pPr>
      <w:r>
        <w:rPr>
          <w:rFonts w:hint="eastAsia"/>
          <w:sz w:val="84"/>
          <w:szCs w:val="84"/>
        </w:rPr>
        <w:t>部门决算</w:t>
      </w:r>
    </w:p>
    <w:bookmarkEnd w:id="3"/>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00" w:lineRule="exact"/>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第一部分溆浦县市场监督管理局概况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rPr>
          <w:sz w:val="72"/>
          <w:szCs w:val="72"/>
        </w:rPr>
      </w:pPr>
    </w:p>
    <w:p>
      <w:pPr>
        <w:jc w:val="center"/>
        <w:rPr>
          <w:sz w:val="72"/>
          <w:szCs w:val="72"/>
        </w:rPr>
      </w:pPr>
    </w:p>
    <w:p>
      <w:pPr>
        <w:jc w:val="center"/>
        <w:rPr>
          <w:sz w:val="72"/>
          <w:szCs w:val="72"/>
        </w:rPr>
      </w:pPr>
    </w:p>
    <w:p>
      <w:pPr>
        <w:rPr>
          <w:rFonts w:hint="eastAsia"/>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rPr>
        <w:t>溆浦县市场监督管理局</w:t>
      </w:r>
    </w:p>
    <w:p>
      <w:pPr>
        <w:pStyle w:val="9"/>
        <w:jc w:val="center"/>
        <w:rPr>
          <w:sz w:val="84"/>
          <w:szCs w:val="84"/>
        </w:rPr>
      </w:pP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负责市场综合监督管理。拟订市场监督管理有关制度措施，组织实施质量强县战略、食品安全战略、标准化战略和知识产权战略，拟订并组织实施有关规划，规范和维护市场秩序，营造诚实守信、公平竞争的市场环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市场主体统一登记注册。指导各类企业、农民专业合作社和从事经营活动的单位、个体工商户以及外国（地区）企业常驻代表机构等市场主体的登记注册和监督管理工作。建立市场主体信息公示和共享机制，依法公示和共享有关信息，加强信用监管，推动市场主体信用体系建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3、负责组织和指导市场监管综合执法工作。组织查处违法案件。规范市场监管行政执法行为。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4、负责反垄断工作。统筹推进竞争政策实施，组织实施公平竞争审查制度。依法对经营者集中行为进行反垄断审查，根据授权负责垄断协议、滥用市场支配地位和滥用行政权力排除、限制竞争等反垄断工作。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负责监督管理市场秩序。依法监督管理市场交易、网络商品交易及有关服务的行为。组织指导查处价格收费违法违规、不正当竞争、违法直销、传销、侵犯商标专利知识产权和制售假冒伪劣行为。指导广告业的发展，监督管理广告活动。承担依法查处无照生产经营和相关无证生产经营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6、负责宏观质量管理。拟订推进质量强县战略的政策措施并组织实施，会同有关部门组织实施重大工程设备质量监理制度，组织质量事故调查，贯彻实施缺陷产品召回制度，监督管理产品防伪工作。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7、负责产品质量安全监督管理。负责产品质量安全风险监控、全县监督抽查工作。落实质量分级制度、质量安全追溯制度。负责工业产品生产许可监督管理。负责纤维质量监督工作。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8、负责特种设备安全监督管理。综合管理特种设备安全监察、监督工作。监督检查高耗能特种设备节能标准和锅炉环境保护标准的执行情况。按规定权限组织调查处理特种设备事故并进行统计分析。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负责食品安全监督管理综合协调。组织制定食品安全重大政策并组织实施。负责食品安全应急体系建设，组织指导重大食品安全事件应急处置和调查处理工作。落实食品安全重要信息直报制度。承担县食品安全委员会日常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负责食品安全监督管理。建立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核查处置和风险预警、风险交流工作。组织实施特殊食品监督管理。负责食盐专营管理和食盐安全监督管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11、负责统一管理计量工作。推行法定计量单位和国家计量制度，依职责管理计量器具及量值传递和比对工作。规范、监督商品量和市场计量行为。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12、负责统一管理标准化工作。依法承担地方标准立项、编号和发布工作，指导开展标准化试点示范工作。依据法定职责，对标准的制定进行指导监督，对标准的实施进行监督检查。推行采用国际标准。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13、负责统一管理检验检测工作。推进检验检测机构改革，规范检验检测市场，完善检验检测体系，指导协调检验检测行业发展。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14、负责统一管理、监督和综合协调全县认证认可工作。依法监督管理全县认证认可和合格评定有关活动。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15、负责市场监督管理、知识产权领域科技和信息化建设、新闻宣传、对外交流与合作。按规定承担技术性贸易措施有关工作。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16、负责实施知识产权战略，配合推进知识产权强省建设。制定实施知识产权创造、保护、运用的政策和措施。负责知识产权公共服务体系建设，推动知识产权信息传播利用，统筹协调涉外知识产权有关事宜。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17、负责保护知识产权。落实严格保护商标、专利、原产地地理标志等相关工作，负责知识产权保护体系建设，组织指导商标、专利执法工作。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18、负责知识产权创造运用。按权限负责商标、专利和原产地地理标志的管理，开展知识产权运营体系建设，指导重大经济活动知识产权评议，规范知识产权交易和无形资产评估，促进知识产权转移转化。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19、负责组织开展有关服务领域消费维权工作，查处制售假冒伪劣等违法行为，指导消费者咨询、申诉、举报受理、处理和网络体系建设等工作，保护经营者、消费者合法权益。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负责药品（含中药、民族药，下同）、医疗器械和化妆品安全监督管理。贯彻执行国家药品、医疗器械和化妆品监督管理的法律、法规和规章，拟订相关制度措施，并组织实施。研究拟订鼓励药品、医疗器械和化妆品新技术新产品的管理与服务政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21、监督实施药品、医疗器械、化妆品分类管理制度，配合有关部门实施国家基本药物制度。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22、负责药品、医疗器械和化妆品质量管理。监督实施药品、医疗器械经营质量管理规范，监督实施化妆品经营、使用卫生标准和技术规范。负责药品零售许可和医疗器械经营许可、备案。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23、负责药品、医疗器械和化妆品上市后风险管理。组织开展药品不良反应、医疗器械不良事件和化妆品不良反应的监测、评价和处置工作。依法承担药品、医疗器械和化妆品安全应急管理工作。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24、负责组织实施药品、医疗器械和化妆品监督检查。落实检查制度，依法查处药品零售、使用环节及医疗器械和化妆品经营、使用环节违法行为。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25、负责职责范围内食品药品行业安全生产工作。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26、完成县委、县政府交办的其他任务。</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spacing w:line="600" w:lineRule="exact"/>
        <w:ind w:firstLine="640" w:firstLineChars="200"/>
        <w:rPr>
          <w:rFonts w:ascii="仿宋_GB2312" w:hAnsi="仿宋_GB2312" w:eastAsia="仿宋_GB2312" w:cs="仿宋_GB2312"/>
          <w:sz w:val="32"/>
          <w:szCs w:val="32"/>
        </w:rPr>
      </w:pPr>
      <w:r>
        <w:rPr>
          <w:rFonts w:hint="eastAsia" w:asciiTheme="minorEastAsia" w:hAnsiTheme="minorEastAsia"/>
          <w:bCs/>
          <w:kern w:val="0"/>
          <w:sz w:val="32"/>
          <w:szCs w:val="32"/>
        </w:rPr>
        <w:t>（一）内设机构设置。</w:t>
      </w:r>
      <w:r>
        <w:rPr>
          <w:rFonts w:hint="eastAsia" w:ascii="仿宋_GB2312" w:eastAsia="仿宋_GB2312"/>
          <w:sz w:val="32"/>
          <w:szCs w:val="32"/>
        </w:rPr>
        <w:t>我局设</w:t>
      </w:r>
      <w:r>
        <w:rPr>
          <w:rFonts w:ascii="仿宋_GB2312" w:eastAsia="仿宋_GB2312"/>
          <w:sz w:val="32"/>
          <w:szCs w:val="32"/>
        </w:rPr>
        <w:t>1</w:t>
      </w:r>
      <w:r>
        <w:rPr>
          <w:rFonts w:hint="eastAsia" w:ascii="仿宋_GB2312" w:eastAsia="仿宋_GB2312"/>
          <w:sz w:val="32"/>
          <w:szCs w:val="32"/>
        </w:rPr>
        <w:t>9个内设机构，具体有</w:t>
      </w:r>
      <w:r>
        <w:rPr>
          <w:rFonts w:hint="eastAsia" w:ascii="仿宋_GB2312" w:hAnsi="仿宋_GB2312" w:eastAsia="仿宋_GB2312" w:cs="仿宋_GB2312"/>
          <w:sz w:val="32"/>
          <w:szCs w:val="32"/>
        </w:rPr>
        <w:t>办公室，政策法规股，</w:t>
      </w:r>
      <w:r>
        <w:rPr>
          <w:rFonts w:hint="eastAsia" w:ascii="仿宋_GB2312" w:hAnsi="仿宋_GB2312" w:eastAsia="仿宋_GB2312" w:cs="仿宋_GB2312"/>
          <w:sz w:val="32"/>
          <w:szCs w:val="32"/>
          <w:lang w:val="zh-CN"/>
        </w:rPr>
        <w:t>科技和财务股，人事股（离退休人员管理服务股）</w:t>
      </w:r>
      <w:r>
        <w:rPr>
          <w:rFonts w:hint="eastAsia" w:ascii="仿宋_GB2312" w:hAnsi="仿宋_GB2312" w:eastAsia="仿宋_GB2312" w:cs="仿宋_GB2312"/>
          <w:sz w:val="32"/>
          <w:szCs w:val="32"/>
        </w:rPr>
        <w:t>，标准质量监督管理股，计量和认证股，特种设备安全监察股，反不正当竞争和反垄断股（规范直销与打击传销办公室），登记注册股（行政审批服务股），信用监督管理股，网络交易监督管理股，消费者权益保护股，广告监督管理股，食品安全协调股（县食品安全委员会办公室），食品安全监督管理股，餐保化监督管理股（含特殊食品），药品医疗器械监督管理股，知识产权保护股，价格监督检查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市场监督管理局下设25个乡镇市场监督管理所，是县市场监督管理局派出机构。名称为溆浦县市场监督管理局XXX乡（镇）市场监督管理所，实行县乡共管、以县管为主。各乡镇政府确定一名副职分管此项工作。主要职责是：受县市场监督管理局委托，负责辖区内有关市场监督管理有关工作；承担局机关以及当地乡镇党委、政府交办的其它工作。</w:t>
      </w:r>
    </w:p>
    <w:p>
      <w:pPr>
        <w:widowControl/>
        <w:spacing w:line="600" w:lineRule="exact"/>
        <w:ind w:firstLine="640" w:firstLineChars="200"/>
        <w:rPr>
          <w:rFonts w:ascii="黑体" w:hAnsi="黑体" w:eastAsia="黑体"/>
          <w:sz w:val="28"/>
          <w:szCs w:val="28"/>
        </w:rPr>
      </w:pPr>
      <w:r>
        <w:rPr>
          <w:rFonts w:hint="eastAsia" w:asciiTheme="minorEastAsia" w:hAnsiTheme="minorEastAsia"/>
          <w:bCs/>
          <w:kern w:val="0"/>
          <w:sz w:val="32"/>
          <w:szCs w:val="32"/>
        </w:rPr>
        <w:t>（二）决算单位构成。</w:t>
      </w:r>
      <w:r>
        <w:rPr>
          <w:rFonts w:hint="eastAsia" w:ascii="仿宋_GB2312" w:eastAsia="仿宋_GB2312"/>
          <w:sz w:val="32"/>
          <w:szCs w:val="32"/>
        </w:rPr>
        <w:t>溆浦县市场监督管理局2021年部门决算汇总公开，单位构成包括：溆浦县市场监督管理局本级。</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b/>
          <w:sz w:val="72"/>
          <w:szCs w:val="72"/>
        </w:rPr>
      </w:pPr>
      <w:r>
        <w:rPr>
          <w:rFonts w:hint="eastAsia"/>
          <w:b/>
          <w:sz w:val="72"/>
          <w:szCs w:val="72"/>
        </w:rPr>
        <w:t>第二部分</w:t>
      </w:r>
    </w:p>
    <w:p>
      <w:pPr>
        <w:jc w:val="center"/>
        <w:rPr>
          <w:sz w:val="72"/>
          <w:szCs w:val="72"/>
        </w:rPr>
      </w:pPr>
    </w:p>
    <w:p>
      <w:pPr>
        <w:pStyle w:val="9"/>
        <w:jc w:val="center"/>
        <w:rPr>
          <w:sz w:val="84"/>
          <w:szCs w:val="84"/>
        </w:rPr>
      </w:pPr>
      <w:r>
        <w:rPr>
          <w:rFonts w:hint="eastAsia"/>
          <w:sz w:val="84"/>
          <w:szCs w:val="84"/>
        </w:rPr>
        <w:t>溆浦县市场监督管理局</w:t>
      </w:r>
    </w:p>
    <w:p>
      <w:pPr>
        <w:pStyle w:val="9"/>
        <w:jc w:val="center"/>
        <w:rPr>
          <w:sz w:val="84"/>
          <w:szCs w:val="84"/>
        </w:rPr>
      </w:pPr>
      <w:r>
        <w:rPr>
          <w:rFonts w:hint="eastAsia"/>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溆浦县市场监督管理局</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3663.71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3035.17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99.16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3.42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370.84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120.81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11.15</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2"/>
              </w:rPr>
              <w:t>八、农林水支出</w:t>
            </w:r>
            <w:r>
              <w:rPr>
                <w:rFonts w:hint="eastAsia" w:ascii="宋体" w:hAnsi="宋体" w:eastAsia="宋体" w:cs="宋体"/>
                <w:kern w:val="0"/>
                <w:sz w:val="20"/>
                <w:szCs w:val="20"/>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115.98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3674.86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3745.37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104.64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34.12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3779.49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3779.49</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428" w:type="dxa"/>
        <w:tblInd w:w="0" w:type="dxa"/>
        <w:tblLayout w:type="autofit"/>
        <w:tblCellMar>
          <w:top w:w="0" w:type="dxa"/>
          <w:left w:w="0" w:type="dxa"/>
          <w:bottom w:w="0" w:type="dxa"/>
          <w:right w:w="0" w:type="dxa"/>
        </w:tblCellMar>
      </w:tblPr>
      <w:tblGrid>
        <w:gridCol w:w="562"/>
        <w:gridCol w:w="371"/>
        <w:gridCol w:w="5553"/>
        <w:gridCol w:w="1250"/>
        <w:gridCol w:w="3769"/>
        <w:gridCol w:w="522"/>
        <w:gridCol w:w="568"/>
        <w:gridCol w:w="565"/>
        <w:gridCol w:w="550"/>
        <w:gridCol w:w="1718"/>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88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color w:val="000000"/>
                <w:kern w:val="0"/>
                <w:sz w:val="20"/>
                <w:szCs w:val="20"/>
              </w:rPr>
              <w:t>溆浦县市场监督管理局</w:t>
            </w:r>
          </w:p>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88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736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18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288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55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62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62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59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59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2261"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5103"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88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88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288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3674.86</w:t>
            </w:r>
          </w:p>
        </w:tc>
        <w:tc>
          <w:tcPr>
            <w:tcW w:w="28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3663.71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11.15</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一般公共服务支出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2964.65</w:t>
            </w:r>
          </w:p>
        </w:tc>
        <w:tc>
          <w:tcPr>
            <w:tcW w:w="28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ind w:right="105"/>
              <w:jc w:val="right"/>
              <w:rPr>
                <w:rFonts w:ascii="宋体" w:hAnsi="宋体" w:eastAsia="宋体" w:cs="宋体"/>
                <w:sz w:val="24"/>
                <w:szCs w:val="24"/>
              </w:rPr>
            </w:pPr>
            <w:r>
              <w:rPr>
                <w:rFonts w:hint="eastAsia"/>
              </w:rPr>
              <w:t>2953.5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11.15</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20103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政府办公厅（室）及相关机构事务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华文中宋" w:hAnsi="华文中宋" w:eastAsia="华文中宋"/>
              </w:rPr>
              <w:t>10.85</w:t>
            </w:r>
          </w:p>
        </w:tc>
        <w:tc>
          <w:tcPr>
            <w:tcW w:w="28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10.85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2010301　</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10.85</w:t>
            </w:r>
          </w:p>
        </w:tc>
        <w:tc>
          <w:tcPr>
            <w:tcW w:w="28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10.85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20107</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税收事务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5.95</w:t>
            </w:r>
          </w:p>
        </w:tc>
        <w:tc>
          <w:tcPr>
            <w:tcW w:w="28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5.95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2010701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5.95</w:t>
            </w:r>
          </w:p>
        </w:tc>
        <w:tc>
          <w:tcPr>
            <w:tcW w:w="28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5.95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20138</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市场监督管理事务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2947.86</w:t>
            </w:r>
          </w:p>
        </w:tc>
        <w:tc>
          <w:tcPr>
            <w:tcW w:w="28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2936.71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11.15</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2013801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 xml:space="preserve">  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2504.52</w:t>
            </w:r>
          </w:p>
        </w:tc>
        <w:tc>
          <w:tcPr>
            <w:tcW w:w="28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2503.37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1.15</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2013802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 xml:space="preserve">  一般行政管理事务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22.07</w:t>
            </w:r>
          </w:p>
        </w:tc>
        <w:tc>
          <w:tcPr>
            <w:tcW w:w="28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22.07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2013804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 xml:space="preserve">  市场主体管理</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82.15</w:t>
            </w:r>
          </w:p>
        </w:tc>
        <w:tc>
          <w:tcPr>
            <w:tcW w:w="28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82.15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2013816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 xml:space="preserve">  食品安全监管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136.72</w:t>
            </w:r>
          </w:p>
        </w:tc>
        <w:tc>
          <w:tcPr>
            <w:tcW w:w="28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136.72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2013899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 xml:space="preserve">  其他市场监督管理事务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202.39</w:t>
            </w:r>
          </w:p>
        </w:tc>
        <w:tc>
          <w:tcPr>
            <w:tcW w:w="28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192.39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10</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tbl>
      <w:tblPr>
        <w:tblStyle w:val="5"/>
        <w:tblpPr w:leftFromText="180" w:rightFromText="180" w:vertAnchor="text" w:horzAnchor="margin" w:tblpY="185"/>
        <w:tblW w:w="15428" w:type="dxa"/>
        <w:tblInd w:w="0" w:type="dxa"/>
        <w:tblLayout w:type="autofit"/>
        <w:tblCellMar>
          <w:top w:w="0" w:type="dxa"/>
          <w:left w:w="0" w:type="dxa"/>
          <w:bottom w:w="0" w:type="dxa"/>
          <w:right w:w="0" w:type="dxa"/>
        </w:tblCellMar>
      </w:tblPr>
      <w:tblGrid>
        <w:gridCol w:w="506"/>
        <w:gridCol w:w="428"/>
        <w:gridCol w:w="6955"/>
        <w:gridCol w:w="1470"/>
        <w:gridCol w:w="1406"/>
        <w:gridCol w:w="633"/>
        <w:gridCol w:w="633"/>
        <w:gridCol w:w="633"/>
        <w:gridCol w:w="633"/>
        <w:gridCol w:w="2131"/>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color w:val="000000"/>
                <w:kern w:val="0"/>
                <w:sz w:val="20"/>
                <w:szCs w:val="20"/>
              </w:rPr>
              <w:t>溆浦县市场监督管理局</w:t>
            </w:r>
          </w:p>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7687"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4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36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7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7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7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7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1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93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6752"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3674.86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3663.71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11.15</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208</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社会保障和就业支出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370.84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370.84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20805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行政事业单位养老支出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华文中宋" w:hAnsi="华文中宋" w:eastAsia="华文中宋"/>
              </w:rPr>
              <w:t>256.97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256.97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2080505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机关事业单位基本养老保险缴费支出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256.97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256.97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20808</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抚恤</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113.87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113.87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2080801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死亡抚恤</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113.87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113.87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210</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卫生健康支出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120.81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120.81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21011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行政事业单位医疗</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120.81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120.81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2101101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行政单位医疗</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120.81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120.81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农林水支出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115.98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115.98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21301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农业农村</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40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40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2130199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 xml:space="preserve">  其他农业农村支出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40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40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p>
    <w:tbl>
      <w:tblPr>
        <w:tblStyle w:val="5"/>
        <w:tblW w:w="15428" w:type="dxa"/>
        <w:tblInd w:w="0" w:type="dxa"/>
        <w:tblLayout w:type="autofit"/>
        <w:tblCellMar>
          <w:top w:w="0" w:type="dxa"/>
          <w:left w:w="0" w:type="dxa"/>
          <w:bottom w:w="0" w:type="dxa"/>
          <w:right w:w="0" w:type="dxa"/>
        </w:tblCellMar>
      </w:tblPr>
      <w:tblGrid>
        <w:gridCol w:w="559"/>
        <w:gridCol w:w="375"/>
        <w:gridCol w:w="5091"/>
        <w:gridCol w:w="1686"/>
        <w:gridCol w:w="1686"/>
        <w:gridCol w:w="905"/>
        <w:gridCol w:w="905"/>
        <w:gridCol w:w="905"/>
        <w:gridCol w:w="905"/>
        <w:gridCol w:w="2411"/>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部门：溆浦县市场监督管理局</w:t>
            </w: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65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48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48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94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94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94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94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11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2263"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432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3674.86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3663.71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11.15</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21305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扶贫</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75.98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75.98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2130501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华文中宋" w:hAnsi="华文中宋" w:eastAsia="华文中宋"/>
              </w:rPr>
              <w:t>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ind w:right="210"/>
              <w:jc w:val="right"/>
              <w:rPr>
                <w:rFonts w:ascii="宋体" w:hAnsi="宋体" w:eastAsia="宋体" w:cs="宋体"/>
                <w:sz w:val="24"/>
                <w:szCs w:val="24"/>
              </w:rPr>
            </w:pPr>
            <w:r>
              <w:rPr>
                <w:rFonts w:hint="eastAsia"/>
              </w:rPr>
              <w:t>6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2130599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其他扶贫支出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69.98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69.98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216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商业服务业等支出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3.42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3.42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21602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商业流通事务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3.42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3.42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2160201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3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3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2160299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 xml:space="preserve">  其他商业流通事务支出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0.42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0.42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221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住房保障支出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99.16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99.16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22102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住房改革支出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99.16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99.16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2210201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 xml:space="preserve">  住房公积金</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99.16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99.16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rPr>
          <w:rFonts w:ascii="Times New Roman" w:hAnsi="Times New Roman" w:eastAsia="方正小标宋_GBK" w:cs="Times New Roman"/>
          <w:color w:val="000000"/>
          <w:kern w:val="0"/>
          <w:sz w:val="36"/>
          <w:szCs w:val="36"/>
        </w:rPr>
      </w:pPr>
    </w:p>
    <w:tbl>
      <w:tblPr>
        <w:tblStyle w:val="5"/>
        <w:tblW w:w="15930" w:type="dxa"/>
        <w:tblInd w:w="93" w:type="dxa"/>
        <w:tblLayout w:type="autofit"/>
        <w:tblCellMar>
          <w:top w:w="0" w:type="dxa"/>
          <w:left w:w="108" w:type="dxa"/>
          <w:bottom w:w="0" w:type="dxa"/>
          <w:right w:w="108" w:type="dxa"/>
        </w:tblCellMar>
      </w:tblPr>
      <w:tblGrid>
        <w:gridCol w:w="1042"/>
        <w:gridCol w:w="222"/>
        <w:gridCol w:w="3996"/>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593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5260"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color w:val="000000"/>
                <w:sz w:val="20"/>
                <w:szCs w:val="20"/>
              </w:rPr>
              <w:t>溆浦县市场监督管理局</w:t>
            </w:r>
            <w:r>
              <w:rPr>
                <w:rFonts w:hint="eastAsia" w:ascii="宋体" w:hAnsi="宋体" w:eastAsia="宋体" w:cs="宋体"/>
                <w:kern w:val="0"/>
                <w:sz w:val="24"/>
                <w:szCs w:val="24"/>
              </w:rPr>
              <w:t>　</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rPr>
                <w:rFonts w:ascii="宋体" w:hAnsi="宋体" w:eastAsia="宋体" w:cs="宋体"/>
                <w:color w:val="000000"/>
                <w:kern w:val="0"/>
                <w:sz w:val="20"/>
                <w:szCs w:val="20"/>
              </w:rPr>
            </w:pP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526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39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9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526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526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646" w:type="dxa"/>
            <w:tcBorders>
              <w:top w:val="nil"/>
              <w:left w:val="nil"/>
              <w:bottom w:val="single" w:color="auto" w:sz="4" w:space="0"/>
              <w:right w:val="single" w:color="auto" w:sz="4" w:space="0"/>
            </w:tcBorders>
            <w:shd w:val="clear" w:color="auto" w:fill="auto"/>
            <w:noWrap/>
            <w:vAlign w:val="center"/>
          </w:tcPr>
          <w:p>
            <w:pPr>
              <w:widowControl/>
              <w:ind w:right="360"/>
              <w:jc w:val="right"/>
              <w:rPr>
                <w:rFonts w:ascii="宋体" w:hAnsi="宋体" w:eastAsia="宋体" w:cs="宋体"/>
                <w:kern w:val="0"/>
                <w:sz w:val="24"/>
                <w:szCs w:val="24"/>
              </w:rPr>
            </w:pPr>
            <w:r>
              <w:rPr>
                <w:rFonts w:hint="eastAsia" w:ascii="宋体" w:hAnsi="宋体" w:eastAsia="宋体" w:cs="宋体"/>
                <w:kern w:val="0"/>
                <w:sz w:val="24"/>
                <w:szCs w:val="24"/>
              </w:rPr>
              <w:t>3745.37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3329.6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415.77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201</w:t>
            </w:r>
          </w:p>
        </w:tc>
        <w:tc>
          <w:tcPr>
            <w:tcW w:w="3996"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3035.17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2619.4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415.77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20103</w:t>
            </w:r>
          </w:p>
        </w:tc>
        <w:tc>
          <w:tcPr>
            <w:tcW w:w="3996"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政府办公厅（室）及相关机构事务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10.85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10.85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2010301　</w:t>
            </w:r>
          </w:p>
        </w:tc>
        <w:tc>
          <w:tcPr>
            <w:tcW w:w="3996"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行政运行</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10.85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10.85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20107</w:t>
            </w:r>
          </w:p>
        </w:tc>
        <w:tc>
          <w:tcPr>
            <w:tcW w:w="3996"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税收事务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5.95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5.95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2010701</w:t>
            </w:r>
          </w:p>
        </w:tc>
        <w:tc>
          <w:tcPr>
            <w:tcW w:w="3996"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行政运行</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5.95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5.95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20138</w:t>
            </w:r>
          </w:p>
        </w:tc>
        <w:tc>
          <w:tcPr>
            <w:tcW w:w="3996"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市场监督管理事务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3018.37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2602.6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415.77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2013801</w:t>
            </w:r>
          </w:p>
        </w:tc>
        <w:tc>
          <w:tcPr>
            <w:tcW w:w="3996" w:type="dxa"/>
            <w:tcBorders>
              <w:top w:val="nil"/>
              <w:left w:val="nil"/>
              <w:bottom w:val="single" w:color="auto" w:sz="4" w:space="0"/>
              <w:right w:val="single" w:color="auto" w:sz="4" w:space="0"/>
            </w:tcBorders>
            <w:shd w:val="clear" w:color="000000" w:fill="FFFFFF"/>
            <w:noWrap/>
            <w:vAlign w:val="center"/>
          </w:tcPr>
          <w:p>
            <w:r>
              <w:rPr>
                <w:rFonts w:hint="eastAsia"/>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2570.43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2530.43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2013802</w:t>
            </w:r>
          </w:p>
        </w:tc>
        <w:tc>
          <w:tcPr>
            <w:tcW w:w="3996" w:type="dxa"/>
            <w:tcBorders>
              <w:top w:val="nil"/>
              <w:left w:val="nil"/>
              <w:bottom w:val="single" w:color="auto" w:sz="4" w:space="0"/>
              <w:right w:val="single" w:color="auto" w:sz="4" w:space="0"/>
            </w:tcBorders>
            <w:shd w:val="clear" w:color="000000" w:fill="FFFFFF"/>
            <w:noWrap/>
            <w:vAlign w:val="center"/>
          </w:tcPr>
          <w:p>
            <w:r>
              <w:rPr>
                <w:rFonts w:hint="eastAsia"/>
              </w:rPr>
              <w:t xml:space="preserve">  一般行政管理事务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22.07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22.07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2013804</w:t>
            </w:r>
          </w:p>
        </w:tc>
        <w:tc>
          <w:tcPr>
            <w:tcW w:w="3996" w:type="dxa"/>
            <w:tcBorders>
              <w:top w:val="nil"/>
              <w:left w:val="nil"/>
              <w:bottom w:val="single" w:color="auto" w:sz="4" w:space="0"/>
              <w:right w:val="single" w:color="auto" w:sz="4" w:space="0"/>
            </w:tcBorders>
            <w:shd w:val="clear" w:color="000000" w:fill="FFFFFF"/>
            <w:noWrap/>
            <w:vAlign w:val="center"/>
          </w:tcPr>
          <w:p>
            <w:r>
              <w:rPr>
                <w:rFonts w:hint="eastAsia"/>
              </w:rPr>
              <w:t xml:space="preserve">  市场主体管理</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82.15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82.15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2013816</w:t>
            </w:r>
          </w:p>
        </w:tc>
        <w:tc>
          <w:tcPr>
            <w:tcW w:w="3996" w:type="dxa"/>
            <w:tcBorders>
              <w:top w:val="nil"/>
              <w:left w:val="nil"/>
              <w:bottom w:val="single" w:color="auto" w:sz="4" w:space="0"/>
              <w:right w:val="single" w:color="auto" w:sz="4" w:space="0"/>
            </w:tcBorders>
            <w:shd w:val="clear" w:color="000000" w:fill="FFFFFF"/>
            <w:noWrap/>
            <w:vAlign w:val="center"/>
          </w:tcPr>
          <w:p>
            <w:r>
              <w:rPr>
                <w:rFonts w:hint="eastAsia"/>
              </w:rPr>
              <w:t xml:space="preserve">  食品安全监管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136.72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136.72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2013899</w:t>
            </w:r>
          </w:p>
        </w:tc>
        <w:tc>
          <w:tcPr>
            <w:tcW w:w="3996" w:type="dxa"/>
            <w:tcBorders>
              <w:top w:val="nil"/>
              <w:left w:val="nil"/>
              <w:bottom w:val="single" w:color="auto" w:sz="4" w:space="0"/>
              <w:right w:val="single" w:color="auto" w:sz="4" w:space="0"/>
            </w:tcBorders>
            <w:shd w:val="clear" w:color="000000" w:fill="FFFFFF"/>
            <w:noWrap/>
            <w:vAlign w:val="center"/>
          </w:tcPr>
          <w:p>
            <w:r>
              <w:rPr>
                <w:rFonts w:hint="eastAsia"/>
              </w:rPr>
              <w:t xml:space="preserve">  其他市场监督管理事务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207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72.17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134.84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593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tblPrEx>
          <w:tblCellMar>
            <w:top w:w="0" w:type="dxa"/>
            <w:left w:w="108" w:type="dxa"/>
            <w:bottom w:w="0" w:type="dxa"/>
            <w:right w:w="108" w:type="dxa"/>
          </w:tblCellMar>
        </w:tblPrEx>
        <w:trPr>
          <w:trHeight w:val="630" w:hRule="atLeast"/>
        </w:trPr>
        <w:tc>
          <w:tcPr>
            <w:tcW w:w="15930" w:type="dxa"/>
            <w:gridSpan w:val="9"/>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p>
          <w:p>
            <w:pPr>
              <w:widowControl/>
              <w:jc w:val="center"/>
              <w:rPr>
                <w:rFonts w:ascii="宋体" w:hAnsi="宋体" w:eastAsia="宋体" w:cs="宋体"/>
                <w:kern w:val="0"/>
                <w:sz w:val="24"/>
                <w:szCs w:val="24"/>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5260"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color w:val="000000"/>
                <w:sz w:val="20"/>
                <w:szCs w:val="20"/>
              </w:rPr>
              <w:t>溆浦县市场监督管理局</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526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39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9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526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526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646" w:type="dxa"/>
            <w:tcBorders>
              <w:top w:val="nil"/>
              <w:left w:val="nil"/>
              <w:bottom w:val="single" w:color="auto" w:sz="4" w:space="0"/>
              <w:right w:val="single" w:color="auto" w:sz="4" w:space="0"/>
            </w:tcBorders>
            <w:shd w:val="clear" w:color="auto" w:fill="auto"/>
            <w:noWrap/>
            <w:vAlign w:val="center"/>
          </w:tcPr>
          <w:p>
            <w:pPr>
              <w:widowControl/>
              <w:ind w:right="360"/>
              <w:jc w:val="right"/>
              <w:rPr>
                <w:rFonts w:ascii="宋体" w:hAnsi="宋体" w:eastAsia="宋体" w:cs="宋体"/>
                <w:kern w:val="0"/>
                <w:sz w:val="24"/>
                <w:szCs w:val="24"/>
              </w:rPr>
            </w:pPr>
            <w:r>
              <w:rPr>
                <w:rFonts w:hint="eastAsia" w:ascii="宋体" w:hAnsi="宋体" w:eastAsia="宋体" w:cs="宋体"/>
                <w:kern w:val="0"/>
                <w:sz w:val="24"/>
                <w:szCs w:val="24"/>
              </w:rPr>
              <w:t>3745.37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3329.6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415.77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208</w:t>
            </w:r>
          </w:p>
        </w:tc>
        <w:tc>
          <w:tcPr>
            <w:tcW w:w="3996"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370.84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370.84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20805</w:t>
            </w:r>
          </w:p>
        </w:tc>
        <w:tc>
          <w:tcPr>
            <w:tcW w:w="3996"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256.97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256.97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2080505</w:t>
            </w:r>
          </w:p>
        </w:tc>
        <w:tc>
          <w:tcPr>
            <w:tcW w:w="3996"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256.97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256.97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20808</w:t>
            </w:r>
          </w:p>
        </w:tc>
        <w:tc>
          <w:tcPr>
            <w:tcW w:w="3996"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抚恤</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113.87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113.87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2080801</w:t>
            </w:r>
          </w:p>
        </w:tc>
        <w:tc>
          <w:tcPr>
            <w:tcW w:w="3996"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死亡抚恤</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113.87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113.87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210</w:t>
            </w:r>
          </w:p>
        </w:tc>
        <w:tc>
          <w:tcPr>
            <w:tcW w:w="3996"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卫生健康支出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120.81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120.81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21011</w:t>
            </w:r>
          </w:p>
        </w:tc>
        <w:tc>
          <w:tcPr>
            <w:tcW w:w="3996" w:type="dxa"/>
            <w:tcBorders>
              <w:top w:val="nil"/>
              <w:left w:val="nil"/>
              <w:bottom w:val="single" w:color="auto" w:sz="4" w:space="0"/>
              <w:right w:val="single" w:color="auto" w:sz="4" w:space="0"/>
            </w:tcBorders>
            <w:shd w:val="clear" w:color="000000" w:fill="FFFFFF"/>
            <w:noWrap/>
            <w:vAlign w:val="center"/>
          </w:tcPr>
          <w:p>
            <w:r>
              <w:rPr>
                <w:rFonts w:hint="eastAsia"/>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120.81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120.81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2101101</w:t>
            </w:r>
          </w:p>
        </w:tc>
        <w:tc>
          <w:tcPr>
            <w:tcW w:w="3996" w:type="dxa"/>
            <w:tcBorders>
              <w:top w:val="nil"/>
              <w:left w:val="nil"/>
              <w:bottom w:val="single" w:color="auto" w:sz="4" w:space="0"/>
              <w:right w:val="single" w:color="auto" w:sz="4" w:space="0"/>
            </w:tcBorders>
            <w:shd w:val="clear" w:color="000000" w:fill="FFFFFF"/>
            <w:noWrap/>
            <w:vAlign w:val="center"/>
          </w:tcPr>
          <w:p>
            <w:r>
              <w:rPr>
                <w:rFonts w:hint="eastAsia"/>
              </w:rPr>
              <w:t>行政单位医疗</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120.81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120.81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213</w:t>
            </w:r>
          </w:p>
        </w:tc>
        <w:tc>
          <w:tcPr>
            <w:tcW w:w="3996" w:type="dxa"/>
            <w:tcBorders>
              <w:top w:val="nil"/>
              <w:left w:val="nil"/>
              <w:bottom w:val="single" w:color="auto" w:sz="4" w:space="0"/>
              <w:right w:val="single" w:color="auto" w:sz="4" w:space="0"/>
            </w:tcBorders>
            <w:shd w:val="clear" w:color="000000" w:fill="FFFFFF"/>
            <w:noWrap/>
            <w:vAlign w:val="center"/>
          </w:tcPr>
          <w:p>
            <w:r>
              <w:rPr>
                <w:rFonts w:hint="eastAsia"/>
              </w:rPr>
              <w:t>农林水支出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115.98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115.98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21301</w:t>
            </w:r>
          </w:p>
        </w:tc>
        <w:tc>
          <w:tcPr>
            <w:tcW w:w="3996" w:type="dxa"/>
            <w:tcBorders>
              <w:top w:val="nil"/>
              <w:left w:val="nil"/>
              <w:bottom w:val="single" w:color="auto" w:sz="4" w:space="0"/>
              <w:right w:val="single" w:color="auto" w:sz="4" w:space="0"/>
            </w:tcBorders>
            <w:shd w:val="clear" w:color="000000" w:fill="FFFFFF"/>
            <w:noWrap/>
            <w:vAlign w:val="center"/>
          </w:tcPr>
          <w:p>
            <w:r>
              <w:rPr>
                <w:rFonts w:hint="eastAsia"/>
              </w:rPr>
              <w:t>农业农村</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2130199</w:t>
            </w:r>
          </w:p>
        </w:tc>
        <w:tc>
          <w:tcPr>
            <w:tcW w:w="3996" w:type="dxa"/>
            <w:tcBorders>
              <w:top w:val="nil"/>
              <w:left w:val="nil"/>
              <w:bottom w:val="single" w:color="auto" w:sz="4" w:space="0"/>
              <w:right w:val="single" w:color="auto" w:sz="4" w:space="0"/>
            </w:tcBorders>
            <w:shd w:val="clear" w:color="000000" w:fill="FFFFFF"/>
            <w:noWrap/>
            <w:vAlign w:val="center"/>
          </w:tcPr>
          <w:p>
            <w:r>
              <w:rPr>
                <w:rFonts w:hint="eastAsia"/>
              </w:rPr>
              <w:t xml:space="preserve">  其他农业农村支出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593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tbl>
      <w:tblPr>
        <w:tblStyle w:val="5"/>
        <w:tblW w:w="14992" w:type="dxa"/>
        <w:tblInd w:w="93" w:type="dxa"/>
        <w:tblLayout w:type="autofit"/>
        <w:tblCellMar>
          <w:top w:w="0" w:type="dxa"/>
          <w:left w:w="108" w:type="dxa"/>
          <w:bottom w:w="0" w:type="dxa"/>
          <w:right w:w="108" w:type="dxa"/>
        </w:tblCellMar>
      </w:tblPr>
      <w:tblGrid>
        <w:gridCol w:w="1042"/>
        <w:gridCol w:w="222"/>
        <w:gridCol w:w="2720"/>
        <w:gridCol w:w="1984"/>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992"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2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8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3984"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color w:val="000000"/>
                <w:sz w:val="20"/>
                <w:szCs w:val="20"/>
              </w:rPr>
              <w:t>溆浦县市场监督管理局</w:t>
            </w:r>
            <w:r>
              <w:rPr>
                <w:rFonts w:hint="eastAsia" w:ascii="宋体" w:hAnsi="宋体" w:eastAsia="宋体" w:cs="宋体"/>
                <w:kern w:val="0"/>
                <w:sz w:val="24"/>
                <w:szCs w:val="24"/>
              </w:rPr>
              <w:t>　</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8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984"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8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98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8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398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84" w:type="dxa"/>
            <w:tcBorders>
              <w:top w:val="nil"/>
              <w:left w:val="nil"/>
              <w:bottom w:val="single" w:color="auto" w:sz="4" w:space="0"/>
              <w:right w:val="single" w:color="auto" w:sz="4" w:space="0"/>
            </w:tcBorders>
            <w:shd w:val="clear" w:color="auto" w:fill="auto"/>
            <w:noWrap/>
            <w:vAlign w:val="center"/>
          </w:tcPr>
          <w:p>
            <w:pPr>
              <w:widowControl/>
              <w:ind w:right="360"/>
              <w:jc w:val="right"/>
              <w:rPr>
                <w:rFonts w:ascii="宋体" w:hAnsi="宋体" w:eastAsia="宋体" w:cs="宋体"/>
                <w:kern w:val="0"/>
                <w:sz w:val="24"/>
                <w:szCs w:val="24"/>
              </w:rPr>
            </w:pPr>
            <w:r>
              <w:rPr>
                <w:rFonts w:hint="eastAsia" w:ascii="宋体" w:hAnsi="宋体" w:eastAsia="宋体" w:cs="宋体"/>
                <w:kern w:val="0"/>
                <w:sz w:val="24"/>
                <w:szCs w:val="24"/>
              </w:rPr>
              <w:t>3745.37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3329.6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415.77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21305</w:t>
            </w:r>
          </w:p>
        </w:tc>
        <w:tc>
          <w:tcPr>
            <w:tcW w:w="2720"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扶贫</w:t>
            </w:r>
          </w:p>
        </w:tc>
        <w:tc>
          <w:tcPr>
            <w:tcW w:w="198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75.98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75.98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2130501</w:t>
            </w:r>
          </w:p>
        </w:tc>
        <w:tc>
          <w:tcPr>
            <w:tcW w:w="2720"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行政运行</w:t>
            </w:r>
          </w:p>
        </w:tc>
        <w:tc>
          <w:tcPr>
            <w:tcW w:w="198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2130599</w:t>
            </w:r>
          </w:p>
        </w:tc>
        <w:tc>
          <w:tcPr>
            <w:tcW w:w="2720"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其他扶贫支出</w:t>
            </w:r>
          </w:p>
        </w:tc>
        <w:tc>
          <w:tcPr>
            <w:tcW w:w="198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69.98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69.98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216</w:t>
            </w:r>
          </w:p>
        </w:tc>
        <w:tc>
          <w:tcPr>
            <w:tcW w:w="2720"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商业服务业等支出</w:t>
            </w:r>
          </w:p>
        </w:tc>
        <w:tc>
          <w:tcPr>
            <w:tcW w:w="198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3.42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3.42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21602</w:t>
            </w:r>
          </w:p>
        </w:tc>
        <w:tc>
          <w:tcPr>
            <w:tcW w:w="2720"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商业流通事务</w:t>
            </w:r>
          </w:p>
        </w:tc>
        <w:tc>
          <w:tcPr>
            <w:tcW w:w="198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3.42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3.42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宋体"/>
                <w:sz w:val="24"/>
                <w:szCs w:val="24"/>
              </w:rPr>
            </w:pPr>
            <w:r>
              <w:rPr>
                <w:rFonts w:hint="eastAsia"/>
              </w:rPr>
              <w:t>2160201</w:t>
            </w:r>
          </w:p>
        </w:tc>
        <w:tc>
          <w:tcPr>
            <w:tcW w:w="2720"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行政运行</w:t>
            </w:r>
          </w:p>
        </w:tc>
        <w:tc>
          <w:tcPr>
            <w:tcW w:w="198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2160299</w:t>
            </w:r>
          </w:p>
        </w:tc>
        <w:tc>
          <w:tcPr>
            <w:tcW w:w="2720" w:type="dxa"/>
            <w:tcBorders>
              <w:top w:val="nil"/>
              <w:left w:val="nil"/>
              <w:bottom w:val="single" w:color="auto" w:sz="4" w:space="0"/>
              <w:right w:val="single" w:color="auto" w:sz="4" w:space="0"/>
            </w:tcBorders>
            <w:shd w:val="clear" w:color="000000" w:fill="FFFFFF"/>
            <w:noWrap/>
            <w:vAlign w:val="center"/>
          </w:tcPr>
          <w:p>
            <w:r>
              <w:rPr>
                <w:rFonts w:hint="eastAsia"/>
              </w:rPr>
              <w:t xml:space="preserve">  其他商业流通事务支出</w:t>
            </w:r>
          </w:p>
        </w:tc>
        <w:tc>
          <w:tcPr>
            <w:tcW w:w="198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0.42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0.42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221</w:t>
            </w:r>
          </w:p>
        </w:tc>
        <w:tc>
          <w:tcPr>
            <w:tcW w:w="2720" w:type="dxa"/>
            <w:tcBorders>
              <w:top w:val="nil"/>
              <w:left w:val="nil"/>
              <w:bottom w:val="single" w:color="auto" w:sz="4" w:space="0"/>
              <w:right w:val="single" w:color="auto" w:sz="4" w:space="0"/>
            </w:tcBorders>
            <w:shd w:val="clear" w:color="000000" w:fill="FFFFFF"/>
            <w:noWrap/>
            <w:vAlign w:val="center"/>
          </w:tcPr>
          <w:p>
            <w:r>
              <w:rPr>
                <w:rFonts w:hint="eastAsia"/>
              </w:rPr>
              <w:t>住房保障支出</w:t>
            </w:r>
          </w:p>
        </w:tc>
        <w:tc>
          <w:tcPr>
            <w:tcW w:w="198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99.16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99.16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22102</w:t>
            </w:r>
          </w:p>
        </w:tc>
        <w:tc>
          <w:tcPr>
            <w:tcW w:w="2720" w:type="dxa"/>
            <w:tcBorders>
              <w:top w:val="nil"/>
              <w:left w:val="nil"/>
              <w:bottom w:val="single" w:color="auto" w:sz="4" w:space="0"/>
              <w:right w:val="single" w:color="auto" w:sz="4" w:space="0"/>
            </w:tcBorders>
            <w:shd w:val="clear" w:color="000000" w:fill="FFFFFF"/>
            <w:noWrap/>
            <w:vAlign w:val="center"/>
          </w:tcPr>
          <w:p>
            <w:r>
              <w:rPr>
                <w:rFonts w:hint="eastAsia"/>
              </w:rPr>
              <w:t>住房改革支出</w:t>
            </w:r>
          </w:p>
        </w:tc>
        <w:tc>
          <w:tcPr>
            <w:tcW w:w="198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99.16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99.16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2210201</w:t>
            </w:r>
          </w:p>
        </w:tc>
        <w:tc>
          <w:tcPr>
            <w:tcW w:w="2720" w:type="dxa"/>
            <w:tcBorders>
              <w:top w:val="nil"/>
              <w:left w:val="nil"/>
              <w:bottom w:val="single" w:color="auto" w:sz="4" w:space="0"/>
              <w:right w:val="single" w:color="auto" w:sz="4" w:space="0"/>
            </w:tcBorders>
            <w:shd w:val="clear" w:color="000000" w:fill="FFFFFF"/>
            <w:noWrap/>
            <w:vAlign w:val="center"/>
          </w:tcPr>
          <w:p>
            <w:r>
              <w:rPr>
                <w:rFonts w:hint="eastAsia"/>
              </w:rPr>
              <w:t xml:space="preserve">  住房公积金</w:t>
            </w:r>
          </w:p>
        </w:tc>
        <w:tc>
          <w:tcPr>
            <w:tcW w:w="198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99.16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99.16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p>
        </w:tc>
        <w:tc>
          <w:tcPr>
            <w:tcW w:w="272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p>
        </w:tc>
        <w:tc>
          <w:tcPr>
            <w:tcW w:w="272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992"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color w:val="000000"/>
                <w:sz w:val="20"/>
                <w:szCs w:val="20"/>
              </w:rPr>
              <w:t>溆浦县市场监督管理局</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3663.71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2960.15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2960.15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99.16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99.16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3.42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3.42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370.84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370.84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120.81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120.81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2"/>
              </w:rPr>
              <w:t>八、农林水支出</w:t>
            </w:r>
            <w:r>
              <w:rPr>
                <w:rFonts w:hint="eastAsia" w:ascii="宋体" w:hAnsi="宋体" w:eastAsia="宋体" w:cs="宋体"/>
                <w:kern w:val="0"/>
                <w:sz w:val="20"/>
                <w:szCs w:val="20"/>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115.98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115.98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3663.71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3670.36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3670.36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15.21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8.56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8.56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15.21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3678.92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3678.92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3678.92</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color w:val="000000"/>
          <w:sz w:val="20"/>
          <w:szCs w:val="20"/>
        </w:rPr>
        <w:t>溆浦县市场监督管理局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3670.36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3259.9</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410.46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　201</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　一般公共服务支出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2960.15</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2549.7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410.46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　20103</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　政府办公厅（室）及相关机构事务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10.85</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10.85</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2010301　</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　  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10.85</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10.85</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　20107</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　税收事务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5.95</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5.95</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　2010701</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　  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5.95</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5.95</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　20138</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　市场监督管理事务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2943.36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2532.9</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410.46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2013801</w:t>
            </w:r>
          </w:p>
        </w:tc>
        <w:tc>
          <w:tcPr>
            <w:tcW w:w="3527" w:type="dxa"/>
            <w:tcBorders>
              <w:top w:val="nil"/>
              <w:left w:val="nil"/>
              <w:bottom w:val="single" w:color="auto" w:sz="4" w:space="0"/>
              <w:right w:val="single" w:color="auto" w:sz="4" w:space="0"/>
            </w:tcBorders>
            <w:shd w:val="clear" w:color="auto" w:fill="auto"/>
            <w:vAlign w:val="center"/>
          </w:tcPr>
          <w:p>
            <w:r>
              <w:rPr>
                <w:rFonts w:hint="eastAsia"/>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2510.03</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2470.03</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2013802</w:t>
            </w:r>
          </w:p>
        </w:tc>
        <w:tc>
          <w:tcPr>
            <w:tcW w:w="3527" w:type="dxa"/>
            <w:tcBorders>
              <w:top w:val="nil"/>
              <w:left w:val="nil"/>
              <w:bottom w:val="single" w:color="auto" w:sz="4" w:space="0"/>
              <w:right w:val="single" w:color="auto" w:sz="4" w:space="0"/>
            </w:tcBorders>
            <w:shd w:val="clear" w:color="auto" w:fill="auto"/>
            <w:vAlign w:val="center"/>
          </w:tcPr>
          <w:p>
            <w:r>
              <w:rPr>
                <w:rFonts w:hint="eastAsia"/>
              </w:rPr>
              <w:t xml:space="preserve">  一般行政管理事务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22.07</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22.07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2013804</w:t>
            </w:r>
          </w:p>
        </w:tc>
        <w:tc>
          <w:tcPr>
            <w:tcW w:w="3527" w:type="dxa"/>
            <w:tcBorders>
              <w:top w:val="nil"/>
              <w:left w:val="nil"/>
              <w:bottom w:val="single" w:color="auto" w:sz="4" w:space="0"/>
              <w:right w:val="single" w:color="auto" w:sz="4" w:space="0"/>
            </w:tcBorders>
            <w:shd w:val="clear" w:color="auto" w:fill="auto"/>
            <w:vAlign w:val="center"/>
          </w:tcPr>
          <w:p>
            <w:r>
              <w:rPr>
                <w:rFonts w:hint="eastAsia"/>
              </w:rPr>
              <w:t xml:space="preserve">  市场主体管理</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82.15</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82.15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2013816</w:t>
            </w:r>
          </w:p>
        </w:tc>
        <w:tc>
          <w:tcPr>
            <w:tcW w:w="3527" w:type="dxa"/>
            <w:tcBorders>
              <w:top w:val="nil"/>
              <w:left w:val="nil"/>
              <w:bottom w:val="single" w:color="auto" w:sz="4" w:space="0"/>
              <w:right w:val="single" w:color="auto" w:sz="4" w:space="0"/>
            </w:tcBorders>
            <w:shd w:val="clear" w:color="auto" w:fill="auto"/>
            <w:vAlign w:val="center"/>
          </w:tcPr>
          <w:p>
            <w:r>
              <w:rPr>
                <w:rFonts w:hint="eastAsia"/>
              </w:rPr>
              <w:t xml:space="preserve">  食品安全监管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136.72</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136.72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r>
              <w:rPr>
                <w:rFonts w:hint="eastAsia"/>
              </w:rPr>
              <w:t>2013899</w:t>
            </w:r>
          </w:p>
        </w:tc>
        <w:tc>
          <w:tcPr>
            <w:tcW w:w="3527" w:type="dxa"/>
            <w:tcBorders>
              <w:top w:val="nil"/>
              <w:left w:val="nil"/>
              <w:bottom w:val="single" w:color="auto" w:sz="8" w:space="0"/>
              <w:right w:val="single" w:color="auto" w:sz="4" w:space="0"/>
            </w:tcBorders>
            <w:shd w:val="clear" w:color="auto" w:fill="auto"/>
            <w:vAlign w:val="center"/>
          </w:tcPr>
          <w:p>
            <w:r>
              <w:rPr>
                <w:rFonts w:hint="eastAsia"/>
              </w:rPr>
              <w:t xml:space="preserve">  其他市场监督管理事务</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192.39</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62.87</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129.52</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p>
    <w:p>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color w:val="000000"/>
          <w:sz w:val="20"/>
          <w:szCs w:val="20"/>
        </w:rPr>
        <w:t>溆浦县市场监督管理局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3670.36</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3259.9</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410.46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　208</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　社会保障和就业支出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370.84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370.84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　20805</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　行政事业单位养老支出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256.97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256.97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　2080505</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　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256.97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256.97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　20808</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　抚恤</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113.87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113.87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　2080801</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　  死亡抚恤</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113.87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113.87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　210</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　卫生健康支出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120.81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120.81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21011</w:t>
            </w:r>
          </w:p>
        </w:tc>
        <w:tc>
          <w:tcPr>
            <w:tcW w:w="3527" w:type="dxa"/>
            <w:tcBorders>
              <w:top w:val="nil"/>
              <w:left w:val="nil"/>
              <w:bottom w:val="single" w:color="auto" w:sz="4" w:space="0"/>
              <w:right w:val="single" w:color="auto" w:sz="4" w:space="0"/>
            </w:tcBorders>
            <w:shd w:val="clear" w:color="auto" w:fill="auto"/>
            <w:vAlign w:val="center"/>
          </w:tcPr>
          <w:p>
            <w:r>
              <w:rPr>
                <w:rFonts w:hint="eastAsia"/>
              </w:rPr>
              <w:t>行政事业单位医疗</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120.81</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120.81</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2101101</w:t>
            </w:r>
          </w:p>
        </w:tc>
        <w:tc>
          <w:tcPr>
            <w:tcW w:w="3527" w:type="dxa"/>
            <w:tcBorders>
              <w:top w:val="nil"/>
              <w:left w:val="nil"/>
              <w:bottom w:val="single" w:color="auto" w:sz="4" w:space="0"/>
              <w:right w:val="single" w:color="auto" w:sz="4" w:space="0"/>
            </w:tcBorders>
            <w:shd w:val="clear" w:color="auto" w:fill="auto"/>
            <w:vAlign w:val="center"/>
          </w:tcPr>
          <w:p>
            <w:r>
              <w:rPr>
                <w:rFonts w:hint="eastAsia"/>
              </w:rPr>
              <w:t>行政单位医疗</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120.81</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120.81</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213</w:t>
            </w:r>
          </w:p>
        </w:tc>
        <w:tc>
          <w:tcPr>
            <w:tcW w:w="3527" w:type="dxa"/>
            <w:tcBorders>
              <w:top w:val="nil"/>
              <w:left w:val="nil"/>
              <w:bottom w:val="single" w:color="auto" w:sz="4" w:space="0"/>
              <w:right w:val="single" w:color="auto" w:sz="4" w:space="0"/>
            </w:tcBorders>
            <w:shd w:val="clear" w:color="auto" w:fill="auto"/>
            <w:vAlign w:val="center"/>
          </w:tcPr>
          <w:p>
            <w:r>
              <w:rPr>
                <w:rFonts w:hint="eastAsia"/>
              </w:rPr>
              <w:t>农林水支出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115.98</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115.98</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21301</w:t>
            </w:r>
          </w:p>
        </w:tc>
        <w:tc>
          <w:tcPr>
            <w:tcW w:w="3527" w:type="dxa"/>
            <w:tcBorders>
              <w:top w:val="nil"/>
              <w:left w:val="nil"/>
              <w:bottom w:val="single" w:color="auto" w:sz="4" w:space="0"/>
              <w:right w:val="single" w:color="auto" w:sz="4" w:space="0"/>
            </w:tcBorders>
            <w:shd w:val="clear" w:color="auto" w:fill="auto"/>
            <w:vAlign w:val="center"/>
          </w:tcPr>
          <w:p>
            <w:r>
              <w:rPr>
                <w:rFonts w:hint="eastAsia"/>
              </w:rPr>
              <w:t>农业农村</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r>
              <w:rPr>
                <w:rFonts w:hint="eastAsia"/>
              </w:rPr>
              <w:t>2130199</w:t>
            </w:r>
          </w:p>
        </w:tc>
        <w:tc>
          <w:tcPr>
            <w:tcW w:w="3527" w:type="dxa"/>
            <w:tcBorders>
              <w:top w:val="nil"/>
              <w:left w:val="nil"/>
              <w:bottom w:val="single" w:color="auto" w:sz="8" w:space="0"/>
              <w:right w:val="single" w:color="auto" w:sz="4" w:space="0"/>
            </w:tcBorders>
            <w:shd w:val="clear" w:color="auto" w:fill="auto"/>
            <w:vAlign w:val="center"/>
          </w:tcPr>
          <w:p>
            <w:r>
              <w:rPr>
                <w:rFonts w:hint="eastAsia"/>
              </w:rPr>
              <w:t xml:space="preserve">  其他农业农村支出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40</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40</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p>
    <w:p>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color w:val="000000"/>
          <w:sz w:val="20"/>
          <w:szCs w:val="20"/>
        </w:rPr>
        <w:t>溆浦县市场监督管理局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3670.36</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3259.9</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410.46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　21305</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　扶贫</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75.98</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75.98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　2130501</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　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　2130599</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　其他扶贫支出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69.98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69.98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　216</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　商业服务业等支出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3.42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3.42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　21602</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　商业流通事务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3.42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3.42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rPr>
              <w:t>2160201</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　  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2160299</w:t>
            </w:r>
          </w:p>
        </w:tc>
        <w:tc>
          <w:tcPr>
            <w:tcW w:w="3527" w:type="dxa"/>
            <w:tcBorders>
              <w:top w:val="nil"/>
              <w:left w:val="nil"/>
              <w:bottom w:val="single" w:color="auto" w:sz="4" w:space="0"/>
              <w:right w:val="single" w:color="auto" w:sz="4" w:space="0"/>
            </w:tcBorders>
            <w:shd w:val="clear" w:color="auto" w:fill="auto"/>
            <w:vAlign w:val="center"/>
          </w:tcPr>
          <w:p>
            <w:r>
              <w:rPr>
                <w:rFonts w:hint="eastAsia"/>
              </w:rPr>
              <w:t xml:space="preserve">  其他商业流通事务支出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0.42</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0.42</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221</w:t>
            </w:r>
          </w:p>
        </w:tc>
        <w:tc>
          <w:tcPr>
            <w:tcW w:w="3527" w:type="dxa"/>
            <w:tcBorders>
              <w:top w:val="nil"/>
              <w:left w:val="nil"/>
              <w:bottom w:val="single" w:color="auto" w:sz="4" w:space="0"/>
              <w:right w:val="single" w:color="auto" w:sz="4" w:space="0"/>
            </w:tcBorders>
            <w:shd w:val="clear" w:color="auto" w:fill="auto"/>
            <w:vAlign w:val="center"/>
          </w:tcPr>
          <w:p>
            <w:r>
              <w:rPr>
                <w:rFonts w:hint="eastAsia"/>
              </w:rPr>
              <w:t>住房保障支出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99.16</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99.16</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22102</w:t>
            </w:r>
          </w:p>
        </w:tc>
        <w:tc>
          <w:tcPr>
            <w:tcW w:w="3527" w:type="dxa"/>
            <w:tcBorders>
              <w:top w:val="nil"/>
              <w:left w:val="nil"/>
              <w:bottom w:val="single" w:color="auto" w:sz="4" w:space="0"/>
              <w:right w:val="single" w:color="auto" w:sz="4" w:space="0"/>
            </w:tcBorders>
            <w:shd w:val="clear" w:color="auto" w:fill="auto"/>
            <w:vAlign w:val="center"/>
          </w:tcPr>
          <w:p>
            <w:r>
              <w:rPr>
                <w:rFonts w:hint="eastAsia"/>
              </w:rPr>
              <w:t>住房改革支出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99.16</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99.16</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2210201</w:t>
            </w:r>
          </w:p>
        </w:tc>
        <w:tc>
          <w:tcPr>
            <w:tcW w:w="3527" w:type="dxa"/>
            <w:tcBorders>
              <w:top w:val="nil"/>
              <w:left w:val="nil"/>
              <w:bottom w:val="single" w:color="auto" w:sz="4" w:space="0"/>
              <w:right w:val="single" w:color="auto" w:sz="4" w:space="0"/>
            </w:tcBorders>
            <w:shd w:val="clear" w:color="auto" w:fill="auto"/>
            <w:vAlign w:val="center"/>
          </w:tcPr>
          <w:p>
            <w:r>
              <w:rPr>
                <w:rFonts w:hint="eastAsia"/>
              </w:rPr>
              <w:t xml:space="preserve">  住房公积金</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99.16</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99.16</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tbl>
      <w:tblPr>
        <w:tblStyle w:val="5"/>
        <w:tblW w:w="15809" w:type="dxa"/>
        <w:tblInd w:w="0" w:type="dxa"/>
        <w:tblLayout w:type="autofit"/>
        <w:tblCellMar>
          <w:top w:w="0" w:type="dxa"/>
          <w:left w:w="108" w:type="dxa"/>
          <w:bottom w:w="0" w:type="dxa"/>
          <w:right w:w="108" w:type="dxa"/>
        </w:tblCellMar>
      </w:tblPr>
      <w:tblGrid>
        <w:gridCol w:w="1186"/>
        <w:gridCol w:w="2939"/>
        <w:gridCol w:w="1228"/>
        <w:gridCol w:w="954"/>
        <w:gridCol w:w="2316"/>
        <w:gridCol w:w="1056"/>
        <w:gridCol w:w="869"/>
        <w:gridCol w:w="4206"/>
        <w:gridCol w:w="1056"/>
      </w:tblGrid>
      <w:tr>
        <w:tblPrEx>
          <w:tblCellMar>
            <w:top w:w="0" w:type="dxa"/>
            <w:left w:w="108" w:type="dxa"/>
            <w:bottom w:w="0" w:type="dxa"/>
            <w:right w:w="108" w:type="dxa"/>
          </w:tblCellMar>
        </w:tblPrEx>
        <w:trPr>
          <w:trHeight w:val="113" w:hRule="atLeast"/>
        </w:trPr>
        <w:tc>
          <w:tcPr>
            <w:tcW w:w="15809"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color w:val="000000"/>
                <w:sz w:val="20"/>
                <w:szCs w:val="20"/>
              </w:rPr>
              <w:t>溆浦县市场监督管理局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9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18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2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2402.65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672.80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2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948.79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15.47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2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560.58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29.94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2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297.70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29.79</w:t>
            </w:r>
          </w:p>
        </w:tc>
      </w:tr>
      <w:tr>
        <w:tblPrEx>
          <w:tblCellMar>
            <w:top w:w="0" w:type="dxa"/>
            <w:left w:w="108" w:type="dxa"/>
            <w:bottom w:w="0" w:type="dxa"/>
            <w:right w:w="108" w:type="dxa"/>
          </w:tblCellMar>
        </w:tblPrEx>
        <w:trPr>
          <w:trHeight w:val="284" w:hRule="exact"/>
        </w:trPr>
        <w:tc>
          <w:tcPr>
            <w:tcW w:w="118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2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30.77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2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2.95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9.79</w:t>
            </w:r>
          </w:p>
        </w:tc>
      </w:tr>
      <w:tr>
        <w:tblPrEx>
          <w:tblCellMar>
            <w:top w:w="0" w:type="dxa"/>
            <w:left w:w="108" w:type="dxa"/>
            <w:bottom w:w="0" w:type="dxa"/>
            <w:right w:w="108" w:type="dxa"/>
          </w:tblCellMar>
        </w:tblPrEx>
        <w:trPr>
          <w:trHeight w:val="284" w:hRule="exact"/>
        </w:trPr>
        <w:tc>
          <w:tcPr>
            <w:tcW w:w="118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2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248.04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5.27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2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2.21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2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158.24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2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20</w:t>
            </w:r>
          </w:p>
        </w:tc>
      </w:tr>
      <w:tr>
        <w:tblPrEx>
          <w:tblCellMar>
            <w:top w:w="0" w:type="dxa"/>
            <w:left w:w="108" w:type="dxa"/>
            <w:bottom w:w="0" w:type="dxa"/>
            <w:right w:w="108" w:type="dxa"/>
          </w:tblCellMar>
        </w:tblPrEx>
        <w:trPr>
          <w:trHeight w:val="284" w:hRule="exact"/>
        </w:trPr>
        <w:tc>
          <w:tcPr>
            <w:tcW w:w="118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2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16.49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141.31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2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140.6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2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35.34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2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1.44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0.36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2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154.67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0.83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2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0.40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2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1.16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2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2.04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2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101.52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2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43.94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2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26.77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2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1.98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2.36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2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78.27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2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0.60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2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8.05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2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161.50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2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157.80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2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2557.32</w:t>
            </w:r>
          </w:p>
        </w:tc>
        <w:tc>
          <w:tcPr>
            <w:tcW w:w="0" w:type="auto"/>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702.59</w:t>
            </w:r>
          </w:p>
        </w:tc>
      </w:tr>
      <w:tr>
        <w:tblPrEx>
          <w:tblCellMar>
            <w:top w:w="0" w:type="dxa"/>
            <w:left w:w="108" w:type="dxa"/>
            <w:bottom w:w="0" w:type="dxa"/>
            <w:right w:w="108" w:type="dxa"/>
          </w:tblCellMar>
        </w:tblPrEx>
        <w:trPr>
          <w:trHeight w:val="284" w:hRule="exact"/>
        </w:trPr>
        <w:tc>
          <w:tcPr>
            <w:tcW w:w="15809"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hint="eastAsia"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color w:val="000000"/>
          <w:sz w:val="20"/>
          <w:szCs w:val="20"/>
        </w:rPr>
        <w:t>溆浦县市场监督管理局</w:t>
      </w:r>
      <w:r>
        <w:rPr>
          <w:rFonts w:ascii="Times New Roman" w:hAnsi="Times New Roman" w:eastAsia="仿宋_GB2312" w:cs="Times New Roman"/>
          <w:color w:val="000000"/>
          <w:kern w:val="0"/>
          <w:szCs w:val="21"/>
        </w:rPr>
        <w:t xml:space="preserve">  </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37.8</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34.3</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34.3</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3.5</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19.24</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17.89</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17.89</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1.35</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9"/>
        <w:rPr>
          <w:sz w:val="72"/>
          <w:szCs w:val="72"/>
        </w:rPr>
        <w:sectPr>
          <w:pgSz w:w="16838" w:h="11906" w:orient="landscape"/>
          <w:pgMar w:top="567"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2021年度收、支总计3779.49万元。与上年相比，增加446.48万元，增长11.81%，主要是因为业务增加各项经费增加等。</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2021年度收入合计3674.86万元，其中：财政拨款收入3663.71万元，占99.69%；上级补助收入0万元，占0%；事业收入0万元，占0%；经营收入0万元，占0%；附属单位上缴收入0万元，占0%；其他收入11.15万元，占0.31%。</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2021年度支出合计3745.37万元，其中：基本支出3329.6万元，占88.89%；项目支出415.77万元，占11.11%；上缴上级支出0万元，占0%；经营支出0万元，占0%；对附属单位补助支出0万元，占0%。</w:t>
      </w:r>
    </w:p>
    <w:p>
      <w:pPr>
        <w:pStyle w:val="9"/>
        <w:rPr>
          <w:rFonts w:hAnsi="黑体"/>
          <w:b/>
          <w:sz w:val="32"/>
          <w:szCs w:val="32"/>
        </w:rPr>
      </w:pPr>
      <w:r>
        <w:rPr>
          <w:rFonts w:hint="eastAsia" w:hAnsi="黑体"/>
          <w:b/>
          <w:sz w:val="32"/>
          <w:szCs w:val="32"/>
        </w:rPr>
        <w:t>四、财政拨款收入支出决算总体情况说明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2021年度财政拨款收、支总计3678.92万元，与上年相比，增加476.8万元,增长12.96%，主要是因为业务增加各项经费增加等。</w:t>
      </w:r>
    </w:p>
    <w:p>
      <w:pPr>
        <w:pStyle w:val="9"/>
        <w:rPr>
          <w:rFonts w:hAnsi="黑体"/>
          <w:b/>
          <w:sz w:val="32"/>
          <w:szCs w:val="32"/>
        </w:rPr>
      </w:pPr>
      <w:r>
        <w:rPr>
          <w:rFonts w:hint="eastAsia" w:hAnsi="黑体"/>
          <w:b/>
          <w:sz w:val="32"/>
          <w:szCs w:val="32"/>
        </w:rPr>
        <w:t>五、一般公共预算财政拨款支出决算情况说明</w:t>
      </w:r>
    </w:p>
    <w:p>
      <w:pPr>
        <w:pStyle w:val="9"/>
        <w:ind w:firstLine="320" w:firstLineChars="100"/>
        <w:rPr>
          <w:rFonts w:hAnsi="黑体"/>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2021年度财政拨款支出3670.36万元，占本年支出合计的97.99%，与上年相比，财政拨款支出增加483.45万元，增长13.17%，主要是因为业务增加各项经费增加等。</w:t>
      </w:r>
    </w:p>
    <w:p>
      <w:pPr>
        <w:pStyle w:val="9"/>
        <w:ind w:firstLine="320" w:firstLineChars="10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spacing w:line="580" w:lineRule="exact"/>
        <w:ind w:firstLine="640" w:firstLineChars="200"/>
        <w:rPr>
          <w:rFonts w:cs="黑体" w:asciiTheme="minorEastAsia" w:hAnsiTheme="minorEastAsia"/>
          <w:color w:val="000000"/>
          <w:kern w:val="0"/>
          <w:sz w:val="32"/>
          <w:szCs w:val="32"/>
        </w:rPr>
      </w:pPr>
      <w:r>
        <w:rPr>
          <w:rFonts w:hint="eastAsia" w:asciiTheme="minorEastAsia" w:hAnsiTheme="minorEastAsia"/>
          <w:sz w:val="32"/>
          <w:szCs w:val="32"/>
        </w:rPr>
        <w:t>2021年度财政拨款支出3670.36万元，主要用于以下方面：一般公共服务（类）支出2960.15万元，占80.4%；</w:t>
      </w:r>
      <w:r>
        <w:rPr>
          <w:rFonts w:hint="eastAsia" w:cs="黑体" w:asciiTheme="minorEastAsia" w:hAnsiTheme="minorEastAsia"/>
          <w:color w:val="000000"/>
          <w:kern w:val="0"/>
          <w:sz w:val="32"/>
          <w:szCs w:val="32"/>
        </w:rPr>
        <w:t>社会保障和就业支出370.84万元，占10.08%；卫生健康支出120.81万元，占3.28%；农林水支出115.98万元，占3.15%，商业服务业等支出3.42万元，占0.09%，住房保障支出99.16万元，占2.69%。</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asciiTheme="minorEastAsia" w:hAnsiTheme="minorEastAsia" w:eastAsiaTheme="minorEastAsia"/>
          <w:sz w:val="32"/>
          <w:szCs w:val="32"/>
        </w:rPr>
        <w:t>3081.89</w:t>
      </w:r>
      <w:r>
        <w:rPr>
          <w:rFonts w:hint="eastAsia" w:asciiTheme="minorEastAsia" w:hAnsiTheme="minorEastAsia" w:eastAsiaTheme="minorEastAsia"/>
          <w:sz w:val="32"/>
          <w:szCs w:val="32"/>
        </w:rPr>
        <w:t>万元，支出决算数为3670.36万元，完成年初预算的119%，其中：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1、一般公共服务支出（类）201政府办公厅（室）及相关机构事务（款）03行政运行（项）01。</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年初预算为10.85万元，支出决算为10.85万元，完成年初预算的100%，</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2、一般公共服务支出（类）201税收事务（款）07行政运行（项）01。</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年初预算为5.95万元，支出决算为5.95万元，完成年初预算的100%。</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3、一般公共服务（类）201市场监督管理事务（款）38行政运行（项）01。</w:t>
      </w:r>
    </w:p>
    <w:p>
      <w:pPr>
        <w:pStyle w:val="9"/>
        <w:ind w:left="735" w:leftChars="3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年初预算为2510.03万元，支出决算为2510.03万元，完成年初预算100%。4、一般公共服务（类）201市场监督管理事务（款）38一般行政管理事务（项）02。</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年初预算为22.07万元，支出决算为22.07万元，完成年初预算100%。</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5、一般公共服务（类）201市场监督管理事务（款）38市场主体管理（项）04。</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年初预算为82.15万元，支出决算为82.15万元，完成年初预算100%。</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6、一般公共服务（类）201市场监督管理事务（款）38食品安全监管（项）16。</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年初预算为136.72万元，支出决算为136.72万元，完成年初预算100%。</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7、一般公共服务（类）201市场监督管理事务（款）38其他市场监督管理事务（项）99。</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年初预算为192.39万元，支出决算为192.39万元，完成年初预算100%。</w:t>
      </w:r>
    </w:p>
    <w:p>
      <w:pPr>
        <w:pStyle w:val="9"/>
        <w:ind w:left="315" w:leftChars="150" w:firstLine="320" w:firstLineChars="100"/>
        <w:rPr>
          <w:rFonts w:asciiTheme="minorEastAsia" w:hAnsiTheme="minorEastAsia" w:eastAsiaTheme="minorEastAsia"/>
          <w:sz w:val="32"/>
          <w:szCs w:val="32"/>
        </w:rPr>
      </w:pPr>
      <w:r>
        <w:rPr>
          <w:rFonts w:hint="eastAsia" w:asciiTheme="minorEastAsia" w:hAnsiTheme="minorEastAsia" w:eastAsiaTheme="minorEastAsia"/>
          <w:sz w:val="32"/>
          <w:szCs w:val="32"/>
        </w:rPr>
        <w:t>8、社会保障和就业支出（类）208行政事业单位养老支出（款）05机关事业单位基本养老保险缴费支出（项）05。</w:t>
      </w:r>
    </w:p>
    <w:p>
      <w:pPr>
        <w:pStyle w:val="9"/>
        <w:ind w:left="210" w:leftChars="100" w:firstLine="480" w:firstLineChars="1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年初预算为256.97万元，支出决算为256.97万元，完成年初预算100%。</w:t>
      </w:r>
    </w:p>
    <w:p>
      <w:pPr>
        <w:pStyle w:val="9"/>
        <w:ind w:left="315" w:leftChars="150" w:firstLine="320" w:firstLineChars="100"/>
        <w:rPr>
          <w:rFonts w:asciiTheme="minorEastAsia" w:hAnsiTheme="minorEastAsia" w:eastAsiaTheme="minorEastAsia"/>
          <w:sz w:val="32"/>
          <w:szCs w:val="32"/>
        </w:rPr>
      </w:pPr>
      <w:r>
        <w:rPr>
          <w:rFonts w:hint="eastAsia" w:asciiTheme="minorEastAsia" w:hAnsiTheme="minorEastAsia" w:eastAsiaTheme="minorEastAsia"/>
          <w:sz w:val="32"/>
          <w:szCs w:val="32"/>
        </w:rPr>
        <w:t>9、社会保障和就业支出（类）208抚恤（款）08死亡抚恤（项）01。</w:t>
      </w:r>
    </w:p>
    <w:p>
      <w:pPr>
        <w:pStyle w:val="9"/>
        <w:ind w:left="210" w:leftChars="100" w:firstLine="480" w:firstLineChars="1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年初预算为113.87万元，支出决算为113.87万元，完成年初预算100%。</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10、卫生健康支出（类）210行政事业单位医疗（款）11行政单位医疗（项）01</w:t>
      </w:r>
    </w:p>
    <w:p>
      <w:pPr>
        <w:pStyle w:val="9"/>
        <w:ind w:left="210" w:leftChars="100" w:firstLine="480" w:firstLineChars="1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年初预算为120.81万元，支出决算为120.81万元，完成年初预算100%。</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11、农林水支出（类）213农业农村（款）01其他农业农村支出（项）99</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年初预算为40万元，支出决算为40万元，完成年初预算100%。</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12、农林水支出（类）213扶贫（款）05行政运行（项）01</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年初预算为6万元，支出决算为6万元，完成年初预算100%。</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13、农林水支出（类）213扶贫（款）05其他扶贫支出（项）99</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年初预算为69.98万元，支出决算为69.98万元，完成年初预算100%。</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14、商业服务业等支出（类）216商业流通事务（款）02行政运行（项）01</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年初预算为3万元，支出决算为3万元，完成年初预算100%。</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15、商业服务业等支出（类）216商业流通事务（款）02其他商业流通事务支出（项）99</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年初预算为0.42万元，支出决算为0.42万元，完成年初预算100%。</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16、住房保障支出（类）221住房改革支出（款）02住房公积金（项）01</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年初预算为99.16万元，支出决算为99.16万元，完成年初预算100%。</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3259.91万元，其中：人员经费2557.32万元，占基本支出的78.44%,主要包括基本工资948.79万元、津贴补贴560.58万元、奖金297.7万元、伙食补助费30.77万元、养老保险248.04万元、医疗保险158.24万元、其他社会保障16.49万元、住房公积金140.6万元、其他工资福利支出1.44万元、抚恤金101.52万元、生活补助43.94万元、医疗费补助1.98万元、其他对个人和家庭的补助7.23万元；公用经费702.59万元，占基本支出的21.55%，主要包括办公费15.47万元、印刷费29.94万元、咨询费0.08万元、水费2.95万元、电费5.27万元、取暖费0.09万元、差旅费141.31万元、维修费35.34万元、租赁费0.36万元、会议费0.83万元、培训费0.4万元、公务接待费1.16万元、专用材料费2.04万元、劳务费26.77万元、委托业务费2.36万元、工会经费78.27万元、福利费0.6万元、公务用车运行维护费8.05万元、其他交通费161.5万元、其他商品和服务支出157.8万元、办公设备购置9.79万元、信息网络及软件购置更新20万元。</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2021年度“三公”经费财政拨款支出预算为37.99万元，支出决算为19.24万元，完成预算的50.64%，其中：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因公出国（境）费支出预算为0万元，支出决算为0万元，完成预算的0%，决算数等于预算数，与上年一致。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公务接待费支出预算为5.22万元，支出决算为1.35万元，完成预算的25.86%，决算数小于预算数的主要原因是公务接待减少，与上年相比减少2.34万元，减少63.41%,减少的主要原因是公务接待减少。</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公务用车购置费支出预算为0万元，支出决算为0万元，完成预算的0%，完成预算的0%，决算数等于预算数，与上年一致。</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公务用车运行维护费支出预算为32.78万元，支出决算为17.89万元，完成预算的54.57%，决算数小于预算数的主要原因是控制车辆维修开支，与上年相比减少16.41万元，减少47.84%,减少的主要原因是控制车辆维修开支。</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2021年度“三公”经费财政拨款支出决算中，公务接待费支出决算1.35万元，占7%,因公出国（境）费支出决算0万元，占0%,公务用车购置费及运行维护费支出决算17.89万元，占93%。其中：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1、因公出国（境）费支出决算为0万元，全年安排因公出国（境）团组0个，累计0人次。</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2、公务接待费支出决算为1.35万元，</w:t>
      </w:r>
      <w:r>
        <w:rPr>
          <w:rFonts w:hint="eastAsia" w:asciiTheme="minorEastAsia" w:hAnsiTheme="minorEastAsia" w:eastAsiaTheme="minorEastAsia"/>
          <w:bCs/>
          <w:sz w:val="32"/>
          <w:szCs w:val="32"/>
        </w:rPr>
        <w:t>全年共接待来访</w:t>
      </w:r>
      <w:r>
        <w:rPr>
          <w:rFonts w:hint="eastAsia" w:asciiTheme="minorEastAsia" w:hAnsiTheme="minorEastAsia" w:eastAsiaTheme="minorEastAsia"/>
          <w:sz w:val="32"/>
          <w:szCs w:val="32"/>
        </w:rPr>
        <w:t>公务接待31批次，约240人，主要是上级领导检查工作接待。</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3、公务用车购置费及运行维护费支出决算为17.89万元，其中：公务用车购置费0万元</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公务用车运行维护费17.89万元，主要是车辆油料费、维修费支出，截止2021年12月31日，我单位开支财政拨款的公务用车保有量为9辆。</w:t>
      </w:r>
    </w:p>
    <w:p>
      <w:pPr>
        <w:pStyle w:val="9"/>
        <w:rPr>
          <w:rFonts w:hAnsi="黑体"/>
          <w:b/>
          <w:sz w:val="32"/>
          <w:szCs w:val="32"/>
        </w:rPr>
      </w:pPr>
      <w:r>
        <w:rPr>
          <w:rFonts w:hint="eastAsia" w:hAnsi="黑体"/>
          <w:b/>
          <w:sz w:val="32"/>
          <w:szCs w:val="32"/>
        </w:rPr>
        <w:t>八、政府性基金预算收入支出决算情况</w:t>
      </w:r>
    </w:p>
    <w:p>
      <w:pPr>
        <w:widowControl/>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2021年度政府性基金预算财政拨款收入0万元；年初结转和结余0万元；支出0万元，其中基本支出0万元，项目支出0万元；年末结转和结余0万元。</w:t>
      </w:r>
    </w:p>
    <w:p>
      <w:pPr>
        <w:widowControl/>
        <w:spacing w:line="60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2021年度本单位无政府性基金收支。</w:t>
      </w:r>
    </w:p>
    <w:p>
      <w:pPr>
        <w:pStyle w:val="9"/>
        <w:rPr>
          <w:rFonts w:hAnsi="黑体"/>
          <w:b/>
          <w:sz w:val="32"/>
          <w:szCs w:val="32"/>
        </w:rPr>
      </w:pPr>
      <w:r>
        <w:rPr>
          <w:rFonts w:hint="eastAsia" w:hAnsi="黑体"/>
          <w:b/>
          <w:sz w:val="32"/>
          <w:szCs w:val="32"/>
        </w:rPr>
        <w:t>九、机关运行经费支出说明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702.59万元，比上年决算数增加51.34万元，增长7.3%。主要原因是：主要原因是各项办公费、印刷费、差旅费、公务接待费、办公设备购置、其他交通费用、信息网络及软件购置更新等开支增加。</w:t>
      </w:r>
    </w:p>
    <w:p>
      <w:pPr>
        <w:pStyle w:val="9"/>
        <w:rPr>
          <w:rFonts w:hAnsi="黑体"/>
          <w:b/>
          <w:sz w:val="32"/>
          <w:szCs w:val="32"/>
        </w:rPr>
      </w:pPr>
      <w:r>
        <w:rPr>
          <w:rFonts w:hint="eastAsia" w:hAnsi="黑体"/>
          <w:b/>
          <w:sz w:val="32"/>
          <w:szCs w:val="32"/>
        </w:rPr>
        <w:t>十、一般性支出情况说明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2021年本部门开支会议费0.83万元，用于召开市场监督会议及食品药品安全会议会议，人数310人；开支培训费0.4万元，用于开展法制培训，人数300人；举办0次等节庆、晚会、论坛、赛事活动，开支0万元。</w:t>
      </w:r>
    </w:p>
    <w:p>
      <w:pPr>
        <w:pStyle w:val="9"/>
        <w:rPr>
          <w:rFonts w:hAnsi="黑体"/>
          <w:b/>
          <w:sz w:val="32"/>
          <w:szCs w:val="32"/>
        </w:rPr>
      </w:pPr>
      <w:r>
        <w:rPr>
          <w:rFonts w:hint="eastAsia" w:hAnsi="黑体"/>
          <w:b/>
          <w:sz w:val="32"/>
          <w:szCs w:val="32"/>
        </w:rPr>
        <w:t>十一、政府采购支出说明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0万元，其中：政府采购货物支出0万元、政府采购工程支出0万元、政府采购服务支出0万元。授予中小企业合同金额0万元，占政府采购支出总额的0%，其中：授予小微企业合同金额XX万元，占授予中小企业合同金额的0%；货物采购授予中小企业合同金额占货物支出金额的0%，工程采购授予中小企业合同金额占工程支出金额的0%，服务采购授予中小企业合同金额占服务支出金额的0%。</w:t>
      </w:r>
    </w:p>
    <w:p>
      <w:pPr>
        <w:pStyle w:val="9"/>
        <w:rPr>
          <w:rFonts w:hAnsi="黑体"/>
          <w:b/>
          <w:sz w:val="32"/>
          <w:szCs w:val="32"/>
        </w:rPr>
      </w:pPr>
      <w:r>
        <w:rPr>
          <w:rFonts w:hint="eastAsia" w:hAnsi="黑体"/>
          <w:b/>
          <w:sz w:val="32"/>
          <w:szCs w:val="32"/>
        </w:rPr>
        <w:t>十二、国有资产占用情况说明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9辆，其中，主要领导干部用车0辆，机要通信用车0辆、应急保障用车0辆、执法执勤用车7辆、特种专业技术用车2辆、其他用车0辆；单位价值50万元以上通用设备0台（套）；单位价值100万元以上专用设备0台（套）。</w:t>
      </w:r>
    </w:p>
    <w:p>
      <w:pPr>
        <w:pStyle w:val="9"/>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根据预算绩效管理要求，我单位组织对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年度一般公共预算项目支出全面开展绩效自评，共涉及资金</w:t>
      </w:r>
      <w:r>
        <w:rPr>
          <w:rFonts w:cs="黑体" w:asciiTheme="minorEastAsia" w:hAnsiTheme="minorEastAsia"/>
          <w:color w:val="000000"/>
          <w:kern w:val="0"/>
          <w:sz w:val="32"/>
          <w:szCs w:val="32"/>
        </w:rPr>
        <w:t>453.4</w:t>
      </w:r>
      <w:r>
        <w:rPr>
          <w:rFonts w:hint="eastAsia" w:cs="黑体" w:asciiTheme="minorEastAsia" w:hAnsiTheme="minorEastAsia"/>
          <w:color w:val="000000"/>
          <w:kern w:val="0"/>
          <w:sz w:val="32"/>
          <w:szCs w:val="32"/>
        </w:rPr>
        <w:t>万元，共有5个项目，占一般公共预算项目支出总额的100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年度0个政府性基金预算项目支出开展绩效自评，共涉及资金0万元，占政府性基金预算项目支出总额的0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年度等0个国有资本经营预算项目支出开展绩效自评，共涉及资金0万元，占国有资本经营预算项目支出总额的0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widowControl/>
        <w:shd w:val="clear" w:color="auto" w:fill="FFFFFF"/>
        <w:spacing w:line="600" w:lineRule="exact"/>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color w:val="000000"/>
          <w:kern w:val="0"/>
          <w:sz w:val="32"/>
          <w:szCs w:val="32"/>
        </w:rPr>
        <w:t>组织对工业品、食品、药品抽检及监管专项经费300万元、食安办工作经费24万元、农产品安全抽检及监管专项经费100万元、食品安全检测车维护经费13.4万元、质量强县专项工作16万元5个项目开展了部门评价，涉及一般公共预算支出453.4万元，政府性基金预算支出0万元，国有资本经营预算支出0万元。为了切实加强县财政专项资金的管理，保障各项资金的使用安全，防范资金运行风险，发挥专项资金使用效益，单位制定了财务管理制度，专项资金申领、使用管理制度，按照项目资金专款专用的原则，其资金用于日常食品安全监管工作，确保工作的开展。</w:t>
      </w:r>
    </w:p>
    <w:p>
      <w:pPr>
        <w:widowControl/>
        <w:shd w:val="clear" w:color="auto" w:fill="FFFFFF"/>
        <w:spacing w:line="600" w:lineRule="exact"/>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组织对单位开展整体支出绩效评价，涉及一般公共预算财政拨款支出</w:t>
      </w:r>
      <w:r>
        <w:rPr>
          <w:rFonts w:hint="eastAsia" w:asciiTheme="minorEastAsia" w:hAnsiTheme="minorEastAsia"/>
          <w:sz w:val="32"/>
          <w:szCs w:val="32"/>
        </w:rPr>
        <w:t>3670.36</w:t>
      </w:r>
      <w:r>
        <w:rPr>
          <w:rFonts w:hint="eastAsia" w:cs="黑体" w:asciiTheme="minorEastAsia" w:hAnsiTheme="minorEastAsia"/>
          <w:color w:val="000000"/>
          <w:kern w:val="0"/>
          <w:sz w:val="32"/>
          <w:szCs w:val="32"/>
        </w:rPr>
        <w:t>万元，政府性基金预算支出0万元。加强部门整体支出和固定资产管理，提高资金、资产的使用效益和财务的精细化管理水平，除日常的管理工作之外，我局在部门整体支出管理方面重视预算支出绩效评估工作，重视国家、省级财政预算资金管理制度的学习，不断提高各职能部门的业务工作能力，强化了各预算单位和股室的预算管理意识，加强了全年预算管理。</w:t>
      </w:r>
    </w:p>
    <w:p>
      <w:pPr>
        <w:pStyle w:val="10"/>
        <w:widowControl/>
        <w:numPr>
          <w:ilvl w:val="0"/>
          <w:numId w:val="2"/>
        </w:numPr>
        <w:shd w:val="clear" w:color="auto" w:fill="FFFFFF"/>
        <w:spacing w:line="600" w:lineRule="exact"/>
        <w:ind w:firstLineChars="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部门决算中项目绩效自评结果。</w:t>
      </w:r>
    </w:p>
    <w:p>
      <w:pPr>
        <w:pStyle w:val="10"/>
        <w:tabs>
          <w:tab w:val="left" w:pos="312"/>
        </w:tabs>
        <w:ind w:firstLine="64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项目全年预算数为453.4万元，执行数为415.77万元，完成预算的91.7</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 xml:space="preserve">。项目绩效目标完成情况：加强工业品、产品质量管理，提高产品质量保证药品质量，坚持重拳出击，案件查处更有力度，保障人体用药安全，维护人民身体健康和用药的合法权益，确保我县食品安全。发现的主要问题及原因：由于县财政资金紧张，每年专项资金下达到位时间不及时，不利于项目的计划制定和具体实施，作为县级局对于专项资金的具体使用范围把握不准确。专项资金明显不足，加大抽查检定经费、标准化战略、稽查打假执法办案等专项经费的投入力度。下一步完善管理制度，确保资金安全。进一步细化专项资金的使用、管理制度，建立健全专项资金的审核制度、内控制度和资金使用台账制度，确保资金安全。 </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工业品、食品、药品抽检及监管专项绩效自评综述：强化重点工业产品监管、围绕群众关心关切的食品、药品、产品质量安全问题，先后组织开展了食品安全“年关守护”（2021）、 桶装水专项整治、大米质量安全、校园及周边“食品安全护苗行动”、农村药品安全、民生领域“铁拳”等系列专项行动，强化疫苗专项检查，全力筑牢市场监管安全防护网。</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农产品安全抽检及监管专项绩效自评综述：加大对农产品食品抽检及监管力，抽检食用农产品1770批次，合格率达96.3％；抽检烧结普通砖、学生服装、钢筋、成品油等重点工业产品109批次，对检测出不合格的均已立案调查。</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食安办工作专项绩效自评综述：坚持把政治责任落实到食品安全各个方面，坚持把全面监管落实到食品安全各个环节，狠抓过程监管，对食品生产、流通、餐饮环节，对重点产品、重点场所、重点对象每年至少开展2次以上安全监督检查，实现食品安全监督检查全覆盖。坚持把全面监管落实到食品安全各个环节，组织各乡镇、食安委成员单位开展食品安全综合执法，确保全县未发生重大食品安全事故。</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质量强县工作专项绩效自评综述：坚持质量提升，经济发展更添动能成功申报溆浦产业开发区为全省质量基础设施“一站式”服务首批试点单位，为全市唯一获批单位。帮助指导“溆浦龙潭猪”顺利通过国家地理标志证明商标初审，指导县红糖产业协会制定溆浦县第一个团体标准《溆浦红糖》，进一步激励全社会树立质量意识。</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食品安全检测车维护专项绩效自评综述：开展食品宣传工作，开展食品快测工作，为防范食品安全系统性和区域性风险，安排局检测中心对我县30家学校食堂、农贸市场的蔬菜、米面粮油等211批次的农药残留，亚硝酸盐，甲醛等项目进行了快速检测。</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在省市县各级财政部门共同努力下，2021年度溆浦县市场监管工作基本完成。资金使用符合相关财务规定，通过专项资金的实施，全力推进全县市场监管工作，各项工作取得了明显成效。</w:t>
      </w:r>
    </w:p>
    <w:p>
      <w:pPr>
        <w:pStyle w:val="9"/>
        <w:rPr>
          <w:sz w:val="72"/>
          <w:szCs w:val="72"/>
        </w:rPr>
      </w:pPr>
    </w:p>
    <w:p>
      <w:pPr>
        <w:pStyle w:val="9"/>
        <w:jc w:val="center"/>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pStyle w:val="9"/>
        <w:ind w:firstLine="640" w:firstLineChars="200"/>
        <w:rPr>
          <w:rFonts w:ascii="仿宋_GB2312" w:eastAsia="仿宋_GB2312" w:cstheme="minorBidi"/>
          <w:color w:val="auto"/>
          <w:kern w:val="2"/>
          <w:sz w:val="32"/>
          <w:szCs w:val="32"/>
        </w:rPr>
      </w:pPr>
      <w:r>
        <w:rPr>
          <w:rFonts w:hint="eastAsia" w:ascii="仿宋_GB2312" w:eastAsia="仿宋_GB2312" w:cstheme="minorBidi"/>
          <w:color w:val="auto"/>
          <w:kern w:val="2"/>
          <w:sz w:val="32"/>
          <w:szCs w:val="32"/>
        </w:rPr>
        <w:t>1、财政拨款收入：指县财政当年拨付的资金。</w:t>
      </w:r>
    </w:p>
    <w:p>
      <w:pPr>
        <w:pStyle w:val="9"/>
        <w:ind w:firstLine="640" w:firstLineChars="200"/>
        <w:rPr>
          <w:rFonts w:ascii="仿宋_GB2312" w:eastAsia="仿宋_GB2312" w:cstheme="minorBidi"/>
          <w:color w:val="auto"/>
          <w:kern w:val="2"/>
          <w:sz w:val="32"/>
          <w:szCs w:val="32"/>
        </w:rPr>
      </w:pPr>
      <w:r>
        <w:rPr>
          <w:rFonts w:hint="eastAsia" w:ascii="仿宋_GB2312" w:eastAsia="仿宋_GB2312" w:cstheme="minorBidi"/>
          <w:color w:val="auto"/>
          <w:kern w:val="2"/>
          <w:sz w:val="32"/>
          <w:szCs w:val="32"/>
        </w:rPr>
        <w:t>2、基本支出：指部门为保障其机构正常运转、完成日常工作任务的年度基本支出，包括人员经费和公用经费两部分。</w:t>
      </w:r>
    </w:p>
    <w:p>
      <w:pPr>
        <w:pStyle w:val="9"/>
        <w:ind w:firstLine="640" w:firstLineChars="200"/>
        <w:rPr>
          <w:rFonts w:ascii="仿宋_GB2312" w:eastAsia="仿宋_GB2312" w:cstheme="minorBidi"/>
          <w:color w:val="auto"/>
          <w:kern w:val="2"/>
          <w:sz w:val="32"/>
          <w:szCs w:val="32"/>
        </w:rPr>
      </w:pPr>
      <w:r>
        <w:rPr>
          <w:rFonts w:hint="eastAsia" w:ascii="仿宋_GB2312" w:eastAsia="仿宋_GB2312" w:cstheme="minorBidi"/>
          <w:color w:val="auto"/>
          <w:kern w:val="2"/>
          <w:sz w:val="32"/>
          <w:szCs w:val="32"/>
        </w:rPr>
        <w:t>3、</w:t>
      </w:r>
      <w:r>
        <w:rPr>
          <w:rFonts w:ascii="仿宋_GB2312" w:eastAsia="仿宋_GB2312" w:cstheme="minorBidi"/>
          <w:color w:val="auto"/>
          <w:kern w:val="2"/>
          <w:sz w:val="32"/>
          <w:szCs w:val="32"/>
        </w:rPr>
        <w:t>“三公”经费:包括因公出国（境）费、公务接待费和公务用车购置及运行费</w:t>
      </w:r>
      <w:r>
        <w:rPr>
          <w:rFonts w:hint="eastAsia" w:ascii="仿宋_GB2312" w:eastAsia="仿宋_GB2312" w:cstheme="minorBidi"/>
          <w:color w:val="auto"/>
          <w:kern w:val="2"/>
          <w:sz w:val="32"/>
          <w:szCs w:val="32"/>
        </w:rPr>
        <w:t>。</w:t>
      </w:r>
      <w:r>
        <w:rPr>
          <w:rFonts w:ascii="仿宋_GB2312" w:eastAsia="仿宋_GB2312" w:cstheme="minorBidi"/>
          <w:color w:val="auto"/>
          <w:kern w:val="2"/>
          <w:sz w:val="32"/>
          <w:szCs w:val="32"/>
        </w:rPr>
        <w:t>因公出国（境）费，指单位工作人员公务出国（境）的住宿费、旅费、伙食补助费、杂费、培训费等支出</w:t>
      </w:r>
      <w:r>
        <w:rPr>
          <w:rFonts w:hint="eastAsia" w:ascii="仿宋_GB2312" w:eastAsia="仿宋_GB2312" w:cstheme="minorBidi"/>
          <w:color w:val="auto"/>
          <w:kern w:val="2"/>
          <w:sz w:val="32"/>
          <w:szCs w:val="32"/>
        </w:rPr>
        <w:t>。</w:t>
      </w:r>
      <w:r>
        <w:rPr>
          <w:rFonts w:ascii="仿宋_GB2312" w:eastAsia="仿宋_GB2312" w:cstheme="minorBidi"/>
          <w:color w:val="auto"/>
          <w:kern w:val="2"/>
          <w:sz w:val="32"/>
          <w:szCs w:val="32"/>
        </w:rPr>
        <w:t>公务接待费，指单位按规定开支的各类公务接待（含外宾接待）支出</w:t>
      </w:r>
      <w:r>
        <w:rPr>
          <w:rFonts w:hint="eastAsia" w:ascii="仿宋_GB2312" w:eastAsia="仿宋_GB2312" w:cstheme="minorBidi"/>
          <w:color w:val="auto"/>
          <w:kern w:val="2"/>
          <w:sz w:val="32"/>
          <w:szCs w:val="32"/>
        </w:rPr>
        <w:t>。</w:t>
      </w:r>
      <w:r>
        <w:rPr>
          <w:rFonts w:ascii="仿宋_GB2312" w:eastAsia="仿宋_GB2312" w:cstheme="minorBidi"/>
          <w:color w:val="auto"/>
          <w:kern w:val="2"/>
          <w:sz w:val="32"/>
          <w:szCs w:val="32"/>
        </w:rPr>
        <w:t>公务用车购置及运行费，指单位公务用车购置费及租用费、燃料费、维修费、过路过桥费、保险费、安全奖励费用等支出</w:t>
      </w:r>
      <w:r>
        <w:rPr>
          <w:rFonts w:hint="eastAsia" w:ascii="仿宋_GB2312" w:eastAsia="仿宋_GB2312" w:cstheme="minorBidi"/>
          <w:color w:val="auto"/>
          <w:kern w:val="2"/>
          <w:sz w:val="32"/>
          <w:szCs w:val="32"/>
        </w:rPr>
        <w:t>，</w:t>
      </w:r>
      <w:r>
        <w:rPr>
          <w:rFonts w:ascii="仿宋_GB2312" w:eastAsia="仿宋_GB2312" w:cstheme="minorBidi"/>
          <w:color w:val="auto"/>
          <w:kern w:val="2"/>
          <w:sz w:val="32"/>
          <w:szCs w:val="32"/>
        </w:rPr>
        <w:t>公务用车指用于履行公务的机动车辆。</w:t>
      </w:r>
    </w:p>
    <w:p>
      <w:pPr>
        <w:pStyle w:val="9"/>
        <w:ind w:firstLine="640" w:firstLineChars="200"/>
        <w:rPr>
          <w:rFonts w:ascii="仿宋_GB2312" w:eastAsia="仿宋_GB2312" w:cstheme="minorBidi"/>
          <w:color w:val="auto"/>
          <w:kern w:val="2"/>
          <w:sz w:val="32"/>
          <w:szCs w:val="32"/>
        </w:rPr>
      </w:pPr>
      <w:r>
        <w:rPr>
          <w:rFonts w:hint="eastAsia" w:ascii="仿宋_GB2312" w:eastAsia="仿宋_GB2312" w:cstheme="minorBidi"/>
          <w:color w:val="auto"/>
          <w:kern w:val="2"/>
          <w:sz w:val="32"/>
          <w:szCs w:val="32"/>
        </w:rPr>
        <w:t>4、机关运行经费：</w:t>
      </w:r>
      <w:r>
        <w:rPr>
          <w:rFonts w:ascii="仿宋_GB2312" w:eastAsia="仿宋_GB2312" w:cstheme="minorBidi"/>
          <w:color w:val="auto"/>
          <w:kern w:val="2"/>
          <w:sz w:val="32"/>
          <w:szCs w:val="32"/>
        </w:rPr>
        <w:t>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spacing w:line="640" w:lineRule="exact"/>
        <w:jc w:val="center"/>
        <w:rPr>
          <w:rFonts w:ascii="宋体" w:hAnsi="宋体"/>
          <w:b/>
          <w:sz w:val="44"/>
          <w:szCs w:val="44"/>
        </w:rPr>
      </w:pPr>
      <w:r>
        <w:rPr>
          <w:rFonts w:hint="eastAsia" w:ascii="宋体" w:hAnsi="宋体"/>
          <w:b/>
          <w:sz w:val="44"/>
          <w:szCs w:val="44"/>
        </w:rPr>
        <w:t>溆浦县市场监督管理局</w:t>
      </w:r>
    </w:p>
    <w:p>
      <w:pPr>
        <w:spacing w:line="640" w:lineRule="exact"/>
        <w:jc w:val="center"/>
        <w:rPr>
          <w:rFonts w:ascii="宋体" w:hAnsi="宋体"/>
          <w:b/>
          <w:sz w:val="44"/>
          <w:szCs w:val="44"/>
        </w:rPr>
      </w:pPr>
      <w:r>
        <w:rPr>
          <w:rFonts w:hint="eastAsia" w:ascii="宋体" w:hAnsi="宋体"/>
          <w:b/>
          <w:sz w:val="44"/>
          <w:szCs w:val="44"/>
        </w:rPr>
        <w:t>2021年度部门整体支出绩效自评报告</w:t>
      </w:r>
    </w:p>
    <w:p>
      <w:pPr>
        <w:spacing w:line="580" w:lineRule="exact"/>
        <w:jc w:val="center"/>
        <w:rPr>
          <w:rFonts w:ascii="宋体" w:hAnsi="宋体"/>
          <w:b/>
          <w:sz w:val="44"/>
          <w:szCs w:val="44"/>
        </w:rPr>
      </w:pPr>
    </w:p>
    <w:p>
      <w:pPr>
        <w:spacing w:line="580" w:lineRule="exact"/>
        <w:ind w:firstLine="640" w:firstLineChars="200"/>
        <w:rPr>
          <w:rFonts w:ascii="黑体" w:eastAsia="黑体"/>
          <w:sz w:val="32"/>
          <w:szCs w:val="32"/>
        </w:rPr>
      </w:pPr>
      <w:r>
        <w:rPr>
          <w:rFonts w:hint="eastAsia" w:ascii="黑体" w:eastAsia="黑体"/>
          <w:sz w:val="32"/>
          <w:szCs w:val="32"/>
        </w:rPr>
        <w:t>一、基本概况</w:t>
      </w:r>
    </w:p>
    <w:p>
      <w:pPr>
        <w:spacing w:line="580" w:lineRule="exact"/>
        <w:ind w:firstLine="645"/>
        <w:rPr>
          <w:rFonts w:ascii="仿宋_GB2312" w:eastAsia="仿宋_GB2312"/>
          <w:sz w:val="32"/>
          <w:szCs w:val="32"/>
        </w:rPr>
      </w:pPr>
      <w:r>
        <w:rPr>
          <w:rFonts w:hint="eastAsia" w:ascii="仿宋_GB2312" w:eastAsia="仿宋_GB2312"/>
          <w:sz w:val="32"/>
          <w:szCs w:val="32"/>
        </w:rPr>
        <w:t>（一）基本情况</w:t>
      </w:r>
    </w:p>
    <w:p>
      <w:pPr>
        <w:spacing w:line="580" w:lineRule="exact"/>
        <w:ind w:firstLine="645"/>
        <w:rPr>
          <w:rFonts w:ascii="仿宋_GB2312" w:eastAsia="仿宋_GB2312"/>
          <w:sz w:val="32"/>
          <w:szCs w:val="32"/>
        </w:rPr>
      </w:pPr>
      <w:r>
        <w:rPr>
          <w:rFonts w:hint="eastAsia" w:ascii="仿宋_GB2312" w:eastAsia="仿宋_GB2312"/>
          <w:sz w:val="32"/>
          <w:szCs w:val="32"/>
        </w:rPr>
        <w:t>1、在职人员情况：我局人员编制总计299人，其中行政及参公编制134人，事业编制165人，工勤编制11人。</w:t>
      </w:r>
      <w:r>
        <w:rPr>
          <w:rFonts w:ascii="仿宋_GB2312" w:eastAsia="仿宋_GB2312"/>
          <w:sz w:val="32"/>
          <w:szCs w:val="32"/>
        </w:rPr>
        <w:t>20</w:t>
      </w:r>
      <w:r>
        <w:rPr>
          <w:rFonts w:hint="eastAsia" w:ascii="仿宋_GB2312" w:eastAsia="仿宋_GB2312"/>
          <w:sz w:val="32"/>
          <w:szCs w:val="32"/>
        </w:rPr>
        <w:t>21年末我局在职人数238人，其中行政及参公151人，事业编制人员87人，离退休人员173人。</w:t>
      </w:r>
    </w:p>
    <w:p>
      <w:pPr>
        <w:spacing w:line="60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2、机构设置情况：我局设</w:t>
      </w:r>
      <w:r>
        <w:rPr>
          <w:rFonts w:ascii="仿宋_GB2312" w:eastAsia="仿宋_GB2312"/>
          <w:sz w:val="32"/>
          <w:szCs w:val="32"/>
        </w:rPr>
        <w:t>1</w:t>
      </w:r>
      <w:r>
        <w:rPr>
          <w:rFonts w:hint="eastAsia" w:ascii="仿宋_GB2312" w:eastAsia="仿宋_GB2312"/>
          <w:sz w:val="32"/>
          <w:szCs w:val="32"/>
        </w:rPr>
        <w:t>9个内设机构，具体有</w:t>
      </w:r>
      <w:r>
        <w:rPr>
          <w:rFonts w:hint="eastAsia" w:ascii="仿宋_GB2312" w:hAnsi="仿宋_GB2312" w:eastAsia="仿宋_GB2312" w:cs="仿宋_GB2312"/>
          <w:sz w:val="32"/>
          <w:szCs w:val="32"/>
        </w:rPr>
        <w:t>办公室，政策法规股，</w:t>
      </w:r>
      <w:r>
        <w:rPr>
          <w:rFonts w:hint="eastAsia" w:ascii="仿宋_GB2312" w:hAnsi="仿宋_GB2312" w:eastAsia="仿宋_GB2312" w:cs="仿宋_GB2312"/>
          <w:sz w:val="32"/>
          <w:szCs w:val="32"/>
          <w:lang w:val="zh-CN"/>
        </w:rPr>
        <w:t>科技和财务股，人事股（离退休人员管理服务股）</w:t>
      </w:r>
      <w:r>
        <w:rPr>
          <w:rFonts w:hint="eastAsia" w:ascii="仿宋_GB2312" w:hAnsi="仿宋_GB2312" w:eastAsia="仿宋_GB2312" w:cs="仿宋_GB2312"/>
          <w:sz w:val="32"/>
          <w:szCs w:val="32"/>
        </w:rPr>
        <w:t>，标准质量监督管理股，计量和认证股，特种设备安全监察股，反不正当竞争和反垄断股（规范直销与打击传销办公室），登记注册股（行政审批服务股），信用监督管理股，网络交易监督管理股，消费者权益保护股，广告监督管理股，食品安全协调股（县食品安全委员会办公室），食品安全监督管理股，餐保化监督管理股（含特殊食品），药品医疗器械监督管理股，知识产权保护股，价格监督检查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市场监督管理局下设25个乡镇市场监督管理所，是县市场监督管理局派出机构。名称为溆浦县市场监督管理局XXX乡（镇）市场监督管理所，实行县乡共管、以县管为主。各乡镇政府确定一名副职分管此项工作。主要职责是：受县市场监督管理局委托，负责辖区内有关市场监督管理有关工作；承担局机关以及当地乡镇党委、政府交办的其它工作。</w:t>
      </w:r>
    </w:p>
    <w:p>
      <w:pPr>
        <w:spacing w:line="580" w:lineRule="exact"/>
        <w:ind w:firstLine="645"/>
        <w:rPr>
          <w:rFonts w:ascii="仿宋_GB2312" w:eastAsia="仿宋_GB2312"/>
          <w:sz w:val="32"/>
          <w:szCs w:val="32"/>
        </w:rPr>
      </w:pPr>
      <w:r>
        <w:rPr>
          <w:rFonts w:hint="eastAsia" w:ascii="仿宋_GB2312" w:eastAsia="仿宋_GB2312"/>
          <w:sz w:val="32"/>
          <w:szCs w:val="32"/>
        </w:rPr>
        <w:t>3、主要职能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负责市场综合监督管理。拟订市场监督管理有关制度措施，组织实施质量强县战略、食品安全战略、标准化战略和知识产权战略，拟订并组织实施有关规划，规范和维护市场秩序，营造诚实守信、公平竞争的市场环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市场主体统一登记注册。指导各类企业、农民专业合作社和从事经营活动的单位、个体工商户以及外国（地区）企业常驻代表机构等市场主体的登记注册和监督管理工作。建立市场主体信息公示和共享机制，依法公示和共享有关信息，加强信用监管，推动市场主体信用体系建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3、负责组织和指导市场监管综合执法工作。组织查处违法案件。规范市场监管行政执法行为。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4、负责反垄断工作。统筹推进竞争政策实施，组织实施公平竞争审查制度。依法对经营者集中行为进行反垄断审查，根据授权负责垄断协议、滥用市场支配地位和滥用行政权力排除、限制竞争等反垄断工作。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负责监督管理市场秩序。依法监督管理市场交易、网络商品交易及有关服务的行为。组织指导查处价格收费违法违规、不正当竞争、违法直销、传销、侵犯商标专利知识产权和制售假冒伪劣行为。指导广告业的发展，监督管理广告活动。承担依法查处无照生产经营和相关无证生产经营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6、负责宏观质量管理。拟订推进质量强县战略的政策措施并组织实施，会同有关部门组织实施重大工程设备质量监理制度，组织质量事故调查，贯彻实施缺陷产品召回制度，监督管理产品防伪工作。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7、负责产品质量安全监督管理。负责产品质量安全风险监控、全县监督抽查工作。落实质量分级制度、质量安全追溯制度。负责工业产品生产许可监督管理。负责纤维质量监督工作。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8、负责特种设备安全监督管理。综合管理特种设备安全监察、监督工作。监督检查高耗能特种设备节能标准和锅炉环境保护标准的执行情况。按规定权限组织调查处理特种设备事故并进行统计分析。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负责食品安全监督管理综合协调。组织制定食品安全重大政策并组织实施。负责食品安全应急体系建设，组织指导重大食品安全事件应急处置和调查处理工作。落实食品安全重要信息直报制度。承担县食品安全委员会日常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负责食品安全监督管理。建立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核查处置和风险预警、风险交流工作。组织实施特殊食品监督管理。负责食盐专营管理和食盐安全监督管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11、负责统一管理计量工作。推行法定计量单位和国家计量制度，依职责管理计量器具及量值传递和比对工作。规范、监督商品量和市场计量行为。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12、负责统一管理标准化工作。依法承担地方标准立项、编号和发布工作，指导开展标准化试点示范工作。依据法定职责，对标准的制定进行指导监督，对标准的实施进行监督检查。推行采用国际标准。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13、负责统一管理检验检测工作。推进检验检测机构改革，规范检验检测市场，完善检验检测体系，指导协调检验检测行业发展。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14、负责统一管理、监督和综合协调全县认证认可工作。依法监督管理全县认证认可和合格评定有关活动。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15、负责市场监督管理、知识产权领域科技和信息化建设、新闻宣传、对外交流与合作。按规定承担技术性贸易措施有关工作。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16、负责实施知识产权战略，配合推进知识产权强省建设。制定实施知识产权创造、保护、运用的政策和措施。负责知识产权公共服务体系建设，推动知识产权信息传播利用，统筹协调涉外知识产权有关事宜。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17、负责保护知识产权。落实严格保护商标、专利、原产地地理标志等相关工作，负责知识产权保护体系建设，组织指导商标、专利执法工作。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18、负责知识产权创造运用。按权限负责商标、专利和原产地地理标志的管理，开展知识产权运营体系建设，指导重大经济活动知识产权评议，规范知识产权交易和无形资产评估，促进知识产权转移转化。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19、负责组织开展有关服务领域消费维权工作，查处制售假冒伪劣等违法行为，指导消费者咨询、申诉、举报受理、处理和网络体系建设等工作，保护经营者、消费者合法权益。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负责药品（含中药、民族药，下同）、医疗器械和化妆品安全监督管理。贯彻执行国家药品、医疗器械和化妆品监督管理的法律、法规和规章，拟订相关制度措施，并组织实施。研究拟订鼓励药品、医疗器械和化妆品新技术新产品的管理与服务政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21、监督实施药品、医疗器械、化妆品分类管理制度，配合有关部门实施国家基本药物制度。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22、负责药品、医疗器械和化妆品质量管理。监督实施药品、医疗器械经营质量管理规范，监督实施化妆品经营、使用卫生标准和技术规范。负责药品零售许可和医疗器械经营许可、备案。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23、负责药品、医疗器械和化妆品上市后风险管理。组织开展药品不良反应、医疗器械不良事件和化妆品不良反应的监测、评价和处置工作。依法承担药品、医疗器械和化妆品安全应急管理工作。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24、负责组织实施药品、医疗器械和化妆品监督检查。落实检查制度，依法查处药品零售、使用环节及医疗器械和化妆品经营、使用环节违法行为。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25、负责职责范围内食品药品行业安全生产工作。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26、完成县委、县政府交办的其他任务。</w:t>
      </w:r>
    </w:p>
    <w:p>
      <w:pPr>
        <w:spacing w:line="580" w:lineRule="exact"/>
        <w:ind w:firstLine="645"/>
        <w:rPr>
          <w:rFonts w:ascii="黑体" w:eastAsia="黑体"/>
          <w:sz w:val="32"/>
          <w:szCs w:val="32"/>
        </w:rPr>
      </w:pPr>
      <w:r>
        <w:rPr>
          <w:rFonts w:hint="eastAsia" w:ascii="黑体" w:eastAsia="黑体"/>
          <w:sz w:val="32"/>
          <w:szCs w:val="32"/>
        </w:rPr>
        <w:t>二、部门整体支出管理及使用情况</w:t>
      </w:r>
    </w:p>
    <w:p>
      <w:pPr>
        <w:spacing w:line="580" w:lineRule="exact"/>
        <w:ind w:firstLine="645"/>
        <w:rPr>
          <w:rFonts w:ascii="仿宋_GB2312" w:eastAsia="仿宋_GB2312"/>
          <w:sz w:val="32"/>
          <w:szCs w:val="32"/>
        </w:rPr>
      </w:pPr>
      <w:r>
        <w:rPr>
          <w:rFonts w:hint="eastAsia" w:ascii="仿宋_GB2312" w:eastAsia="仿宋_GB2312"/>
          <w:sz w:val="32"/>
          <w:szCs w:val="32"/>
        </w:rPr>
        <w:t>为加强部门整体支出和固定资产管理，提高资金、资产的使用效益和财务的精细化管理水平，除日常的管理工作之外，我局在部门整体支出管理方面开展了如下工作：</w:t>
      </w:r>
    </w:p>
    <w:p>
      <w:pPr>
        <w:spacing w:line="580" w:lineRule="exact"/>
        <w:ind w:firstLine="645"/>
        <w:rPr>
          <w:rFonts w:ascii="仿宋_GB2312" w:eastAsia="仿宋_GB2312"/>
          <w:sz w:val="32"/>
          <w:szCs w:val="32"/>
        </w:rPr>
      </w:pPr>
      <w:r>
        <w:rPr>
          <w:rFonts w:hint="eastAsia" w:ascii="仿宋_GB2312" w:eastAsia="仿宋_GB2312"/>
          <w:sz w:val="32"/>
          <w:szCs w:val="32"/>
        </w:rPr>
        <w:t>1.重视预算支出绩效评估工作，强化了各预算单位和股室的预算管理意识，加强了全年预算管理。</w:t>
      </w:r>
    </w:p>
    <w:p>
      <w:pPr>
        <w:spacing w:line="580" w:lineRule="exact"/>
        <w:ind w:firstLine="645"/>
        <w:rPr>
          <w:rFonts w:ascii="仿宋_GB2312" w:eastAsia="仿宋_GB2312"/>
          <w:sz w:val="32"/>
          <w:szCs w:val="32"/>
        </w:rPr>
      </w:pPr>
      <w:r>
        <w:rPr>
          <w:rFonts w:hint="eastAsia" w:ascii="仿宋_GB2312" w:eastAsia="仿宋_GB2312"/>
          <w:sz w:val="32"/>
          <w:szCs w:val="32"/>
        </w:rPr>
        <w:t>2.重视国家、省级财政预算资金管理制度的学习，不断提高各职能部门的业务工作能力。如：及时组织全局学习《溆浦县机关差旅费管理办法》等新的管理办法、《湖南省财政厅关于严控“三公”经费预算管理的通知》（湘财预〔2013〕46号）；学习和重温《党政机关厉行节约反对浪费条例》等。</w:t>
      </w:r>
    </w:p>
    <w:p>
      <w:pPr>
        <w:spacing w:line="580" w:lineRule="exact"/>
        <w:ind w:firstLine="645"/>
        <w:rPr>
          <w:rFonts w:ascii="仿宋_GB2312" w:eastAsia="仿宋_GB2312"/>
          <w:sz w:val="32"/>
          <w:szCs w:val="32"/>
        </w:rPr>
      </w:pPr>
      <w:r>
        <w:rPr>
          <w:rFonts w:hint="eastAsia" w:ascii="仿宋_GB2312" w:eastAsia="仿宋_GB2312"/>
          <w:sz w:val="32"/>
          <w:szCs w:val="32"/>
        </w:rPr>
        <w:t>从年末决算情况来看：</w:t>
      </w:r>
    </w:p>
    <w:p>
      <w:pPr>
        <w:autoSpaceDE w:val="0"/>
        <w:autoSpaceDN w:val="0"/>
        <w:adjustRightInd w:val="0"/>
        <w:spacing w:line="600" w:lineRule="exact"/>
        <w:ind w:firstLine="640"/>
        <w:rPr>
          <w:rFonts w:ascii="仿宋_GB2312" w:eastAsia="仿宋_GB2312"/>
          <w:sz w:val="32"/>
          <w:szCs w:val="32"/>
        </w:rPr>
      </w:pPr>
      <w:r>
        <w:rPr>
          <w:rFonts w:hint="eastAsia" w:ascii="仿宋_GB2312" w:eastAsia="仿宋_GB2312"/>
          <w:sz w:val="32"/>
          <w:szCs w:val="32"/>
        </w:rPr>
        <w:t>2021年，本年收入</w:t>
      </w:r>
      <w:r>
        <w:rPr>
          <w:rFonts w:ascii="仿宋_GB2312" w:eastAsia="仿宋_GB2312"/>
          <w:sz w:val="32"/>
          <w:szCs w:val="32"/>
        </w:rPr>
        <w:t>3674.8</w:t>
      </w:r>
      <w:r>
        <w:rPr>
          <w:rFonts w:hint="eastAsia" w:ascii="仿宋_GB2312" w:eastAsia="仿宋_GB2312"/>
          <w:sz w:val="32"/>
          <w:szCs w:val="32"/>
        </w:rPr>
        <w:t>6万元，比上年增加400.85万元，增长10.9%。其中：一般公共预算财政拨款收入完成</w:t>
      </w:r>
      <w:r>
        <w:rPr>
          <w:rFonts w:ascii="仿宋_GB2312" w:eastAsia="仿宋_GB2312"/>
          <w:sz w:val="32"/>
          <w:szCs w:val="32"/>
        </w:rPr>
        <w:t>3663</w:t>
      </w:r>
      <w:r>
        <w:rPr>
          <w:rFonts w:hint="eastAsia" w:ascii="仿宋_GB2312" w:eastAsia="仿宋_GB2312"/>
          <w:sz w:val="32"/>
          <w:szCs w:val="32"/>
        </w:rPr>
        <w:t>.71万元，比上年增长476.7万元，增长13%，其他收入完成11.15万元，比上年减少75.86万元，减少87%，</w:t>
      </w:r>
      <w:r>
        <w:rPr>
          <w:rFonts w:eastAsia="仿宋_GB2312"/>
          <w:sz w:val="32"/>
          <w:szCs w:val="32"/>
        </w:rPr>
        <w:t>主要是</w:t>
      </w:r>
      <w:r>
        <w:rPr>
          <w:rFonts w:hint="eastAsia" w:eastAsia="仿宋_GB2312"/>
          <w:sz w:val="32"/>
          <w:szCs w:val="32"/>
        </w:rPr>
        <w:t>增加了</w:t>
      </w:r>
      <w:r>
        <w:rPr>
          <w:rFonts w:hint="eastAsia" w:ascii="仿宋_GB2312" w:hAnsi="宋体" w:eastAsia="仿宋_GB2312" w:cs="宋体"/>
          <w:kern w:val="0"/>
          <w:sz w:val="32"/>
          <w:szCs w:val="32"/>
        </w:rPr>
        <w:t>基本运转经费</w:t>
      </w:r>
      <w:r>
        <w:rPr>
          <w:rFonts w:hint="eastAsia" w:ascii="仿宋_GB2312" w:eastAsia="仿宋_GB2312"/>
          <w:sz w:val="32"/>
          <w:szCs w:val="32"/>
        </w:rPr>
        <w:t>。</w:t>
      </w:r>
    </w:p>
    <w:p>
      <w:pPr>
        <w:autoSpaceDE w:val="0"/>
        <w:autoSpaceDN w:val="0"/>
        <w:adjustRightInd w:val="0"/>
        <w:spacing w:line="600" w:lineRule="exact"/>
        <w:ind w:firstLine="643"/>
        <w:rPr>
          <w:rFonts w:ascii="仿宋_GB2312" w:eastAsia="仿宋_GB2312"/>
          <w:sz w:val="32"/>
          <w:szCs w:val="32"/>
        </w:rPr>
      </w:pPr>
      <w:r>
        <w:rPr>
          <w:rFonts w:hint="eastAsia" w:ascii="仿宋_GB2312" w:eastAsia="仿宋_GB2312"/>
          <w:sz w:val="32"/>
          <w:szCs w:val="32"/>
        </w:rPr>
        <w:t>2021年，本年支出3745.37万元，比上年增加517.37万元，增长13.8%，其中：基本支出完成</w:t>
      </w:r>
      <w:r>
        <w:rPr>
          <w:rFonts w:ascii="仿宋_GB2312" w:eastAsia="仿宋_GB2312"/>
          <w:sz w:val="32"/>
          <w:szCs w:val="32"/>
        </w:rPr>
        <w:t>3329</w:t>
      </w:r>
      <w:r>
        <w:rPr>
          <w:rFonts w:hint="eastAsia" w:ascii="仿宋_GB2312" w:eastAsia="仿宋_GB2312"/>
          <w:sz w:val="32"/>
          <w:szCs w:val="32"/>
        </w:rPr>
        <w:t>.6万元，比上年增加442.6万元，增长13.2%，人员经费完成</w:t>
      </w:r>
      <w:r>
        <w:rPr>
          <w:rFonts w:ascii="仿宋_GB2312" w:eastAsia="仿宋_GB2312"/>
          <w:sz w:val="32"/>
          <w:szCs w:val="32"/>
        </w:rPr>
        <w:t>2557</w:t>
      </w:r>
      <w:r>
        <w:rPr>
          <w:rFonts w:hint="eastAsia" w:ascii="仿宋_GB2312" w:eastAsia="仿宋_GB2312"/>
          <w:sz w:val="32"/>
          <w:szCs w:val="32"/>
        </w:rPr>
        <w:t>.</w:t>
      </w:r>
      <w:r>
        <w:rPr>
          <w:rFonts w:ascii="仿宋_GB2312" w:eastAsia="仿宋_GB2312"/>
          <w:sz w:val="32"/>
          <w:szCs w:val="32"/>
        </w:rPr>
        <w:t>31</w:t>
      </w:r>
      <w:r>
        <w:rPr>
          <w:rFonts w:hint="eastAsia" w:ascii="仿宋_GB2312" w:eastAsia="仿宋_GB2312"/>
          <w:sz w:val="32"/>
          <w:szCs w:val="32"/>
        </w:rPr>
        <w:t>万元，比上年增加345.31万元，增长13.5%，公用经费完成</w:t>
      </w:r>
      <w:r>
        <w:rPr>
          <w:rFonts w:ascii="仿宋_GB2312" w:eastAsia="仿宋_GB2312"/>
          <w:sz w:val="32"/>
          <w:szCs w:val="32"/>
        </w:rPr>
        <w:t>772</w:t>
      </w:r>
      <w:r>
        <w:rPr>
          <w:rFonts w:hint="eastAsia" w:ascii="仿宋_GB2312" w:eastAsia="仿宋_GB2312"/>
          <w:sz w:val="32"/>
          <w:szCs w:val="32"/>
        </w:rPr>
        <w:t>.</w:t>
      </w:r>
      <w:r>
        <w:rPr>
          <w:rFonts w:ascii="仿宋_GB2312" w:eastAsia="仿宋_GB2312"/>
          <w:sz w:val="32"/>
          <w:szCs w:val="32"/>
        </w:rPr>
        <w:t>28</w:t>
      </w:r>
      <w:r>
        <w:rPr>
          <w:rFonts w:hint="eastAsia" w:ascii="仿宋_GB2312" w:eastAsia="仿宋_GB2312"/>
          <w:sz w:val="32"/>
          <w:szCs w:val="32"/>
        </w:rPr>
        <w:t>万元，比上年增加97.28万元，增长12.5%；项目支出</w:t>
      </w:r>
      <w:r>
        <w:rPr>
          <w:rFonts w:ascii="仿宋_GB2312" w:eastAsia="仿宋_GB2312"/>
          <w:sz w:val="32"/>
          <w:szCs w:val="32"/>
        </w:rPr>
        <w:t>415</w:t>
      </w:r>
      <w:r>
        <w:rPr>
          <w:rFonts w:hint="eastAsia" w:ascii="仿宋_GB2312" w:eastAsia="仿宋_GB2312"/>
          <w:sz w:val="32"/>
          <w:szCs w:val="32"/>
        </w:rPr>
        <w:t>.77万元，比上年增加73.77万元，增长17.7%，变化的主要原因：本年度对项目支出的补贴力度较大。</w:t>
      </w:r>
    </w:p>
    <w:p>
      <w:pPr>
        <w:autoSpaceDE w:val="0"/>
        <w:autoSpaceDN w:val="0"/>
        <w:adjustRightInd w:val="0"/>
        <w:spacing w:line="600" w:lineRule="exact"/>
        <w:ind w:firstLine="640"/>
        <w:rPr>
          <w:rFonts w:ascii="仿宋_GB2312" w:eastAsia="仿宋_GB2312"/>
          <w:color w:val="FF0000"/>
          <w:sz w:val="32"/>
          <w:szCs w:val="32"/>
        </w:rPr>
      </w:pPr>
      <w:r>
        <w:rPr>
          <w:rFonts w:hint="eastAsia" w:ascii="仿宋_GB2312" w:eastAsia="仿宋_GB2312"/>
          <w:sz w:val="32"/>
          <w:szCs w:val="32"/>
        </w:rPr>
        <w:t>“三公”经费支出情况：2021年，“三公”经费完成19.24万元（公务接待费完成1.35万元，公务用车购置及运行维护费完成17.89万元），增减变化的主要原因是：今年公务接待和公务用车运行维护支出减少。</w:t>
      </w:r>
    </w:p>
    <w:p>
      <w:pPr>
        <w:autoSpaceDE w:val="0"/>
        <w:autoSpaceDN w:val="0"/>
        <w:adjustRightInd w:val="0"/>
        <w:spacing w:line="600" w:lineRule="exact"/>
        <w:ind w:firstLine="643"/>
        <w:rPr>
          <w:rFonts w:ascii="仿宋_GB2312" w:eastAsia="仿宋_GB2312"/>
          <w:sz w:val="32"/>
          <w:szCs w:val="32"/>
        </w:rPr>
      </w:pPr>
      <w:r>
        <w:rPr>
          <w:rFonts w:hint="eastAsia" w:ascii="仿宋_GB2312" w:eastAsia="仿宋_GB2312"/>
          <w:sz w:val="32"/>
          <w:szCs w:val="32"/>
        </w:rPr>
        <w:t>年末结转和结余情况。2021年，本单位年末结转和结余资金</w:t>
      </w:r>
      <w:r>
        <w:rPr>
          <w:rFonts w:ascii="仿宋_GB2312" w:eastAsia="仿宋_GB2312"/>
          <w:sz w:val="32"/>
          <w:szCs w:val="32"/>
        </w:rPr>
        <w:t>34</w:t>
      </w: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2万元，比上年减少70.52万元，减少67.3%。</w:t>
      </w:r>
    </w:p>
    <w:p>
      <w:pPr>
        <w:spacing w:line="580" w:lineRule="exact"/>
        <w:ind w:firstLine="645"/>
        <w:rPr>
          <w:rFonts w:ascii="黑体" w:eastAsia="黑体"/>
          <w:sz w:val="32"/>
          <w:szCs w:val="32"/>
        </w:rPr>
      </w:pPr>
      <w:r>
        <w:rPr>
          <w:rFonts w:hint="eastAsia" w:ascii="黑体" w:eastAsia="黑体"/>
          <w:sz w:val="32"/>
          <w:szCs w:val="32"/>
        </w:rPr>
        <w:t>三、专项组织实施情况</w:t>
      </w:r>
    </w:p>
    <w:p>
      <w:pPr>
        <w:numPr>
          <w:ilvl w:val="0"/>
          <w:numId w:val="3"/>
        </w:numPr>
        <w:spacing w:line="600" w:lineRule="exact"/>
        <w:ind w:firstLine="640" w:firstLineChars="200"/>
        <w:rPr>
          <w:rFonts w:ascii="仿宋_GB2312" w:eastAsia="仿宋_GB2312"/>
          <w:sz w:val="32"/>
          <w:szCs w:val="32"/>
        </w:rPr>
      </w:pPr>
      <w:r>
        <w:rPr>
          <w:rFonts w:hint="eastAsia" w:ascii="仿宋_GB2312" w:eastAsia="仿宋_GB2312"/>
          <w:sz w:val="32"/>
          <w:szCs w:val="32"/>
        </w:rPr>
        <w:t>坚持优化服务，营商环境更加优化，现全县市场主体达3.4万户，食品经营户3494家，食品生产企业74家，食品加工小作坊149家。今年新增市场主体3881户，其中企业（含农民合作社）686户，个体3195户。办理全程电子化登记2671户，简易注销468户。</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坚持质量提升，经济发展更添动能。今年县委常委会研究质量工作2次，政府常务会研究质量工作3次，召开质量强县成员单位联席会议3次。目前，已开展上门服务15次，帮助指导12家企业检定计量器具500台件次，解决企业各类问题280个。帮助指导“溆浦龙潭猪”顺利通过国家地理标志证明商标初审，指导县红糖产业协会制定溆浦县第一个团体标准《溆浦红糖》，进一步激励全社会树立质量意识。现我县拥有国家地理标志保护产品2个（溆浦鹅、溆浦瑶茶）、国家驰名商标1个、马德里商标1个（筷言菇语）、国家地理标志证明商标2个（溆浦蜜桔、溆浦脐橙）、国家级农业标准化示范区2个、市长质量奖1个、县长质量奖5个、有效注册商标 3079个，有效发明专利79件。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坚持严守底线，安全基础更加牢固。强化食品监督抽检，共抽检1770批次，合格1705批次，不合格65批次，合格率96.3％；开展罂粟壳监督抽检513批次，未发现非法添加罂粟壳行为。强化疫苗专项检查，检查县疾控中心1家、接种机构35家，责令整改5家，现场督促指导县疾控中心销毁过期失效疫苗23649支</w:t>
      </w:r>
      <w:r>
        <w:rPr>
          <w:rFonts w:hint="eastAsia" w:ascii="仿宋_GB2312" w:eastAsia="仿宋_GB2312"/>
        </w:rPr>
        <w:t>。</w:t>
      </w:r>
      <w:r>
        <w:rPr>
          <w:rFonts w:hint="eastAsia" w:ascii="仿宋_GB2312" w:eastAsia="仿宋_GB2312"/>
          <w:sz w:val="32"/>
          <w:szCs w:val="32"/>
        </w:rPr>
        <w:t>加强药品和医疗器械不良反应监测，组织召开全县不良反应监测工作推进会议暨上报单位报告员培训，印发培训资料100本，培训人员96人。目前共评价上报药品不良反应报告640份，医疗器械不良事件73份。今年共检查单位320余家，发现安全隐患64起，下达《特种设备安全监察指令书》76份，停用特种设备16台，立案查处特种设备安全违法行为案8起。强化重点工业产品监管，组织抽检水泥5批次、学生服装6批次，钢筋类产品7批次、电线电缆产品2批次、玻璃钢化粪池1批次，均为合格。对县域10家烧结普通砖、2家蒸压加气混凝土砌块进行全覆盖监督抽查，抽检12批次，合格10批次；农资产品监督抽检22个批次，合格19批次；成品油监督抽检50批次，其中10个批次已出具检验报告，合格9批次，另有40个批次正在检验，对检测出不合格的均已立案调查。目前，我县获工业产品生产许可证企业3家。疫情防控方面。共对615批次冷链食品和环境样本、冷链食品从业人员(含外卖、一线工作人员）和超市从业人员2315人次进行了核酸检测。充分发挥药店在疫情防控中的哨点作用，督促全县155家零售药店落实“四类药品”销售登记报告制，对未落实常态化管理措施的2家门店予以关门整改。</w:t>
      </w:r>
    </w:p>
    <w:p>
      <w:pPr>
        <w:numPr>
          <w:ilvl w:val="0"/>
          <w:numId w:val="4"/>
        </w:numPr>
        <w:spacing w:line="600" w:lineRule="exact"/>
        <w:ind w:firstLine="640" w:firstLineChars="200"/>
        <w:rPr>
          <w:rFonts w:ascii="仿宋_GB2312" w:eastAsia="仿宋_GB2312"/>
          <w:sz w:val="32"/>
          <w:szCs w:val="32"/>
        </w:rPr>
      </w:pPr>
      <w:r>
        <w:rPr>
          <w:rFonts w:hint="eastAsia" w:ascii="仿宋_GB2312" w:eastAsia="仿宋_GB2312"/>
          <w:sz w:val="32"/>
          <w:szCs w:val="32"/>
        </w:rPr>
        <w:t>坚持重拳出击，案件查处更有力度。全年共立案373起，办结326起，其中食品121起，医疗器械57起，无证无照41起，药品39起，产品27起，价格17起，广告7起，特设6起，商标3起，食用农产品1起，其他2起。与检察开展联合执法1次，与公安联合执法3次。全年移送公安机关案件7起，刑事立案2起，其中1起为铝超标油条案，现已移送至县人民检察院审理；1起为销售不合格的成品油案，涉案货值18万余元，现处于公安机关侦查阶段。已查处不正当竞争案件2起，罚没3.5万元，其中涉农虚假宣传案1起（罚款2万元），利用网店销售虚假宣传案1起。今年共清理各类市场主体2869户，发现无证无照经营12户，引导办理营业执照12户，办理食品经营许可证6户，停业整顿1户。并按照包容执法要求，对轻微违章违法行为实行限期整改，免于行政处罚。全县经营户基本上实行悬照营业，悬照率为98%。</w:t>
      </w:r>
    </w:p>
    <w:p>
      <w:pPr>
        <w:spacing w:line="580" w:lineRule="exact"/>
        <w:ind w:firstLine="645"/>
        <w:rPr>
          <w:rFonts w:ascii="黑体" w:eastAsia="黑体"/>
          <w:bCs/>
          <w:sz w:val="32"/>
          <w:szCs w:val="32"/>
        </w:rPr>
      </w:pPr>
      <w:r>
        <w:rPr>
          <w:rFonts w:hint="eastAsia" w:ascii="黑体" w:eastAsia="黑体"/>
          <w:bCs/>
          <w:sz w:val="32"/>
          <w:szCs w:val="32"/>
        </w:rPr>
        <w:t>四、资产管理情况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我局2021年固定资产净值的年末数为653.55万元，对全局所有固定资产实行集中核算、统一建帐、分类管理，登记各类固定资产的购置、领用、报损、报废等情况。固定资产增减变动时应及时入帐，领用时必须签字。购置固定资产一般应纳入年度财务预算，申报资产购置计划，经审批同意后列入年度预算计划并上报，单位价值或批量价值达到政府采购限额标准的，应按规定程序办理政府采购手续。固定资产应每年清理对帐一次，做到帐帐相符、账物相符等，以防流失。</w:t>
      </w:r>
    </w:p>
    <w:p>
      <w:pPr>
        <w:spacing w:line="580" w:lineRule="exact"/>
        <w:ind w:firstLine="645"/>
        <w:rPr>
          <w:rFonts w:ascii="黑体" w:eastAsia="黑体"/>
          <w:sz w:val="32"/>
          <w:szCs w:val="32"/>
        </w:rPr>
      </w:pPr>
      <w:r>
        <w:rPr>
          <w:rFonts w:hint="eastAsia" w:ascii="黑体" w:eastAsia="黑体"/>
          <w:bCs/>
          <w:sz w:val="32"/>
          <w:szCs w:val="32"/>
        </w:rPr>
        <w:t>五、存在的主要问题</w:t>
      </w:r>
    </w:p>
    <w:p>
      <w:pPr>
        <w:spacing w:line="580" w:lineRule="exact"/>
        <w:ind w:firstLine="645"/>
        <w:rPr>
          <w:rFonts w:ascii="黑体" w:eastAsia="黑体"/>
          <w:sz w:val="32"/>
          <w:szCs w:val="32"/>
        </w:rPr>
      </w:pPr>
      <w:r>
        <w:rPr>
          <w:rFonts w:hint="eastAsia" w:ascii="仿宋_GB2312" w:eastAsia="仿宋_GB2312"/>
          <w:sz w:val="32"/>
          <w:szCs w:val="32"/>
        </w:rPr>
        <w:t>1、县财政拨款基数偏低。财政基数（基本支出）拨款偏低，经费保障不稳定。按人均保障水平仍然不高。</w:t>
      </w:r>
    </w:p>
    <w:p>
      <w:pPr>
        <w:spacing w:line="580" w:lineRule="exact"/>
        <w:ind w:firstLine="645"/>
        <w:rPr>
          <w:rFonts w:ascii="仿宋_GB2312" w:eastAsia="仿宋_GB2312"/>
          <w:sz w:val="32"/>
          <w:szCs w:val="32"/>
        </w:rPr>
      </w:pPr>
      <w:r>
        <w:rPr>
          <w:rFonts w:hint="eastAsia" w:ascii="仿宋_GB2312" w:eastAsia="仿宋_GB2312"/>
          <w:sz w:val="32"/>
          <w:szCs w:val="32"/>
        </w:rPr>
        <w:t>2、乡镇监管所对市场和质量、食品药品的日常监督、开展宣传工作的日常运转经费能够纳入财政预算。</w:t>
      </w:r>
    </w:p>
    <w:p>
      <w:pPr>
        <w:spacing w:line="580" w:lineRule="exact"/>
        <w:ind w:firstLine="645"/>
        <w:rPr>
          <w:rFonts w:ascii="仿宋_GB2312" w:eastAsia="仿宋_GB2312"/>
          <w:sz w:val="32"/>
          <w:szCs w:val="32"/>
        </w:rPr>
      </w:pPr>
      <w:r>
        <w:rPr>
          <w:rFonts w:hint="eastAsia" w:ascii="仿宋_GB2312" w:eastAsia="仿宋_GB2312"/>
          <w:sz w:val="32"/>
          <w:szCs w:val="32"/>
        </w:rPr>
        <w:t>3、加大抽查检定经费、标准化战略、稽查打假执法办案等专项经费的投入力度。</w:t>
      </w:r>
    </w:p>
    <w:p>
      <w:pPr>
        <w:spacing w:line="580" w:lineRule="exact"/>
        <w:ind w:firstLine="645"/>
        <w:rPr>
          <w:rFonts w:ascii="仿宋_GB2312" w:eastAsia="仿宋_GB2312"/>
          <w:sz w:val="32"/>
          <w:szCs w:val="32"/>
        </w:rPr>
      </w:pPr>
      <w:r>
        <w:rPr>
          <w:rFonts w:hint="eastAsia" w:ascii="仿宋_GB2312" w:eastAsia="仿宋_GB2312"/>
          <w:sz w:val="32"/>
          <w:szCs w:val="32"/>
        </w:rPr>
        <w:t>4、专项资金明显不足。要靠自身通过服务企业收取非税收入来安排，财政保障度偏低，因此需财政加大对我局专项资金的投入。</w:t>
      </w:r>
    </w:p>
    <w:p>
      <w:pPr>
        <w:spacing w:line="580" w:lineRule="exact"/>
        <w:ind w:firstLine="645"/>
        <w:rPr>
          <w:rFonts w:ascii="仿宋_GB2312" w:eastAsia="仿宋_GB2312"/>
          <w:sz w:val="32"/>
          <w:szCs w:val="32"/>
        </w:rPr>
      </w:pPr>
      <w:r>
        <w:rPr>
          <w:rFonts w:hint="eastAsia" w:ascii="仿宋_GB2312" w:eastAsia="仿宋_GB2312"/>
          <w:sz w:val="32"/>
          <w:szCs w:val="32"/>
        </w:rPr>
        <w:t>5、加大对县级执法人员的队伍能力建设工作。</w:t>
      </w:r>
    </w:p>
    <w:p>
      <w:pPr>
        <w:jc w:val="center"/>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712E77"/>
    <w:multiLevelType w:val="singleLevel"/>
    <w:tmpl w:val="21712E77"/>
    <w:lvl w:ilvl="0" w:tentative="0">
      <w:start w:val="4"/>
      <w:numFmt w:val="chineseCounting"/>
      <w:suff w:val="nothing"/>
      <w:lvlText w:val="（%1）"/>
      <w:lvlJc w:val="left"/>
      <w:rPr>
        <w:rFonts w:hint="eastAsia"/>
      </w:rPr>
    </w:lvl>
  </w:abstractNum>
  <w:abstractNum w:abstractNumId="1">
    <w:nsid w:val="25D189F9"/>
    <w:multiLevelType w:val="singleLevel"/>
    <w:tmpl w:val="25D189F9"/>
    <w:lvl w:ilvl="0" w:tentative="0">
      <w:start w:val="1"/>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DD12F34"/>
    <w:multiLevelType w:val="multilevel"/>
    <w:tmpl w:val="3DD12F34"/>
    <w:lvl w:ilvl="0" w:tentative="0">
      <w:start w:val="2"/>
      <w:numFmt w:val="decimal"/>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MmQ0MTc5MDQ5ZDk2NjU3YjUxOTg0MGZhM2M3ZGQifQ=="/>
  </w:docVars>
  <w:rsids>
    <w:rsidRoot w:val="004506F9"/>
    <w:rsid w:val="00013D80"/>
    <w:rsid w:val="0002229B"/>
    <w:rsid w:val="000273BD"/>
    <w:rsid w:val="000403DE"/>
    <w:rsid w:val="000415B7"/>
    <w:rsid w:val="00041E3F"/>
    <w:rsid w:val="00050D2B"/>
    <w:rsid w:val="00055DAA"/>
    <w:rsid w:val="00061F7B"/>
    <w:rsid w:val="00063CE5"/>
    <w:rsid w:val="000658A3"/>
    <w:rsid w:val="00074155"/>
    <w:rsid w:val="000873EF"/>
    <w:rsid w:val="000A3F69"/>
    <w:rsid w:val="000A7E40"/>
    <w:rsid w:val="000B7B50"/>
    <w:rsid w:val="00103957"/>
    <w:rsid w:val="00124A1F"/>
    <w:rsid w:val="00136449"/>
    <w:rsid w:val="00152C6D"/>
    <w:rsid w:val="00155F7A"/>
    <w:rsid w:val="0015744E"/>
    <w:rsid w:val="00162D39"/>
    <w:rsid w:val="001653F0"/>
    <w:rsid w:val="001678BD"/>
    <w:rsid w:val="00182373"/>
    <w:rsid w:val="00194909"/>
    <w:rsid w:val="001A67DB"/>
    <w:rsid w:val="001C3C29"/>
    <w:rsid w:val="001D1ADB"/>
    <w:rsid w:val="001D51E5"/>
    <w:rsid w:val="001E080D"/>
    <w:rsid w:val="001E53D0"/>
    <w:rsid w:val="001E560D"/>
    <w:rsid w:val="001E6D73"/>
    <w:rsid w:val="001F0C3B"/>
    <w:rsid w:val="001F1794"/>
    <w:rsid w:val="00202C14"/>
    <w:rsid w:val="00202C82"/>
    <w:rsid w:val="002048D6"/>
    <w:rsid w:val="00214427"/>
    <w:rsid w:val="00225257"/>
    <w:rsid w:val="00226400"/>
    <w:rsid w:val="00226CB7"/>
    <w:rsid w:val="00264552"/>
    <w:rsid w:val="00264D3E"/>
    <w:rsid w:val="00264EF9"/>
    <w:rsid w:val="00265724"/>
    <w:rsid w:val="0027426B"/>
    <w:rsid w:val="00276ACE"/>
    <w:rsid w:val="00291C95"/>
    <w:rsid w:val="002B1F62"/>
    <w:rsid w:val="002C21B2"/>
    <w:rsid w:val="002C2DC5"/>
    <w:rsid w:val="002D108C"/>
    <w:rsid w:val="002D6E78"/>
    <w:rsid w:val="002E0A30"/>
    <w:rsid w:val="002F320C"/>
    <w:rsid w:val="003061B3"/>
    <w:rsid w:val="003130C4"/>
    <w:rsid w:val="00316C4B"/>
    <w:rsid w:val="0032192B"/>
    <w:rsid w:val="003450C2"/>
    <w:rsid w:val="003479BD"/>
    <w:rsid w:val="003621C8"/>
    <w:rsid w:val="0037197D"/>
    <w:rsid w:val="0037601D"/>
    <w:rsid w:val="003768D5"/>
    <w:rsid w:val="00391EAA"/>
    <w:rsid w:val="003956FD"/>
    <w:rsid w:val="003A138F"/>
    <w:rsid w:val="003A3C62"/>
    <w:rsid w:val="003C4197"/>
    <w:rsid w:val="003C47E6"/>
    <w:rsid w:val="003C4DF6"/>
    <w:rsid w:val="003C4FC2"/>
    <w:rsid w:val="003D1241"/>
    <w:rsid w:val="003D14D8"/>
    <w:rsid w:val="003D225C"/>
    <w:rsid w:val="003E2331"/>
    <w:rsid w:val="003F2404"/>
    <w:rsid w:val="00411623"/>
    <w:rsid w:val="00416E61"/>
    <w:rsid w:val="00417EC8"/>
    <w:rsid w:val="0042790C"/>
    <w:rsid w:val="00437ECC"/>
    <w:rsid w:val="004506F9"/>
    <w:rsid w:val="0045496D"/>
    <w:rsid w:val="004717A2"/>
    <w:rsid w:val="00473DF3"/>
    <w:rsid w:val="00476EC9"/>
    <w:rsid w:val="00487911"/>
    <w:rsid w:val="00491741"/>
    <w:rsid w:val="004A6A22"/>
    <w:rsid w:val="004A6E91"/>
    <w:rsid w:val="004B0CEE"/>
    <w:rsid w:val="004E36F6"/>
    <w:rsid w:val="00500E5F"/>
    <w:rsid w:val="00511C0B"/>
    <w:rsid w:val="005120B6"/>
    <w:rsid w:val="005122EF"/>
    <w:rsid w:val="0051441A"/>
    <w:rsid w:val="00517C33"/>
    <w:rsid w:val="00517D5F"/>
    <w:rsid w:val="00521AF2"/>
    <w:rsid w:val="00523644"/>
    <w:rsid w:val="005237CD"/>
    <w:rsid w:val="00534400"/>
    <w:rsid w:val="0054069E"/>
    <w:rsid w:val="00544866"/>
    <w:rsid w:val="00551429"/>
    <w:rsid w:val="00554857"/>
    <w:rsid w:val="00560162"/>
    <w:rsid w:val="005767CC"/>
    <w:rsid w:val="00583232"/>
    <w:rsid w:val="00587D0A"/>
    <w:rsid w:val="00590D9F"/>
    <w:rsid w:val="00595D26"/>
    <w:rsid w:val="005A26D1"/>
    <w:rsid w:val="005A36D9"/>
    <w:rsid w:val="005A74E6"/>
    <w:rsid w:val="005B0578"/>
    <w:rsid w:val="005B404E"/>
    <w:rsid w:val="005C22A2"/>
    <w:rsid w:val="005C692C"/>
    <w:rsid w:val="005D4D55"/>
    <w:rsid w:val="005E2CFB"/>
    <w:rsid w:val="005F2103"/>
    <w:rsid w:val="005F3D1C"/>
    <w:rsid w:val="00605EAC"/>
    <w:rsid w:val="0061036E"/>
    <w:rsid w:val="00610C17"/>
    <w:rsid w:val="0061495D"/>
    <w:rsid w:val="00620C4A"/>
    <w:rsid w:val="0062378F"/>
    <w:rsid w:val="0064000D"/>
    <w:rsid w:val="00640749"/>
    <w:rsid w:val="00641842"/>
    <w:rsid w:val="00651EEC"/>
    <w:rsid w:val="00686673"/>
    <w:rsid w:val="00691E8C"/>
    <w:rsid w:val="006A22C4"/>
    <w:rsid w:val="006A348B"/>
    <w:rsid w:val="006A351B"/>
    <w:rsid w:val="006A7EFE"/>
    <w:rsid w:val="006B0422"/>
    <w:rsid w:val="006C1B53"/>
    <w:rsid w:val="006C37A5"/>
    <w:rsid w:val="006D431D"/>
    <w:rsid w:val="006D7730"/>
    <w:rsid w:val="006E5284"/>
    <w:rsid w:val="006F3EB5"/>
    <w:rsid w:val="00702E34"/>
    <w:rsid w:val="00704395"/>
    <w:rsid w:val="007049F6"/>
    <w:rsid w:val="00710FE7"/>
    <w:rsid w:val="00712B2E"/>
    <w:rsid w:val="00717621"/>
    <w:rsid w:val="00720FF1"/>
    <w:rsid w:val="00722B2B"/>
    <w:rsid w:val="00727848"/>
    <w:rsid w:val="00727A53"/>
    <w:rsid w:val="0073239D"/>
    <w:rsid w:val="00736976"/>
    <w:rsid w:val="00737020"/>
    <w:rsid w:val="00753403"/>
    <w:rsid w:val="007778E1"/>
    <w:rsid w:val="00783D34"/>
    <w:rsid w:val="00787B42"/>
    <w:rsid w:val="007B4673"/>
    <w:rsid w:val="007B7EF7"/>
    <w:rsid w:val="007C4539"/>
    <w:rsid w:val="007C68A3"/>
    <w:rsid w:val="007D1E9E"/>
    <w:rsid w:val="007D2DDD"/>
    <w:rsid w:val="007F27FA"/>
    <w:rsid w:val="007F3657"/>
    <w:rsid w:val="00804A6E"/>
    <w:rsid w:val="00812ED5"/>
    <w:rsid w:val="0081497D"/>
    <w:rsid w:val="00815923"/>
    <w:rsid w:val="008277D9"/>
    <w:rsid w:val="008328B1"/>
    <w:rsid w:val="00837F1E"/>
    <w:rsid w:val="0084478C"/>
    <w:rsid w:val="00857425"/>
    <w:rsid w:val="00861FC0"/>
    <w:rsid w:val="0086638C"/>
    <w:rsid w:val="00885DDB"/>
    <w:rsid w:val="008A3E8D"/>
    <w:rsid w:val="0090196E"/>
    <w:rsid w:val="00906154"/>
    <w:rsid w:val="00915DC8"/>
    <w:rsid w:val="009209D2"/>
    <w:rsid w:val="009237C4"/>
    <w:rsid w:val="009300FD"/>
    <w:rsid w:val="009350BF"/>
    <w:rsid w:val="00944C48"/>
    <w:rsid w:val="00950252"/>
    <w:rsid w:val="00967F5D"/>
    <w:rsid w:val="00971AAF"/>
    <w:rsid w:val="0099743D"/>
    <w:rsid w:val="009A0F95"/>
    <w:rsid w:val="009A3692"/>
    <w:rsid w:val="009A7EFE"/>
    <w:rsid w:val="009B1316"/>
    <w:rsid w:val="009B3ADF"/>
    <w:rsid w:val="009B59ED"/>
    <w:rsid w:val="009C3B52"/>
    <w:rsid w:val="009D1F84"/>
    <w:rsid w:val="009E6817"/>
    <w:rsid w:val="009E6E9A"/>
    <w:rsid w:val="009F1B54"/>
    <w:rsid w:val="00A01D2B"/>
    <w:rsid w:val="00A128EE"/>
    <w:rsid w:val="00A42218"/>
    <w:rsid w:val="00A70249"/>
    <w:rsid w:val="00A70B02"/>
    <w:rsid w:val="00A71D9F"/>
    <w:rsid w:val="00A72506"/>
    <w:rsid w:val="00A74206"/>
    <w:rsid w:val="00A77AF3"/>
    <w:rsid w:val="00A92E9F"/>
    <w:rsid w:val="00AE1187"/>
    <w:rsid w:val="00B33BEA"/>
    <w:rsid w:val="00B42AC8"/>
    <w:rsid w:val="00B57C9F"/>
    <w:rsid w:val="00B63572"/>
    <w:rsid w:val="00B64855"/>
    <w:rsid w:val="00B71D0F"/>
    <w:rsid w:val="00B72239"/>
    <w:rsid w:val="00B845B3"/>
    <w:rsid w:val="00B84E96"/>
    <w:rsid w:val="00B85D8B"/>
    <w:rsid w:val="00B94FEF"/>
    <w:rsid w:val="00BB4A40"/>
    <w:rsid w:val="00BC5009"/>
    <w:rsid w:val="00BD40E2"/>
    <w:rsid w:val="00BD6C3E"/>
    <w:rsid w:val="00BE3674"/>
    <w:rsid w:val="00BE7601"/>
    <w:rsid w:val="00BF4DCE"/>
    <w:rsid w:val="00BF7DEF"/>
    <w:rsid w:val="00C10681"/>
    <w:rsid w:val="00C13C70"/>
    <w:rsid w:val="00C166CC"/>
    <w:rsid w:val="00C3049A"/>
    <w:rsid w:val="00C31B1E"/>
    <w:rsid w:val="00C32A52"/>
    <w:rsid w:val="00C33B4C"/>
    <w:rsid w:val="00C35AED"/>
    <w:rsid w:val="00C35CEF"/>
    <w:rsid w:val="00C77645"/>
    <w:rsid w:val="00C85009"/>
    <w:rsid w:val="00CB27BD"/>
    <w:rsid w:val="00CC2F20"/>
    <w:rsid w:val="00CE04C3"/>
    <w:rsid w:val="00CE76A0"/>
    <w:rsid w:val="00CF14DE"/>
    <w:rsid w:val="00D03C45"/>
    <w:rsid w:val="00D11822"/>
    <w:rsid w:val="00D148C6"/>
    <w:rsid w:val="00D17A8A"/>
    <w:rsid w:val="00D2231B"/>
    <w:rsid w:val="00D27AAB"/>
    <w:rsid w:val="00D35518"/>
    <w:rsid w:val="00D415BA"/>
    <w:rsid w:val="00D6056C"/>
    <w:rsid w:val="00D63780"/>
    <w:rsid w:val="00D63AE3"/>
    <w:rsid w:val="00D644EE"/>
    <w:rsid w:val="00D75489"/>
    <w:rsid w:val="00D83E2E"/>
    <w:rsid w:val="00D911D4"/>
    <w:rsid w:val="00D94DAF"/>
    <w:rsid w:val="00D96FF7"/>
    <w:rsid w:val="00DA6277"/>
    <w:rsid w:val="00DA7698"/>
    <w:rsid w:val="00DD06FF"/>
    <w:rsid w:val="00DD54D5"/>
    <w:rsid w:val="00DD5FE9"/>
    <w:rsid w:val="00DF32C0"/>
    <w:rsid w:val="00DF63E6"/>
    <w:rsid w:val="00E00C7A"/>
    <w:rsid w:val="00E209CF"/>
    <w:rsid w:val="00E307FB"/>
    <w:rsid w:val="00E322AA"/>
    <w:rsid w:val="00E37BB5"/>
    <w:rsid w:val="00E37D6C"/>
    <w:rsid w:val="00E41020"/>
    <w:rsid w:val="00E55B68"/>
    <w:rsid w:val="00E67BE6"/>
    <w:rsid w:val="00E71EFC"/>
    <w:rsid w:val="00E76671"/>
    <w:rsid w:val="00E8237F"/>
    <w:rsid w:val="00E8683C"/>
    <w:rsid w:val="00E95988"/>
    <w:rsid w:val="00E97659"/>
    <w:rsid w:val="00EA2B72"/>
    <w:rsid w:val="00EB1DE5"/>
    <w:rsid w:val="00EC780A"/>
    <w:rsid w:val="00EE095E"/>
    <w:rsid w:val="00EE3422"/>
    <w:rsid w:val="00EF5367"/>
    <w:rsid w:val="00EF57B4"/>
    <w:rsid w:val="00F01817"/>
    <w:rsid w:val="00F03C3B"/>
    <w:rsid w:val="00F10349"/>
    <w:rsid w:val="00F440FF"/>
    <w:rsid w:val="00F52DCA"/>
    <w:rsid w:val="00F5577E"/>
    <w:rsid w:val="00F669DB"/>
    <w:rsid w:val="00F74360"/>
    <w:rsid w:val="00F748C5"/>
    <w:rsid w:val="00F863F0"/>
    <w:rsid w:val="00F94DF3"/>
    <w:rsid w:val="00FA70B3"/>
    <w:rsid w:val="00FB462F"/>
    <w:rsid w:val="00FC1872"/>
    <w:rsid w:val="00FE16FA"/>
    <w:rsid w:val="00FE328A"/>
    <w:rsid w:val="00FE6269"/>
    <w:rsid w:val="00FF5CD6"/>
    <w:rsid w:val="170F4451"/>
    <w:rsid w:val="3B9029C4"/>
    <w:rsid w:val="55376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uiPriority w:val="99"/>
    <w:rPr>
      <w:sz w:val="18"/>
      <w:szCs w:val="18"/>
    </w:rPr>
  </w:style>
  <w:style w:type="character" w:customStyle="1" w:styleId="12">
    <w:name w:val="NormalCharacter"/>
    <w:semiHidden/>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700E2-71D6-4937-850C-88182D4EBE9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17230</Words>
  <Characters>20486</Characters>
  <Lines>179</Lines>
  <Paragraphs>50</Paragraphs>
  <TotalTime>2878</TotalTime>
  <ScaleCrop>false</ScaleCrop>
  <LinksUpToDate>false</LinksUpToDate>
  <CharactersWithSpaces>22771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buss</cp:lastModifiedBy>
  <cp:lastPrinted>2022-07-27T12:55:00Z</cp:lastPrinted>
  <dcterms:modified xsi:type="dcterms:W3CDTF">2022-09-28T07:24:10Z</dcterms:modified>
  <cp:revision>245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046D86B5A89D4F8F99170880FA2C0E4B</vt:lpwstr>
  </property>
</Properties>
</file>