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838DA">
      <w:pPr>
        <w:pStyle w:val="3"/>
        <w:widowControl/>
        <w:spacing w:before="0" w:beforeAutospacing="0" w:after="0" w:afterAutospacing="0"/>
        <w:jc w:val="center"/>
        <w:rPr>
          <w:rFonts w:hint="eastAsia" w:asciiTheme="majorEastAsia" w:hAnsiTheme="majorEastAsia" w:eastAsiaTheme="majorEastAsia" w:cstheme="majorEastAsia"/>
          <w:b/>
          <w:bCs/>
          <w:color w:val="000000"/>
          <w:spacing w:val="10"/>
          <w:sz w:val="36"/>
          <w:szCs w:val="36"/>
        </w:rPr>
      </w:pPr>
      <w:r>
        <w:rPr>
          <w:rFonts w:hint="eastAsia" w:ascii="宋体" w:hAnsi="宋体"/>
          <w:b/>
          <w:bCs/>
          <w:color w:val="000000"/>
          <w:spacing w:val="10"/>
          <w:sz w:val="36"/>
          <w:szCs w:val="36"/>
        </w:rPr>
        <w:t>溆</w:t>
      </w:r>
      <w:r>
        <w:rPr>
          <w:rFonts w:hint="eastAsia" w:asciiTheme="majorEastAsia" w:hAnsiTheme="majorEastAsia" w:eastAsiaTheme="majorEastAsia" w:cstheme="majorEastAsia"/>
          <w:b/>
          <w:bCs/>
          <w:color w:val="000000"/>
          <w:spacing w:val="10"/>
          <w:sz w:val="36"/>
          <w:szCs w:val="36"/>
        </w:rPr>
        <w:t>浦县林业局</w:t>
      </w:r>
      <w:r>
        <w:rPr>
          <w:rFonts w:hint="eastAsia" w:asciiTheme="majorEastAsia" w:hAnsiTheme="majorEastAsia" w:eastAsiaTheme="majorEastAsia" w:cstheme="majorEastAsia"/>
          <w:b/>
          <w:bCs/>
          <w:color w:val="000000"/>
          <w:spacing w:val="10"/>
          <w:sz w:val="36"/>
          <w:szCs w:val="36"/>
          <w:lang w:val="en-US" w:eastAsia="zh-CN"/>
        </w:rPr>
        <w:t>2025年度</w:t>
      </w:r>
      <w:r>
        <w:rPr>
          <w:rFonts w:hint="eastAsia" w:asciiTheme="majorEastAsia" w:hAnsiTheme="majorEastAsia" w:eastAsiaTheme="majorEastAsia" w:cstheme="majorEastAsia"/>
          <w:b/>
          <w:bCs/>
          <w:color w:val="000000"/>
          <w:spacing w:val="10"/>
          <w:sz w:val="36"/>
          <w:szCs w:val="36"/>
        </w:rPr>
        <w:t>涉</w:t>
      </w:r>
      <w:r>
        <w:rPr>
          <w:rFonts w:hint="eastAsia" w:asciiTheme="majorEastAsia" w:hAnsiTheme="majorEastAsia" w:eastAsiaTheme="majorEastAsia" w:cstheme="majorEastAsia"/>
          <w:b/>
          <w:bCs/>
          <w:color w:val="000000"/>
          <w:spacing w:val="10"/>
          <w:sz w:val="36"/>
          <w:szCs w:val="36"/>
          <w:lang w:val="en-US" w:eastAsia="zh-CN"/>
        </w:rPr>
        <w:t>企跨部门综合监管重点</w:t>
      </w:r>
      <w:r>
        <w:rPr>
          <w:rFonts w:hint="eastAsia" w:asciiTheme="majorEastAsia" w:hAnsiTheme="majorEastAsia" w:eastAsiaTheme="majorEastAsia" w:cstheme="majorEastAsia"/>
          <w:b/>
          <w:bCs/>
          <w:color w:val="000000"/>
          <w:spacing w:val="10"/>
          <w:sz w:val="36"/>
          <w:szCs w:val="36"/>
        </w:rPr>
        <w:t>事项清单</w:t>
      </w:r>
    </w:p>
    <w:p w14:paraId="2E60F46C">
      <w:pPr>
        <w:pStyle w:val="3"/>
        <w:widowControl/>
        <w:spacing w:before="0" w:beforeAutospacing="0" w:after="0" w:afterAutospacing="0"/>
        <w:ind w:firstLine="460" w:firstLineChars="200"/>
        <w:jc w:val="both"/>
        <w:rPr>
          <w:rFonts w:hint="eastAsia" w:ascii="宋体" w:hAnsi="宋体" w:eastAsia="宋体" w:cs="宋体"/>
          <w:b w:val="0"/>
          <w:bCs w:val="0"/>
          <w:color w:val="000000"/>
          <w:spacing w:val="10"/>
          <w:sz w:val="21"/>
          <w:szCs w:val="21"/>
          <w:lang w:val="en-US" w:eastAsia="zh-CN"/>
        </w:rPr>
      </w:pPr>
      <w:r>
        <w:rPr>
          <w:rFonts w:hint="eastAsia" w:ascii="宋体" w:hAnsi="宋体" w:eastAsia="宋体" w:cs="宋体"/>
          <w:b w:val="0"/>
          <w:bCs w:val="0"/>
          <w:color w:val="000000"/>
          <w:spacing w:val="10"/>
          <w:sz w:val="21"/>
          <w:szCs w:val="21"/>
          <w:lang w:val="en-US" w:eastAsia="zh-CN"/>
        </w:rPr>
        <w:t>填报单位：（盖章）溆浦县林业局                联系人及联系电话：舒满香13037451158</w:t>
      </w:r>
    </w:p>
    <w:tbl>
      <w:tblPr>
        <w:tblStyle w:val="5"/>
        <w:tblW w:w="14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47"/>
        <w:gridCol w:w="315"/>
        <w:gridCol w:w="7473"/>
        <w:gridCol w:w="590"/>
        <w:gridCol w:w="925"/>
        <w:gridCol w:w="1989"/>
        <w:gridCol w:w="725"/>
        <w:gridCol w:w="657"/>
        <w:gridCol w:w="908"/>
      </w:tblGrid>
      <w:tr w14:paraId="2452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551C8BA0">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序号</w:t>
            </w:r>
          </w:p>
        </w:tc>
        <w:tc>
          <w:tcPr>
            <w:tcW w:w="747" w:type="dxa"/>
            <w:tcBorders>
              <w:top w:val="single" w:color="auto" w:sz="4" w:space="0"/>
              <w:left w:val="single" w:color="auto" w:sz="4" w:space="0"/>
              <w:bottom w:val="single" w:color="auto" w:sz="4" w:space="0"/>
              <w:right w:val="single" w:color="auto" w:sz="4" w:space="0"/>
            </w:tcBorders>
            <w:vAlign w:val="center"/>
          </w:tcPr>
          <w:p w14:paraId="3DFBFB44">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检查事项</w:t>
            </w:r>
          </w:p>
        </w:tc>
        <w:tc>
          <w:tcPr>
            <w:tcW w:w="315" w:type="dxa"/>
            <w:tcBorders>
              <w:top w:val="single" w:color="auto" w:sz="4" w:space="0"/>
              <w:left w:val="single" w:color="auto" w:sz="4" w:space="0"/>
              <w:bottom w:val="single" w:color="auto" w:sz="4" w:space="0"/>
              <w:right w:val="single" w:color="auto" w:sz="4" w:space="0"/>
            </w:tcBorders>
            <w:vAlign w:val="center"/>
          </w:tcPr>
          <w:p w14:paraId="7362E652">
            <w:pPr>
              <w:widowControl/>
              <w:autoSpaceDE w:val="0"/>
              <w:spacing w:line="24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检查主体</w:t>
            </w:r>
          </w:p>
        </w:tc>
        <w:tc>
          <w:tcPr>
            <w:tcW w:w="7473" w:type="dxa"/>
            <w:tcBorders>
              <w:top w:val="single" w:color="auto" w:sz="4" w:space="0"/>
              <w:left w:val="single" w:color="auto" w:sz="4" w:space="0"/>
              <w:bottom w:val="single" w:color="auto" w:sz="4" w:space="0"/>
              <w:right w:val="single" w:color="auto" w:sz="4" w:space="0"/>
            </w:tcBorders>
            <w:vAlign w:val="center"/>
          </w:tcPr>
          <w:p w14:paraId="6E153C00">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实施依据</w:t>
            </w:r>
          </w:p>
        </w:tc>
        <w:tc>
          <w:tcPr>
            <w:tcW w:w="590" w:type="dxa"/>
            <w:tcBorders>
              <w:top w:val="single" w:color="auto" w:sz="4" w:space="0"/>
              <w:left w:val="single" w:color="auto" w:sz="4" w:space="0"/>
              <w:bottom w:val="single" w:color="auto" w:sz="4" w:space="0"/>
              <w:right w:val="single" w:color="auto" w:sz="4" w:space="0"/>
            </w:tcBorders>
            <w:vAlign w:val="center"/>
          </w:tcPr>
          <w:p w14:paraId="5E7D4693">
            <w:pPr>
              <w:widowControl/>
              <w:autoSpaceDE w:val="0"/>
              <w:spacing w:line="24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承办机构</w:t>
            </w:r>
          </w:p>
        </w:tc>
        <w:tc>
          <w:tcPr>
            <w:tcW w:w="925" w:type="dxa"/>
            <w:tcBorders>
              <w:top w:val="single" w:color="auto" w:sz="4" w:space="0"/>
              <w:left w:val="single" w:color="auto" w:sz="4" w:space="0"/>
              <w:bottom w:val="single" w:color="auto" w:sz="4" w:space="0"/>
              <w:right w:val="single" w:color="auto" w:sz="4" w:space="0"/>
            </w:tcBorders>
            <w:vAlign w:val="center"/>
          </w:tcPr>
          <w:p w14:paraId="0B4AF972">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检查</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对象</w:t>
            </w:r>
          </w:p>
        </w:tc>
        <w:tc>
          <w:tcPr>
            <w:tcW w:w="1989" w:type="dxa"/>
            <w:tcBorders>
              <w:top w:val="single" w:color="auto" w:sz="4" w:space="0"/>
              <w:left w:val="single" w:color="auto" w:sz="4" w:space="0"/>
              <w:bottom w:val="single" w:color="auto" w:sz="4" w:space="0"/>
              <w:right w:val="single" w:color="auto" w:sz="4" w:space="0"/>
            </w:tcBorders>
            <w:vAlign w:val="center"/>
          </w:tcPr>
          <w:p w14:paraId="77239A1E">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检查内容</w:t>
            </w:r>
          </w:p>
        </w:tc>
        <w:tc>
          <w:tcPr>
            <w:tcW w:w="725" w:type="dxa"/>
            <w:tcBorders>
              <w:top w:val="single" w:color="auto" w:sz="4" w:space="0"/>
              <w:left w:val="single" w:color="auto" w:sz="4" w:space="0"/>
              <w:bottom w:val="single" w:color="auto" w:sz="4" w:space="0"/>
              <w:right w:val="single" w:color="auto" w:sz="4" w:space="0"/>
            </w:tcBorders>
            <w:vAlign w:val="center"/>
          </w:tcPr>
          <w:p w14:paraId="1FBCA907">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检查方式</w:t>
            </w:r>
          </w:p>
        </w:tc>
        <w:tc>
          <w:tcPr>
            <w:tcW w:w="657" w:type="dxa"/>
            <w:tcBorders>
              <w:top w:val="single" w:color="auto" w:sz="4" w:space="0"/>
              <w:left w:val="single" w:color="auto" w:sz="4" w:space="0"/>
              <w:bottom w:val="single" w:color="auto" w:sz="4" w:space="0"/>
              <w:right w:val="single" w:color="auto" w:sz="4" w:space="0"/>
            </w:tcBorders>
            <w:vAlign w:val="center"/>
          </w:tcPr>
          <w:p w14:paraId="7353D7D3">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检查频次</w:t>
            </w:r>
          </w:p>
        </w:tc>
        <w:tc>
          <w:tcPr>
            <w:tcW w:w="908" w:type="dxa"/>
            <w:tcBorders>
              <w:top w:val="single" w:color="auto" w:sz="4" w:space="0"/>
              <w:left w:val="single" w:color="auto" w:sz="4" w:space="0"/>
              <w:bottom w:val="single" w:color="auto" w:sz="4" w:space="0"/>
              <w:right w:val="single" w:color="auto" w:sz="4" w:space="0"/>
            </w:tcBorders>
            <w:vAlign w:val="center"/>
          </w:tcPr>
          <w:p w14:paraId="318A65E9">
            <w:pPr>
              <w:widowControl/>
              <w:autoSpaceDE w:val="0"/>
              <w:spacing w:line="240" w:lineRule="exact"/>
              <w:ind w:left="178" w:leftChars="85" w:right="735" w:rightChars="350" w:firstLine="0" w:firstLineChars="0"/>
              <w:jc w:val="both"/>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rPr>
              <w:t>备</w:t>
            </w:r>
            <w:r>
              <w:rPr>
                <w:rFonts w:hint="eastAsia" w:ascii="宋体" w:hAnsi="宋体" w:eastAsia="宋体" w:cs="宋体"/>
                <w:color w:val="000000"/>
                <w:kern w:val="0"/>
                <w:sz w:val="21"/>
                <w:szCs w:val="21"/>
              </w:rPr>
              <w:t>注</w:t>
            </w:r>
          </w:p>
        </w:tc>
      </w:tr>
      <w:tr w14:paraId="27A8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vAlign w:val="center"/>
          </w:tcPr>
          <w:p w14:paraId="78EA0ABF">
            <w:pPr>
              <w:widowControl/>
              <w:autoSpaceDE w:val="0"/>
              <w:spacing w:line="240" w:lineRule="exact"/>
              <w:jc w:val="center"/>
              <w:textAlignment w:val="center"/>
              <w:rPr>
                <w:rFonts w:hint="eastAsia" w:ascii="宋体" w:hAnsi="宋体" w:eastAsia="宋体" w:cs="宋体"/>
                <w:kern w:val="2"/>
                <w:sz w:val="21"/>
                <w:szCs w:val="21"/>
                <w:lang w:val="en-US" w:eastAsia="zh-CN"/>
              </w:rPr>
            </w:pPr>
            <w:r>
              <w:rPr>
                <w:rFonts w:hint="eastAsia" w:ascii="宋体" w:hAnsi="宋体" w:eastAsia="宋体" w:cs="宋体"/>
                <w:color w:val="000000"/>
                <w:kern w:val="0"/>
                <w:sz w:val="21"/>
                <w:szCs w:val="21"/>
                <w:lang w:val="en-US" w:eastAsia="zh-CN"/>
              </w:rPr>
              <w:t>01</w:t>
            </w:r>
          </w:p>
        </w:tc>
        <w:tc>
          <w:tcPr>
            <w:tcW w:w="747" w:type="dxa"/>
            <w:tcBorders>
              <w:top w:val="single" w:color="auto" w:sz="4" w:space="0"/>
              <w:left w:val="single" w:color="auto" w:sz="4" w:space="0"/>
              <w:bottom w:val="single" w:color="auto" w:sz="4" w:space="0"/>
              <w:right w:val="single" w:color="auto" w:sz="4" w:space="0"/>
            </w:tcBorders>
            <w:vAlign w:val="center"/>
          </w:tcPr>
          <w:p w14:paraId="058B8600">
            <w:pPr>
              <w:widowControl/>
              <w:autoSpaceDE w:val="0"/>
              <w:spacing w:line="240" w:lineRule="exact"/>
              <w:jc w:val="left"/>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对涉松木加工、运输和使用单位的检查</w:t>
            </w:r>
          </w:p>
        </w:tc>
        <w:tc>
          <w:tcPr>
            <w:tcW w:w="315" w:type="dxa"/>
            <w:tcBorders>
              <w:top w:val="single" w:color="auto" w:sz="4" w:space="0"/>
              <w:left w:val="single" w:color="auto" w:sz="4" w:space="0"/>
              <w:bottom w:val="single" w:color="auto" w:sz="4" w:space="0"/>
              <w:right w:val="single" w:color="auto" w:sz="4" w:space="0"/>
            </w:tcBorders>
            <w:vAlign w:val="center"/>
          </w:tcPr>
          <w:p w14:paraId="1D2696E2">
            <w:pPr>
              <w:widowControl/>
              <w:autoSpaceDE w:val="0"/>
              <w:spacing w:line="2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溆浦县林业局</w:t>
            </w:r>
          </w:p>
        </w:tc>
        <w:tc>
          <w:tcPr>
            <w:tcW w:w="7473" w:type="dxa"/>
            <w:tcBorders>
              <w:top w:val="single" w:color="auto" w:sz="4" w:space="0"/>
              <w:left w:val="single" w:color="auto" w:sz="4" w:space="0"/>
              <w:bottom w:val="single" w:color="auto" w:sz="4" w:space="0"/>
              <w:right w:val="single" w:color="auto" w:sz="4" w:space="0"/>
            </w:tcBorders>
            <w:vAlign w:val="center"/>
          </w:tcPr>
          <w:p w14:paraId="623C9695">
            <w:pPr>
              <w:widowControl/>
              <w:autoSpaceDE w:val="0"/>
              <w:spacing w:line="240" w:lineRule="exact"/>
              <w:jc w:val="left"/>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1.</w:t>
            </w:r>
            <w:r>
              <w:rPr>
                <w:rStyle w:val="9"/>
                <w:rFonts w:hint="eastAsia" w:ascii="宋体" w:hAnsi="宋体" w:eastAsia="宋体" w:cs="宋体"/>
                <w:kern w:val="0"/>
                <w:sz w:val="21"/>
                <w:szCs w:val="21"/>
              </w:rPr>
              <w:t>《植物检疫条例》第三条：</w:t>
            </w:r>
            <w:r>
              <w:rPr>
                <w:rStyle w:val="8"/>
                <w:rFonts w:hint="eastAsia" w:ascii="宋体" w:hAnsi="宋体" w:eastAsia="宋体" w:cs="宋体"/>
                <w:b w:val="0"/>
                <w:bCs w:val="0"/>
                <w:kern w:val="0"/>
                <w:sz w:val="21"/>
                <w:szCs w:val="21"/>
              </w:rPr>
              <w:t>县级以上地方各级农业主管部门、林业主管部门所属的植物检疫机构，负责执行国家的植物检疫任务。</w:t>
            </w:r>
            <w:r>
              <w:rPr>
                <w:rStyle w:val="9"/>
                <w:rFonts w:hint="eastAsia" w:ascii="宋体" w:hAnsi="宋体" w:eastAsia="宋体" w:cs="宋体"/>
                <w:kern w:val="0"/>
                <w:sz w:val="21"/>
                <w:szCs w:val="21"/>
              </w:rPr>
              <w:t>植物检疫人员进入车站、机场、港口、仓库以及其他有关场所执行植物检疫任务，应穿着检疫制服和佩带检疫标志。</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 xml:space="preserve">    </w:t>
            </w:r>
            <w:r>
              <w:rPr>
                <w:rStyle w:val="9"/>
                <w:rFonts w:hint="eastAsia" w:ascii="宋体" w:hAnsi="宋体" w:eastAsia="宋体" w:cs="宋体"/>
                <w:kern w:val="0"/>
                <w:sz w:val="21"/>
                <w:szCs w:val="21"/>
              </w:rPr>
              <w:t>第五条第三款</w:t>
            </w:r>
            <w:r>
              <w:rPr>
                <w:rStyle w:val="10"/>
                <w:rFonts w:hint="eastAsia" w:ascii="宋体" w:hAnsi="宋体" w:eastAsia="宋体" w:cs="宋体"/>
                <w:kern w:val="0"/>
                <w:sz w:val="21"/>
                <w:szCs w:val="21"/>
              </w:rPr>
              <w:t xml:space="preserve"> </w:t>
            </w:r>
            <w:r>
              <w:rPr>
                <w:rStyle w:val="8"/>
                <w:rFonts w:hint="eastAsia" w:ascii="宋体" w:hAnsi="宋体" w:eastAsia="宋体" w:cs="宋体"/>
                <w:b w:val="0"/>
                <w:bCs w:val="0"/>
                <w:kern w:val="0"/>
                <w:sz w:val="21"/>
                <w:szCs w:val="21"/>
              </w:rPr>
              <w:t>在发生疫情的地区，植物检疫机构可以派人参加当地的道路联合检查站或者木材检查站</w:t>
            </w:r>
            <w:r>
              <w:rPr>
                <w:rStyle w:val="9"/>
                <w:rFonts w:hint="eastAsia" w:ascii="宋体" w:hAnsi="宋体" w:eastAsia="宋体" w:cs="宋体"/>
                <w:kern w:val="0"/>
                <w:sz w:val="21"/>
                <w:szCs w:val="21"/>
              </w:rPr>
              <w:t>。</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2.</w:t>
            </w:r>
            <w:r>
              <w:rPr>
                <w:rStyle w:val="9"/>
                <w:rFonts w:hint="eastAsia" w:ascii="宋体" w:hAnsi="宋体" w:eastAsia="宋体" w:cs="宋体"/>
                <w:kern w:val="0"/>
                <w:sz w:val="21"/>
                <w:szCs w:val="21"/>
              </w:rPr>
              <w:t>《植物检疫条例实施细则（林业部分）》（林业部令第4号发布，国家林业令第26号修改）第二条第二款：县级以上地方林业主管部门应当建立健全森检机构，由其负责执行本地区的森检任务。</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 xml:space="preserve">    </w:t>
            </w:r>
            <w:r>
              <w:rPr>
                <w:rStyle w:val="9"/>
                <w:rFonts w:hint="eastAsia" w:ascii="宋体" w:hAnsi="宋体" w:eastAsia="宋体" w:cs="宋体"/>
                <w:kern w:val="0"/>
                <w:sz w:val="21"/>
                <w:szCs w:val="21"/>
              </w:rPr>
              <w:t>第五条</w:t>
            </w:r>
            <w:r>
              <w:rPr>
                <w:rStyle w:val="11"/>
                <w:rFonts w:hint="eastAsia" w:ascii="宋体" w:hAnsi="宋体" w:eastAsia="宋体" w:cs="宋体"/>
                <w:kern w:val="0"/>
                <w:sz w:val="21"/>
                <w:szCs w:val="21"/>
              </w:rPr>
              <w:t>：</w:t>
            </w:r>
            <w:r>
              <w:rPr>
                <w:rStyle w:val="9"/>
                <w:rFonts w:hint="eastAsia" w:ascii="宋体" w:hAnsi="宋体" w:eastAsia="宋体" w:cs="宋体"/>
                <w:kern w:val="0"/>
                <w:sz w:val="21"/>
                <w:szCs w:val="21"/>
              </w:rPr>
              <w:t>森检人员在执行森检任务时有权行使下列职权：进入车站、机场、港口、仓库和森林植物及其产品的生产、经营、存放等场所，依照规定实施现场检疫或者复检、查验植物检疫证书和进行疫情监测调查；</w:t>
            </w:r>
            <w:r>
              <w:rPr>
                <w:rStyle w:val="8"/>
                <w:rFonts w:hint="eastAsia" w:ascii="宋体" w:hAnsi="宋体" w:eastAsia="宋体" w:cs="宋体"/>
                <w:b w:val="0"/>
                <w:bCs w:val="0"/>
                <w:kern w:val="0"/>
                <w:sz w:val="21"/>
                <w:szCs w:val="21"/>
              </w:rPr>
              <w:t>依法监督有关单位或者个人进行消毒处理、除害处理、隔离试种和采取封锁、消灭等措施；</w:t>
            </w:r>
            <w:r>
              <w:rPr>
                <w:rStyle w:val="9"/>
                <w:rFonts w:hint="eastAsia" w:ascii="宋体" w:hAnsi="宋体" w:eastAsia="宋体" w:cs="宋体"/>
                <w:kern w:val="0"/>
                <w:sz w:val="21"/>
                <w:szCs w:val="21"/>
              </w:rPr>
              <w:t>依法查阅、摘录或者复制与森检工作有关的资料，收集证据。</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 xml:space="preserve">    </w:t>
            </w:r>
            <w:r>
              <w:rPr>
                <w:rStyle w:val="9"/>
                <w:rFonts w:hint="eastAsia" w:ascii="宋体" w:hAnsi="宋体" w:eastAsia="宋体" w:cs="宋体"/>
                <w:kern w:val="0"/>
                <w:sz w:val="21"/>
                <w:szCs w:val="21"/>
              </w:rPr>
              <w:t>第六条：应施检疫的森林植物及其产品包括：</w:t>
            </w:r>
            <w:r>
              <w:rPr>
                <w:rStyle w:val="10"/>
                <w:rFonts w:hint="eastAsia" w:ascii="宋体" w:hAnsi="宋体" w:eastAsia="宋体" w:cs="宋体"/>
                <w:kern w:val="0"/>
                <w:sz w:val="21"/>
                <w:szCs w:val="21"/>
              </w:rPr>
              <w:t>…</w:t>
            </w:r>
            <w:r>
              <w:rPr>
                <w:rStyle w:val="8"/>
                <w:rFonts w:hint="eastAsia" w:ascii="宋体" w:hAnsi="宋体" w:eastAsia="宋体" w:cs="宋体"/>
                <w:b w:val="0"/>
                <w:bCs w:val="0"/>
                <w:kern w:val="0"/>
                <w:sz w:val="21"/>
                <w:szCs w:val="21"/>
              </w:rPr>
              <w:t>木材</w:t>
            </w:r>
            <w:r>
              <w:rPr>
                <w:rStyle w:val="9"/>
                <w:rFonts w:hint="eastAsia" w:ascii="宋体" w:hAnsi="宋体" w:eastAsia="宋体" w:cs="宋体"/>
                <w:kern w:val="0"/>
                <w:sz w:val="21"/>
                <w:szCs w:val="21"/>
              </w:rPr>
              <w:t>、竹材、药材、果品、盆景和其他林产品。</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3.</w:t>
            </w:r>
            <w:r>
              <w:rPr>
                <w:rStyle w:val="9"/>
                <w:rFonts w:hint="eastAsia" w:ascii="宋体" w:hAnsi="宋体" w:eastAsia="宋体" w:cs="宋体"/>
                <w:kern w:val="0"/>
                <w:sz w:val="21"/>
                <w:szCs w:val="21"/>
              </w:rPr>
              <w:t>《湖南省林业有害生物防治检疫条例》第二十二条：</w:t>
            </w:r>
            <w:r>
              <w:rPr>
                <w:rStyle w:val="8"/>
                <w:rFonts w:hint="eastAsia" w:ascii="宋体" w:hAnsi="宋体" w:eastAsia="宋体" w:cs="宋体"/>
                <w:b w:val="0"/>
                <w:bCs w:val="0"/>
                <w:kern w:val="0"/>
                <w:sz w:val="21"/>
                <w:szCs w:val="21"/>
              </w:rPr>
              <w:t>森林植物检疫员经所属林业主管部门负责人批准，在执行任务时可以进入森林植物及其产品的生产、经营、存放场所，依法实施现场检疫或者复检，查验检疫证书并开展疫情调查；</w:t>
            </w:r>
            <w:r>
              <w:rPr>
                <w:rStyle w:val="9"/>
                <w:rFonts w:hint="eastAsia" w:ascii="宋体" w:hAnsi="宋体" w:eastAsia="宋体" w:cs="宋体"/>
                <w:kern w:val="0"/>
                <w:sz w:val="21"/>
                <w:szCs w:val="21"/>
              </w:rPr>
              <w:t>监督有关单位或者个人对林业有害生物进行消毒处理、除害处理、隔离试种和采取封锁、消灭等措施：查阅、摘录或者复制与检疫工作有关的资料，收集证据。</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4.</w:t>
            </w:r>
            <w:r>
              <w:rPr>
                <w:rStyle w:val="9"/>
                <w:rFonts w:hint="eastAsia" w:ascii="宋体" w:hAnsi="宋体" w:eastAsia="宋体" w:cs="宋体"/>
                <w:kern w:val="0"/>
                <w:sz w:val="21"/>
                <w:szCs w:val="21"/>
              </w:rPr>
              <w:t>《湖南省外来物种管理条例》第二十九条：县级以上人民政府农业、林业、卫生等行政主管部门对外来物种进行监督检查，可以依法行使下列职权：</w:t>
            </w:r>
            <w:r>
              <w:rPr>
                <w:rStyle w:val="8"/>
                <w:rFonts w:hint="eastAsia" w:ascii="宋体" w:hAnsi="宋体" w:eastAsia="宋体" w:cs="宋体"/>
                <w:b w:val="0"/>
                <w:bCs w:val="0"/>
                <w:kern w:val="0"/>
                <w:sz w:val="21"/>
                <w:szCs w:val="21"/>
              </w:rPr>
              <w:t>进入生产经营场所或者其他有关场所进行检查；</w:t>
            </w:r>
            <w:r>
              <w:rPr>
                <w:rStyle w:val="9"/>
                <w:rFonts w:hint="eastAsia" w:ascii="宋体" w:hAnsi="宋体" w:eastAsia="宋体" w:cs="宋体"/>
                <w:kern w:val="0"/>
                <w:sz w:val="21"/>
                <w:szCs w:val="21"/>
              </w:rPr>
              <w:t>询问被检查人，并要求其提供与外来物种有关的证明材料或者其他资料；</w:t>
            </w:r>
            <w:r>
              <w:rPr>
                <w:rStyle w:val="10"/>
                <w:rFonts w:hint="eastAsia" w:ascii="宋体" w:hAnsi="宋体" w:eastAsia="宋体" w:cs="宋体"/>
                <w:kern w:val="0"/>
                <w:sz w:val="21"/>
                <w:szCs w:val="21"/>
              </w:rPr>
              <w:t>……</w:t>
            </w:r>
            <w:r>
              <w:rPr>
                <w:rStyle w:val="9"/>
                <w:rFonts w:hint="eastAsia" w:ascii="宋体" w:hAnsi="宋体" w:eastAsia="宋体" w:cs="宋体"/>
                <w:kern w:val="0"/>
                <w:sz w:val="21"/>
                <w:szCs w:val="21"/>
              </w:rPr>
              <w:t>。</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5.</w:t>
            </w:r>
            <w:r>
              <w:rPr>
                <w:rStyle w:val="9"/>
                <w:rFonts w:hint="eastAsia" w:ascii="宋体" w:hAnsi="宋体" w:eastAsia="宋体" w:cs="宋体"/>
                <w:kern w:val="0"/>
                <w:sz w:val="21"/>
                <w:szCs w:val="21"/>
              </w:rPr>
              <w:t>《松材线虫病疫区和疫木管理办法》（林生发〔2018〕117号）第五条：</w:t>
            </w:r>
            <w:r>
              <w:rPr>
                <w:rStyle w:val="10"/>
                <w:rFonts w:hint="eastAsia" w:ascii="宋体" w:hAnsi="宋体" w:eastAsia="宋体" w:cs="宋体"/>
                <w:kern w:val="0"/>
                <w:sz w:val="21"/>
                <w:szCs w:val="21"/>
              </w:rPr>
              <w:t xml:space="preserve"> ……</w:t>
            </w:r>
            <w:r>
              <w:rPr>
                <w:rStyle w:val="12"/>
                <w:rFonts w:hint="eastAsia" w:ascii="宋体" w:hAnsi="宋体" w:eastAsia="宋体" w:cs="宋体"/>
                <w:kern w:val="0"/>
                <w:sz w:val="21"/>
                <w:szCs w:val="21"/>
              </w:rPr>
              <w:t>。</w:t>
            </w:r>
            <w:r>
              <w:rPr>
                <w:rStyle w:val="8"/>
                <w:rFonts w:hint="eastAsia" w:ascii="宋体" w:hAnsi="宋体" w:eastAsia="宋体" w:cs="宋体"/>
                <w:b w:val="0"/>
                <w:bCs w:val="0"/>
                <w:kern w:val="0"/>
                <w:sz w:val="21"/>
                <w:szCs w:val="21"/>
              </w:rPr>
              <w:t>加强社会化防治组织的监督和管理</w:t>
            </w:r>
            <w:r>
              <w:rPr>
                <w:rStyle w:val="9"/>
                <w:rFonts w:hint="eastAsia" w:ascii="宋体" w:hAnsi="宋体" w:eastAsia="宋体" w:cs="宋体"/>
                <w:kern w:val="0"/>
                <w:sz w:val="21"/>
                <w:szCs w:val="21"/>
              </w:rPr>
              <w:t>，规范防治市场，确保按照有关规定和技术标准开展防治工作。</w:t>
            </w:r>
            <w:r>
              <w:rPr>
                <w:rFonts w:hint="eastAsia" w:ascii="宋体" w:hAnsi="宋体" w:eastAsia="宋体" w:cs="宋体"/>
                <w:color w:val="000000"/>
                <w:kern w:val="0"/>
                <w:sz w:val="21"/>
                <w:szCs w:val="21"/>
              </w:rPr>
              <w:br w:type="textWrapping"/>
            </w:r>
            <w:r>
              <w:rPr>
                <w:rStyle w:val="10"/>
                <w:rFonts w:hint="eastAsia" w:ascii="宋体" w:hAnsi="宋体" w:eastAsia="宋体" w:cs="宋体"/>
                <w:kern w:val="0"/>
                <w:sz w:val="21"/>
                <w:szCs w:val="21"/>
              </w:rPr>
              <w:t xml:space="preserve">    </w:t>
            </w:r>
            <w:r>
              <w:rPr>
                <w:rStyle w:val="9"/>
                <w:rFonts w:hint="eastAsia" w:ascii="宋体" w:hAnsi="宋体" w:eastAsia="宋体" w:cs="宋体"/>
                <w:kern w:val="0"/>
                <w:sz w:val="21"/>
                <w:szCs w:val="21"/>
              </w:rPr>
              <w:t>第十七条：县级林业主管部门应当制定疫木粉碎物（削片）利用监管方案，实行全过程监管，每季度向上级林业主管部门报告监管情况。</w:t>
            </w:r>
            <w:r>
              <w:rPr>
                <w:rStyle w:val="8"/>
                <w:rFonts w:hint="eastAsia" w:ascii="宋体" w:hAnsi="宋体" w:eastAsia="宋体" w:cs="宋体"/>
                <w:b w:val="0"/>
                <w:bCs w:val="0"/>
                <w:kern w:val="0"/>
                <w:sz w:val="21"/>
                <w:szCs w:val="21"/>
              </w:rPr>
              <w:t>省、市级林业主管部门应当定期开展督导检查。</w:t>
            </w:r>
            <w:r>
              <w:rPr>
                <w:rFonts w:hint="eastAsia" w:ascii="宋体" w:hAnsi="宋体" w:eastAsia="宋体" w:cs="宋体"/>
                <w:color w:val="000000"/>
                <w:kern w:val="0"/>
                <w:sz w:val="21"/>
                <w:szCs w:val="21"/>
              </w:rPr>
              <w:br w:type="textWrapping"/>
            </w:r>
            <w:r>
              <w:rPr>
                <w:rStyle w:val="13"/>
                <w:rFonts w:hint="eastAsia" w:ascii="宋体" w:hAnsi="宋体" w:eastAsia="宋体" w:cs="宋体"/>
                <w:b w:val="0"/>
                <w:bCs w:val="0"/>
                <w:kern w:val="0"/>
                <w:sz w:val="21"/>
                <w:szCs w:val="21"/>
              </w:rPr>
              <w:t xml:space="preserve"> </w:t>
            </w:r>
            <w:r>
              <w:rPr>
                <w:rStyle w:val="10"/>
                <w:rFonts w:hint="eastAsia" w:ascii="宋体" w:hAnsi="宋体" w:eastAsia="宋体" w:cs="宋体"/>
                <w:kern w:val="0"/>
                <w:sz w:val="21"/>
                <w:szCs w:val="21"/>
              </w:rPr>
              <w:t xml:space="preserve">   </w:t>
            </w:r>
            <w:r>
              <w:rPr>
                <w:rStyle w:val="9"/>
                <w:rFonts w:hint="eastAsia" w:ascii="宋体" w:hAnsi="宋体" w:eastAsia="宋体" w:cs="宋体"/>
                <w:kern w:val="0"/>
                <w:sz w:val="21"/>
                <w:szCs w:val="21"/>
              </w:rPr>
              <w:t>第十八条：林业植物检疫机构应当加强检疫执法，建立和完善检疫备案制度，</w:t>
            </w:r>
            <w:r>
              <w:rPr>
                <w:rStyle w:val="8"/>
                <w:rFonts w:hint="eastAsia" w:ascii="宋体" w:hAnsi="宋体" w:eastAsia="宋体" w:cs="宋体"/>
                <w:b w:val="0"/>
                <w:bCs w:val="0"/>
                <w:kern w:val="0"/>
                <w:sz w:val="21"/>
                <w:szCs w:val="21"/>
              </w:rPr>
              <w:t>定期对辖区内涉木单位和个人开展检疫检查，严肃查处违法违规采伐、运输、经营、加工、利用、使用疫木及其制品行为。</w:t>
            </w:r>
            <w:r>
              <w:rPr>
                <w:rStyle w:val="9"/>
                <w:rFonts w:hint="eastAsia" w:ascii="宋体" w:hAnsi="宋体" w:eastAsia="宋体" w:cs="宋体"/>
                <w:kern w:val="0"/>
                <w:sz w:val="21"/>
                <w:szCs w:val="21"/>
              </w:rPr>
              <w:t>林业植物检疫机构在检疫检查过程中查获的疫木及其制品，应当采取销毁方式依法就地处理。</w:t>
            </w:r>
          </w:p>
        </w:tc>
        <w:tc>
          <w:tcPr>
            <w:tcW w:w="590" w:type="dxa"/>
            <w:tcBorders>
              <w:top w:val="single" w:color="auto" w:sz="4" w:space="0"/>
              <w:left w:val="single" w:color="auto" w:sz="4" w:space="0"/>
              <w:bottom w:val="single" w:color="auto" w:sz="4" w:space="0"/>
              <w:right w:val="single" w:color="auto" w:sz="4" w:space="0"/>
            </w:tcBorders>
            <w:vAlign w:val="center"/>
          </w:tcPr>
          <w:p w14:paraId="7C40F551">
            <w:pPr>
              <w:widowControl/>
              <w:autoSpaceDE w:val="0"/>
              <w:spacing w:line="2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森林资源保护中心</w:t>
            </w:r>
          </w:p>
        </w:tc>
        <w:tc>
          <w:tcPr>
            <w:tcW w:w="925" w:type="dxa"/>
            <w:tcBorders>
              <w:top w:val="single" w:color="auto" w:sz="4" w:space="0"/>
              <w:left w:val="single" w:color="auto" w:sz="4" w:space="0"/>
              <w:bottom w:val="single" w:color="auto" w:sz="4" w:space="0"/>
              <w:right w:val="single" w:color="auto" w:sz="4" w:space="0"/>
            </w:tcBorders>
            <w:vAlign w:val="center"/>
          </w:tcPr>
          <w:p w14:paraId="2EDBF3AA">
            <w:pPr>
              <w:widowControl/>
              <w:autoSpaceDE w:val="0"/>
              <w:spacing w:line="240" w:lineRule="exact"/>
              <w:jc w:val="left"/>
              <w:textAlignment w:val="center"/>
              <w:rPr>
                <w:rFonts w:hint="eastAsia" w:ascii="宋体" w:hAnsi="宋体" w:eastAsia="宋体" w:cs="宋体"/>
                <w:kern w:val="2"/>
                <w:sz w:val="21"/>
                <w:szCs w:val="21"/>
              </w:rPr>
            </w:pPr>
            <w:r>
              <w:rPr>
                <w:rFonts w:hint="eastAsia" w:ascii="宋体" w:hAnsi="宋体" w:eastAsia="宋体" w:cs="宋体"/>
                <w:i w:val="0"/>
                <w:iCs w:val="0"/>
                <w:color w:val="000000"/>
                <w:kern w:val="0"/>
                <w:sz w:val="21"/>
                <w:szCs w:val="21"/>
                <w:u w:val="none"/>
                <w:lang w:val="en-US" w:eastAsia="zh-CN" w:bidi="ar"/>
              </w:rPr>
              <w:t>全县松木加工、运输和使用单位共3家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抽查比</w:t>
            </w:r>
            <w:r>
              <w:rPr>
                <w:rFonts w:hint="eastAsia" w:ascii="宋体" w:hAnsi="宋体" w:cs="宋体"/>
                <w:i w:val="0"/>
                <w:iCs w:val="0"/>
                <w:color w:val="000000"/>
                <w:kern w:val="0"/>
                <w:sz w:val="21"/>
                <w:szCs w:val="21"/>
                <w:u w:val="none"/>
                <w:lang w:val="en-US" w:eastAsia="zh-CN" w:bidi="ar"/>
              </w:rPr>
              <w:t>例</w:t>
            </w:r>
            <w:bookmarkStart w:id="0" w:name="_GoBack"/>
            <w:bookmarkEnd w:id="0"/>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989" w:type="dxa"/>
            <w:tcBorders>
              <w:top w:val="single" w:color="auto" w:sz="4" w:space="0"/>
              <w:left w:val="single" w:color="auto" w:sz="4" w:space="0"/>
              <w:bottom w:val="single" w:color="auto" w:sz="4" w:space="0"/>
              <w:right w:val="single" w:color="auto" w:sz="4" w:space="0"/>
            </w:tcBorders>
            <w:vAlign w:val="center"/>
          </w:tcPr>
          <w:p w14:paraId="6F873B80">
            <w:pPr>
              <w:widowControl/>
              <w:autoSpaceDE w:val="0"/>
              <w:spacing w:line="240" w:lineRule="exact"/>
              <w:jc w:val="left"/>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1、违规加工、经营和使用松木行为；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2、疫区电缆盘、光缆盘和松木包装材料；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3、《植物检疫证书》办理；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4、流通和使用松木及其产品的台账及有关资料等。</w:t>
            </w:r>
          </w:p>
        </w:tc>
        <w:tc>
          <w:tcPr>
            <w:tcW w:w="725" w:type="dxa"/>
            <w:tcBorders>
              <w:top w:val="single" w:color="auto" w:sz="4" w:space="0"/>
              <w:left w:val="single" w:color="auto" w:sz="4" w:space="0"/>
              <w:bottom w:val="single" w:color="auto" w:sz="4" w:space="0"/>
              <w:right w:val="single" w:color="auto" w:sz="4" w:space="0"/>
            </w:tcBorders>
            <w:vAlign w:val="center"/>
          </w:tcPr>
          <w:p w14:paraId="5DA42EEC">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color w:val="000000"/>
                <w:kern w:val="0"/>
                <w:sz w:val="21"/>
                <w:szCs w:val="21"/>
              </w:rPr>
              <w:t>现场检查</w:t>
            </w:r>
          </w:p>
        </w:tc>
        <w:tc>
          <w:tcPr>
            <w:tcW w:w="657" w:type="dxa"/>
            <w:tcBorders>
              <w:top w:val="single" w:color="auto" w:sz="4" w:space="0"/>
              <w:left w:val="single" w:color="auto" w:sz="4" w:space="0"/>
              <w:bottom w:val="single" w:color="auto" w:sz="4" w:space="0"/>
              <w:right w:val="single" w:color="auto" w:sz="4" w:space="0"/>
            </w:tcBorders>
            <w:vAlign w:val="center"/>
          </w:tcPr>
          <w:p w14:paraId="0A09B92A">
            <w:pPr>
              <w:widowControl/>
              <w:autoSpaceDE w:val="0"/>
              <w:spacing w:line="240" w:lineRule="exact"/>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按本单位每年3月底前报经同级司法行政部门备案审查的涉企年度行政检查计划执行</w:t>
            </w:r>
          </w:p>
        </w:tc>
        <w:tc>
          <w:tcPr>
            <w:tcW w:w="908" w:type="dxa"/>
            <w:tcBorders>
              <w:top w:val="single" w:color="auto" w:sz="4" w:space="0"/>
              <w:left w:val="single" w:color="auto" w:sz="4" w:space="0"/>
              <w:bottom w:val="single" w:color="auto" w:sz="4" w:space="0"/>
              <w:right w:val="single" w:color="auto" w:sz="4" w:space="0"/>
            </w:tcBorders>
            <w:vAlign w:val="center"/>
          </w:tcPr>
          <w:p w14:paraId="7CEB6872">
            <w:pPr>
              <w:widowControl/>
              <w:autoSpaceDE w:val="0"/>
              <w:spacing w:line="240" w:lineRule="exact"/>
              <w:jc w:val="left"/>
              <w:textAlignment w:val="center"/>
              <w:rPr>
                <w:rFonts w:hint="eastAsia" w:ascii="宋体" w:hAnsi="宋体" w:eastAsia="宋体" w:cs="宋体"/>
                <w:kern w:val="2"/>
                <w:sz w:val="21"/>
                <w:szCs w:val="21"/>
                <w:lang w:val="en-US" w:eastAsia="zh-CN"/>
              </w:rPr>
            </w:pPr>
            <w:r>
              <w:rPr>
                <w:rFonts w:hint="eastAsia" w:ascii="宋体" w:hAnsi="宋体" w:eastAsia="宋体" w:cs="宋体"/>
                <w:color w:val="000000"/>
                <w:kern w:val="0"/>
                <w:sz w:val="21"/>
                <w:szCs w:val="21"/>
                <w:lang w:val="en-US" w:eastAsia="zh-CN"/>
              </w:rPr>
              <w:t>涉企行政检查以属地管辖为原则，有重大影响或者跨县级区域的，由市级林业部门负责，有重大影响或者跨市级区域的，由省级林业部门负责。</w:t>
            </w:r>
          </w:p>
        </w:tc>
      </w:tr>
      <w:tr w14:paraId="2F20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147218F8">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02</w:t>
            </w:r>
          </w:p>
        </w:tc>
        <w:tc>
          <w:tcPr>
            <w:tcW w:w="747" w:type="dxa"/>
            <w:tcBorders>
              <w:top w:val="single" w:color="auto" w:sz="4" w:space="0"/>
              <w:left w:val="single" w:color="auto" w:sz="4" w:space="0"/>
              <w:bottom w:val="single" w:color="auto" w:sz="4" w:space="0"/>
              <w:right w:val="single" w:color="auto" w:sz="4" w:space="0"/>
            </w:tcBorders>
            <w:vAlign w:val="center"/>
          </w:tcPr>
          <w:p w14:paraId="4FE36461">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种苗质量监督检查（圃地苗木）</w:t>
            </w:r>
          </w:p>
        </w:tc>
        <w:tc>
          <w:tcPr>
            <w:tcW w:w="315" w:type="dxa"/>
            <w:tcBorders>
              <w:top w:val="single" w:color="auto" w:sz="4" w:space="0"/>
              <w:left w:val="single" w:color="auto" w:sz="4" w:space="0"/>
              <w:bottom w:val="single" w:color="auto" w:sz="4" w:space="0"/>
              <w:right w:val="single" w:color="auto" w:sz="4" w:space="0"/>
            </w:tcBorders>
            <w:vAlign w:val="center"/>
          </w:tcPr>
          <w:p w14:paraId="01153CBB">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溆浦县林业局</w:t>
            </w:r>
          </w:p>
        </w:tc>
        <w:tc>
          <w:tcPr>
            <w:tcW w:w="7473" w:type="dxa"/>
            <w:tcBorders>
              <w:top w:val="single" w:color="auto" w:sz="4" w:space="0"/>
              <w:left w:val="single" w:color="auto" w:sz="4" w:space="0"/>
              <w:bottom w:val="single" w:color="auto" w:sz="4" w:space="0"/>
              <w:right w:val="single" w:color="auto" w:sz="4" w:space="0"/>
            </w:tcBorders>
            <w:vAlign w:val="center"/>
          </w:tcPr>
          <w:p w14:paraId="45F1CDAC">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1.《中华人民共和国种子法》第四十六条：农业农村、林业草原主管部门应当加强对种子质量的监督检查。种子质量管理办法、行业标准和检验方法，由国务院农业农村、林业草原主管部门制定。</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2.《中华人民共和国种子法》第四十七条：农业农村、林业草原主管部门可以委托种子质量检验机构对种子质量进行检验。</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中华人民共和国种子法》第四十九条：农业农村、林业草原主管部门是种子行政执法机关。种子执法人员依法执行公务时应当出示行政执法证件。农业农村、林业草原主管部门依法履行种子监督检查职责时，有权采取下列措施：</w:t>
            </w:r>
          </w:p>
          <w:p w14:paraId="3F38BC90">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（一）进入生产经营场所进行现场检查；</w:t>
            </w:r>
          </w:p>
          <w:p w14:paraId="266AB90C">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（二）对种子进行取样测试、试验或者检验；</w:t>
            </w:r>
          </w:p>
          <w:p w14:paraId="6FB6E480">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（三）查阅、复制有关合同、票据、账簿、生产经营档案及其他有关资料；</w:t>
            </w:r>
          </w:p>
          <w:p w14:paraId="7C4B11B5">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（四）查封、扣押有证据证明违法生产经营的种子，以及用于违法生产经营的工具、设备及运输工具等；</w:t>
            </w:r>
          </w:p>
          <w:p w14:paraId="33CB95AB">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（五）查封违法从事种子生产经营活动的场所。</w:t>
            </w:r>
          </w:p>
          <w:p w14:paraId="24EB9686">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农业农村、林业草原主管部门依照本法规定行使职权，当事人应当协助、配合，不得拒绝、阻挠。</w:t>
            </w:r>
          </w:p>
          <w:p w14:paraId="3E5194AB">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农业农村、林业草原主管部门所属的综合执法机构或者受其委托的种子管理机构，可以开展种子执法相关工作。</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4.《中华人民共和国种子法》第九十一条第二款：草种、烟草种、中药材种、食用菌菌种的种质资源管理和选育、生产经营、管理等活动，参照本法执行。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5.《中华人民共和国草原法》第二十九条第三款：县级以上人民政府草原行政主管部门应当依法加强对草种生产、加工、检疫、检验的监督管理，保证草种质量。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6.《林木种子生产经营许可证管理办法》（国家林业局令第40号）第十九条  县级以上人民政府林业主管部门应当按照公开、公平、公正的原则，开展对生产经营者林木种子生产经营活动的监督检查，并将监督检查情况立卷、归档，实行动态监督管理。监督检查的主要内容包括：</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（一）开展林木种子生产经营活动情况。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（二）林木种子生产经营档案制度执行情况。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（三）生产经营的林木种子质量情况。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对监督检查中发现的问题，应当按照《中华人民共和国种子法》等规定予以处理。</w:t>
            </w:r>
          </w:p>
        </w:tc>
        <w:tc>
          <w:tcPr>
            <w:tcW w:w="590" w:type="dxa"/>
            <w:tcBorders>
              <w:top w:val="single" w:color="auto" w:sz="4" w:space="0"/>
              <w:left w:val="single" w:color="auto" w:sz="4" w:space="0"/>
              <w:bottom w:val="single" w:color="auto" w:sz="4" w:space="0"/>
              <w:right w:val="single" w:color="auto" w:sz="4" w:space="0"/>
            </w:tcBorders>
            <w:vAlign w:val="center"/>
          </w:tcPr>
          <w:p w14:paraId="6BCCB0E7">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溆浦县林业综合服务中心</w:t>
            </w:r>
          </w:p>
        </w:tc>
        <w:tc>
          <w:tcPr>
            <w:tcW w:w="925" w:type="dxa"/>
            <w:tcBorders>
              <w:top w:val="single" w:color="auto" w:sz="4" w:space="0"/>
              <w:left w:val="single" w:color="auto" w:sz="4" w:space="0"/>
              <w:bottom w:val="single" w:color="auto" w:sz="4" w:space="0"/>
              <w:right w:val="single" w:color="auto" w:sz="4" w:space="0"/>
            </w:tcBorders>
            <w:vAlign w:val="center"/>
          </w:tcPr>
          <w:p w14:paraId="0EBA4562">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1.溆浦县内所有油茶育苗单位（1个）</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2.主要造林树种育苗单位（16个）</w:t>
            </w:r>
            <w:r>
              <w:rPr>
                <w:rFonts w:hint="eastAsia" w:ascii="宋体" w:hAnsi="宋体" w:cs="宋体"/>
                <w:color w:val="000000"/>
                <w:kern w:val="0"/>
                <w:sz w:val="21"/>
                <w:szCs w:val="21"/>
                <w:lang w:val="en-US" w:eastAsia="zh-CN"/>
              </w:rPr>
              <w:t>共17个，</w:t>
            </w:r>
            <w:r>
              <w:rPr>
                <w:rFonts w:hint="eastAsia" w:ascii="宋体" w:hAnsi="宋体" w:eastAsia="宋体" w:cs="宋体"/>
                <w:color w:val="000000"/>
                <w:kern w:val="0"/>
                <w:sz w:val="21"/>
                <w:szCs w:val="21"/>
                <w:lang w:val="en-US" w:eastAsia="zh-CN"/>
              </w:rPr>
              <w:t>抽查比例20%。</w:t>
            </w:r>
          </w:p>
        </w:tc>
        <w:tc>
          <w:tcPr>
            <w:tcW w:w="1989" w:type="dxa"/>
            <w:tcBorders>
              <w:top w:val="single" w:color="auto" w:sz="4" w:space="0"/>
              <w:left w:val="single" w:color="auto" w:sz="4" w:space="0"/>
              <w:bottom w:val="single" w:color="auto" w:sz="4" w:space="0"/>
              <w:right w:val="single" w:color="auto" w:sz="4" w:space="0"/>
            </w:tcBorders>
            <w:vAlign w:val="center"/>
          </w:tcPr>
          <w:p w14:paraId="0C292F19">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1.开展林木种子生产经营活动情况监督检查，包括是否按生产经营许可证载明的生产经营种类、生产地点等开展生产经营活动、是否按要求使用苗木检验证、苗木标签、使用说明等；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xml:space="preserve">2.林木种子生产经营档案制度执行情况，包括是否按要求建立和保存生产经营档案和相关资料等； </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3.生产经营的种子质量监督检查，包括生产经营的种子质量是否符合相关国家、行业或地方标准。</w:t>
            </w:r>
          </w:p>
        </w:tc>
        <w:tc>
          <w:tcPr>
            <w:tcW w:w="725" w:type="dxa"/>
            <w:tcBorders>
              <w:top w:val="single" w:color="auto" w:sz="4" w:space="0"/>
              <w:left w:val="single" w:color="auto" w:sz="4" w:space="0"/>
              <w:bottom w:val="single" w:color="auto" w:sz="4" w:space="0"/>
              <w:right w:val="single" w:color="auto" w:sz="4" w:space="0"/>
            </w:tcBorders>
            <w:shd w:val="clear"/>
            <w:vAlign w:val="center"/>
          </w:tcPr>
          <w:p w14:paraId="129806E3">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现场检查</w:t>
            </w:r>
          </w:p>
        </w:tc>
        <w:tc>
          <w:tcPr>
            <w:tcW w:w="657" w:type="dxa"/>
            <w:tcBorders>
              <w:top w:val="single" w:color="auto" w:sz="4" w:space="0"/>
              <w:left w:val="single" w:color="auto" w:sz="4" w:space="0"/>
              <w:bottom w:val="single" w:color="auto" w:sz="4" w:space="0"/>
              <w:right w:val="single" w:color="auto" w:sz="4" w:space="0"/>
            </w:tcBorders>
            <w:shd w:val="clear"/>
            <w:vAlign w:val="center"/>
          </w:tcPr>
          <w:p w14:paraId="0887FB20">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按本单位每年3月底前报经同级司法行政部门备案审查的涉企年度行政检查计划执行</w:t>
            </w:r>
          </w:p>
        </w:tc>
        <w:tc>
          <w:tcPr>
            <w:tcW w:w="908" w:type="dxa"/>
            <w:tcBorders>
              <w:top w:val="single" w:color="auto" w:sz="4" w:space="0"/>
              <w:left w:val="single" w:color="auto" w:sz="4" w:space="0"/>
              <w:bottom w:val="single" w:color="auto" w:sz="4" w:space="0"/>
              <w:right w:val="single" w:color="auto" w:sz="4" w:space="0"/>
            </w:tcBorders>
            <w:shd w:val="clear"/>
            <w:vAlign w:val="center"/>
          </w:tcPr>
          <w:p w14:paraId="315D47D1">
            <w:pPr>
              <w:widowControl/>
              <w:autoSpaceDE w:val="0"/>
              <w:spacing w:line="240" w:lineRule="exact"/>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涉企行政检查以属地管辖为原则，有重大影响或者跨县级区域的，由市级林业部门负责，有重大影响或者跨市级区域的，由省级林业部门负责。</w:t>
            </w:r>
          </w:p>
        </w:tc>
      </w:tr>
    </w:tbl>
    <w:p w14:paraId="24A6BCCA">
      <w:pPr>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说明：对未列入本清单的涉企行政检查事项，本机关一律不得实施；违规实施的，企业有权拒绝检查，并可以向本机关行政执法监督机构（联系电话：14760722402电子邮箱：</w:t>
      </w:r>
      <w:r>
        <w:rPr>
          <w:rFonts w:hint="eastAsia" w:ascii="宋体" w:hAnsi="宋体" w:eastAsia="宋体" w:cs="宋体"/>
          <w:sz w:val="21"/>
          <w:szCs w:val="21"/>
          <w:lang w:val="en-US" w:eastAsia="zh-CN"/>
        </w:rPr>
        <w:t>584463721</w:t>
      </w:r>
      <w:r>
        <w:rPr>
          <w:rFonts w:hint="eastAsia" w:ascii="宋体" w:hAnsi="宋体" w:eastAsia="宋体" w:cs="宋体"/>
          <w:sz w:val="21"/>
          <w:szCs w:val="21"/>
        </w:rPr>
        <w:t>@qq.com）和溆浦县司法局（联系电话：15674046200电子邮箱：3461074958@qq.com）</w:t>
      </w:r>
    </w:p>
    <w:p w14:paraId="6B7061F3">
      <w:pPr>
        <w:rPr>
          <w:rFonts w:hint="eastAsia" w:ascii="宋体" w:hAnsi="宋体" w:eastAsia="宋体" w:cs="宋体"/>
          <w:sz w:val="21"/>
          <w:szCs w:val="21"/>
        </w:rPr>
      </w:pPr>
    </w:p>
    <w:sectPr>
      <w:pgSz w:w="16838" w:h="11906" w:orient="landscape"/>
      <w:pgMar w:top="839" w:right="703" w:bottom="215" w:left="7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7B"/>
    <w:rsid w:val="00005402"/>
    <w:rsid w:val="00645991"/>
    <w:rsid w:val="0085131E"/>
    <w:rsid w:val="009D033E"/>
    <w:rsid w:val="00E6677B"/>
    <w:rsid w:val="00F431B9"/>
    <w:rsid w:val="014828B3"/>
    <w:rsid w:val="01EC0334"/>
    <w:rsid w:val="025C3677"/>
    <w:rsid w:val="02B6527D"/>
    <w:rsid w:val="03802AE2"/>
    <w:rsid w:val="042E7A27"/>
    <w:rsid w:val="051C4A8C"/>
    <w:rsid w:val="077E1E05"/>
    <w:rsid w:val="09095327"/>
    <w:rsid w:val="0B116715"/>
    <w:rsid w:val="0BD31C1D"/>
    <w:rsid w:val="0BFD502A"/>
    <w:rsid w:val="0E4B0190"/>
    <w:rsid w:val="0EC56195"/>
    <w:rsid w:val="0ED63EFE"/>
    <w:rsid w:val="0F1F58A5"/>
    <w:rsid w:val="10134CDE"/>
    <w:rsid w:val="10B95885"/>
    <w:rsid w:val="10CF6E57"/>
    <w:rsid w:val="10F1501F"/>
    <w:rsid w:val="113B0990"/>
    <w:rsid w:val="11D72467"/>
    <w:rsid w:val="12EF22D9"/>
    <w:rsid w:val="14AE3227"/>
    <w:rsid w:val="162639BD"/>
    <w:rsid w:val="1759391E"/>
    <w:rsid w:val="17C76AD9"/>
    <w:rsid w:val="180C0990"/>
    <w:rsid w:val="184C5231"/>
    <w:rsid w:val="18610CDC"/>
    <w:rsid w:val="18787891"/>
    <w:rsid w:val="18D771F0"/>
    <w:rsid w:val="190478B9"/>
    <w:rsid w:val="19AE65A0"/>
    <w:rsid w:val="1AB33345"/>
    <w:rsid w:val="1B9E5DA3"/>
    <w:rsid w:val="1C896A53"/>
    <w:rsid w:val="1D594678"/>
    <w:rsid w:val="1DAB29F9"/>
    <w:rsid w:val="1E6C03DB"/>
    <w:rsid w:val="1FBF453A"/>
    <w:rsid w:val="1FE12702"/>
    <w:rsid w:val="20790B8D"/>
    <w:rsid w:val="21B207FA"/>
    <w:rsid w:val="21BD6373"/>
    <w:rsid w:val="21D249F9"/>
    <w:rsid w:val="21F4671D"/>
    <w:rsid w:val="22FF35CB"/>
    <w:rsid w:val="24F829C8"/>
    <w:rsid w:val="24FE5B05"/>
    <w:rsid w:val="258B383C"/>
    <w:rsid w:val="263B15F6"/>
    <w:rsid w:val="268D7140"/>
    <w:rsid w:val="270F224B"/>
    <w:rsid w:val="274F2647"/>
    <w:rsid w:val="28414686"/>
    <w:rsid w:val="28750558"/>
    <w:rsid w:val="29CD6057"/>
    <w:rsid w:val="29F55728"/>
    <w:rsid w:val="2AB32EED"/>
    <w:rsid w:val="2AD62479"/>
    <w:rsid w:val="2AF31ACA"/>
    <w:rsid w:val="2BCC070B"/>
    <w:rsid w:val="2BDF043E"/>
    <w:rsid w:val="2C584577"/>
    <w:rsid w:val="2C5A3F68"/>
    <w:rsid w:val="2E750BE6"/>
    <w:rsid w:val="2EA63495"/>
    <w:rsid w:val="2EAE40F8"/>
    <w:rsid w:val="2EED69CE"/>
    <w:rsid w:val="2F546A4D"/>
    <w:rsid w:val="2F6A5CE1"/>
    <w:rsid w:val="303B19BB"/>
    <w:rsid w:val="303E14AB"/>
    <w:rsid w:val="30E12562"/>
    <w:rsid w:val="31085D41"/>
    <w:rsid w:val="318E33F4"/>
    <w:rsid w:val="324C7EAF"/>
    <w:rsid w:val="337376BE"/>
    <w:rsid w:val="34014CC9"/>
    <w:rsid w:val="346F257B"/>
    <w:rsid w:val="357C0AAC"/>
    <w:rsid w:val="3B620744"/>
    <w:rsid w:val="3BB05953"/>
    <w:rsid w:val="3C3025F0"/>
    <w:rsid w:val="3C3F2833"/>
    <w:rsid w:val="3CA64660"/>
    <w:rsid w:val="3CBC3660"/>
    <w:rsid w:val="3D9B1CEB"/>
    <w:rsid w:val="3E1D6BA4"/>
    <w:rsid w:val="3ED2798E"/>
    <w:rsid w:val="3F6C393F"/>
    <w:rsid w:val="3FA255B3"/>
    <w:rsid w:val="40BD3BED"/>
    <w:rsid w:val="418E2292"/>
    <w:rsid w:val="41EC520B"/>
    <w:rsid w:val="42795A71"/>
    <w:rsid w:val="42E934F8"/>
    <w:rsid w:val="433C5D1E"/>
    <w:rsid w:val="45806396"/>
    <w:rsid w:val="462907DC"/>
    <w:rsid w:val="48050DD4"/>
    <w:rsid w:val="49635DB3"/>
    <w:rsid w:val="4A6E2C61"/>
    <w:rsid w:val="4BC44B03"/>
    <w:rsid w:val="4D3006A2"/>
    <w:rsid w:val="4DB017E2"/>
    <w:rsid w:val="4DBA7F6B"/>
    <w:rsid w:val="4EBE3A8B"/>
    <w:rsid w:val="50FA6CDF"/>
    <w:rsid w:val="51D57A6A"/>
    <w:rsid w:val="526112FD"/>
    <w:rsid w:val="52880638"/>
    <w:rsid w:val="538B4884"/>
    <w:rsid w:val="53F66667"/>
    <w:rsid w:val="53FB3CD3"/>
    <w:rsid w:val="541F6D7A"/>
    <w:rsid w:val="549E2395"/>
    <w:rsid w:val="55C0633B"/>
    <w:rsid w:val="567E247E"/>
    <w:rsid w:val="57E44562"/>
    <w:rsid w:val="59050C34"/>
    <w:rsid w:val="5B315EA6"/>
    <w:rsid w:val="5B5A4B3C"/>
    <w:rsid w:val="5BAA5AC3"/>
    <w:rsid w:val="5C474965"/>
    <w:rsid w:val="5FA34D03"/>
    <w:rsid w:val="5FCA04E2"/>
    <w:rsid w:val="6005151A"/>
    <w:rsid w:val="60964868"/>
    <w:rsid w:val="611B6B1B"/>
    <w:rsid w:val="61F25ACE"/>
    <w:rsid w:val="628726BA"/>
    <w:rsid w:val="636447A9"/>
    <w:rsid w:val="63B23767"/>
    <w:rsid w:val="65051FBC"/>
    <w:rsid w:val="66DC0AFB"/>
    <w:rsid w:val="66E75E1D"/>
    <w:rsid w:val="6787315C"/>
    <w:rsid w:val="68E51EE8"/>
    <w:rsid w:val="69A022B3"/>
    <w:rsid w:val="69F820EF"/>
    <w:rsid w:val="6A682DD1"/>
    <w:rsid w:val="6D282CEC"/>
    <w:rsid w:val="6D65184A"/>
    <w:rsid w:val="6D895712"/>
    <w:rsid w:val="6F6408E2"/>
    <w:rsid w:val="708F6DAD"/>
    <w:rsid w:val="7104137A"/>
    <w:rsid w:val="7278770A"/>
    <w:rsid w:val="727B566C"/>
    <w:rsid w:val="72C2329A"/>
    <w:rsid w:val="735F6D3B"/>
    <w:rsid w:val="7447614D"/>
    <w:rsid w:val="76F854DD"/>
    <w:rsid w:val="77BB2EA2"/>
    <w:rsid w:val="78C57641"/>
    <w:rsid w:val="79101597"/>
    <w:rsid w:val="7B02692A"/>
    <w:rsid w:val="7CCD740C"/>
    <w:rsid w:val="7D467894"/>
    <w:rsid w:val="7ECD724F"/>
    <w:rsid w:val="7EFE38AC"/>
    <w:rsid w:val="7F4219EB"/>
    <w:rsid w:val="7F7E679B"/>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纯文本 Char"/>
    <w:basedOn w:val="6"/>
    <w:link w:val="2"/>
    <w:qFormat/>
    <w:uiPriority w:val="99"/>
    <w:rPr>
      <w:rFonts w:ascii="宋体" w:hAnsi="Courier New" w:eastAsia="宋体" w:cs="Times New Roman"/>
      <w:szCs w:val="21"/>
    </w:rPr>
  </w:style>
  <w:style w:type="character" w:customStyle="1" w:styleId="8">
    <w:name w:val="15"/>
    <w:basedOn w:val="6"/>
    <w:qFormat/>
    <w:uiPriority w:val="0"/>
    <w:rPr>
      <w:rFonts w:hint="default" w:ascii="方正仿宋_GBK" w:hAnsi="方正仿宋_GBK"/>
      <w:b/>
      <w:bCs/>
      <w:color w:val="000000"/>
      <w:sz w:val="18"/>
      <w:szCs w:val="18"/>
    </w:rPr>
  </w:style>
  <w:style w:type="character" w:customStyle="1" w:styleId="9">
    <w:name w:val="16"/>
    <w:basedOn w:val="6"/>
    <w:qFormat/>
    <w:uiPriority w:val="0"/>
    <w:rPr>
      <w:rFonts w:hint="default" w:ascii="方正仿宋_GBK" w:hAnsi="方正仿宋_GBK"/>
      <w:color w:val="000000"/>
      <w:sz w:val="18"/>
      <w:szCs w:val="18"/>
    </w:rPr>
  </w:style>
  <w:style w:type="character" w:customStyle="1" w:styleId="10">
    <w:name w:val="17"/>
    <w:basedOn w:val="6"/>
    <w:qFormat/>
    <w:uiPriority w:val="0"/>
    <w:rPr>
      <w:rFonts w:hint="default" w:ascii="Times New Roman" w:hAnsi="Times New Roman" w:cs="Times New Roman"/>
      <w:color w:val="000000"/>
      <w:sz w:val="18"/>
      <w:szCs w:val="18"/>
    </w:rPr>
  </w:style>
  <w:style w:type="character" w:customStyle="1" w:styleId="11">
    <w:name w:val="18"/>
    <w:basedOn w:val="6"/>
    <w:qFormat/>
    <w:uiPriority w:val="0"/>
    <w:rPr>
      <w:rFonts w:hint="eastAsia" w:ascii="宋体" w:hAnsi="宋体" w:eastAsia="宋体"/>
      <w:color w:val="000000"/>
      <w:sz w:val="18"/>
      <w:szCs w:val="18"/>
    </w:rPr>
  </w:style>
  <w:style w:type="character" w:customStyle="1" w:styleId="12">
    <w:name w:val="19"/>
    <w:basedOn w:val="6"/>
    <w:qFormat/>
    <w:uiPriority w:val="0"/>
    <w:rPr>
      <w:rFonts w:hint="default" w:ascii="方正书宋_GBK" w:hAnsi="方正书宋_GBK"/>
      <w:color w:val="000000"/>
      <w:sz w:val="18"/>
      <w:szCs w:val="18"/>
    </w:rPr>
  </w:style>
  <w:style w:type="character" w:customStyle="1" w:styleId="13">
    <w:name w:val="20"/>
    <w:basedOn w:val="6"/>
    <w:qFormat/>
    <w:uiPriority w:val="0"/>
    <w:rPr>
      <w:rFonts w:hint="default" w:ascii="Times New Roman" w:hAnsi="Times New Roman" w:cs="Times New Roman"/>
      <w:b/>
      <w:bCs/>
      <w:color w:val="000000"/>
      <w:sz w:val="18"/>
      <w:szCs w:val="18"/>
    </w:rPr>
  </w:style>
  <w:style w:type="character" w:customStyle="1" w:styleId="14">
    <w:name w:val="font61"/>
    <w:basedOn w:val="6"/>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1447</Words>
  <Characters>1525</Characters>
  <Lines>40</Lines>
  <Paragraphs>11</Paragraphs>
  <TotalTime>2</TotalTime>
  <ScaleCrop>false</ScaleCrop>
  <LinksUpToDate>false</LinksUpToDate>
  <CharactersWithSpaces>1566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2025-03-24T05:46:00Z</dcterms:created>
  <dc:creator>zhou zhi ping</dc:creator>
  <cp:lastModifiedBy>周芝平</cp:lastModifiedBy>
  <cp:lastPrinted>2025-03-25T07:33:00Z</cp:lastPrinted>
  <dcterms:modified xsi:type="dcterms:W3CDTF">2025-04-02T07:32:57Z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eyJoZGlkIjoiMDA2MWQ2OTJlOGI0ZDMxNzI4Y2I5ZmVlOGIyMTZjM2MifQ==</vt:lpwstr>
  </property>
  <property fmtid="{D5CDD505-2E9C-101B-9397-08002B2CF9AE}" pid="3" name="KSOProductBuildVer">
    <vt:lpwstr>2052-12.1.0.20305</vt:lpwstr>
  </property>
  <property fmtid="{D5CDD505-2E9C-101B-9397-08002B2CF9AE}" pid="4" name="ICV">
    <vt:lpwstr>AE4D99C21FA8414CB04A1A9DAFA7E1FA_13</vt:lpwstr>
  </property>
</Properties>
</file>