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968A7">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579DB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21579DB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75E4F2DF">
      <w:pPr>
        <w:pStyle w:val="14"/>
        <w:jc w:val="center"/>
        <w:rPr>
          <w:sz w:val="56"/>
          <w:szCs w:val="56"/>
        </w:rPr>
      </w:pPr>
    </w:p>
    <w:p w14:paraId="669088CC">
      <w:pPr>
        <w:pStyle w:val="14"/>
        <w:jc w:val="center"/>
        <w:rPr>
          <w:sz w:val="84"/>
          <w:szCs w:val="84"/>
        </w:rPr>
      </w:pPr>
    </w:p>
    <w:p w14:paraId="08EDD2FF">
      <w:pPr>
        <w:pStyle w:val="14"/>
        <w:jc w:val="center"/>
        <w:rPr>
          <w:sz w:val="84"/>
          <w:szCs w:val="84"/>
        </w:rPr>
      </w:pPr>
    </w:p>
    <w:p w14:paraId="20A661EE">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552C465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溆浦县工业和信息化局</w:t>
      </w:r>
      <w:r>
        <w:rPr>
          <w:rFonts w:hint="eastAsia" w:ascii="方正小标宋_GBK" w:hAnsi="方正小标宋_GBK" w:eastAsia="方正小标宋_GBK" w:cs="方正小标宋_GBK"/>
          <w:sz w:val="84"/>
          <w:szCs w:val="84"/>
        </w:rPr>
        <w:t>部门决算</w:t>
      </w:r>
    </w:p>
    <w:p w14:paraId="50F90C8F">
      <w:pPr>
        <w:pStyle w:val="14"/>
        <w:jc w:val="center"/>
        <w:rPr>
          <w:rFonts w:hint="eastAsia" w:ascii="方正小标宋_GBK" w:hAnsi="方正小标宋_GBK" w:eastAsia="方正小标宋_GBK" w:cs="方正小标宋_GBK"/>
          <w:sz w:val="56"/>
          <w:szCs w:val="56"/>
        </w:rPr>
      </w:pPr>
    </w:p>
    <w:p w14:paraId="44D833E6">
      <w:pPr>
        <w:pStyle w:val="14"/>
        <w:jc w:val="center"/>
        <w:rPr>
          <w:sz w:val="56"/>
          <w:szCs w:val="56"/>
        </w:rPr>
      </w:pPr>
    </w:p>
    <w:p w14:paraId="22CFABC9">
      <w:pPr>
        <w:pStyle w:val="14"/>
        <w:jc w:val="center"/>
        <w:rPr>
          <w:sz w:val="56"/>
          <w:szCs w:val="56"/>
        </w:rPr>
      </w:pPr>
    </w:p>
    <w:p w14:paraId="025DA988">
      <w:pPr>
        <w:pStyle w:val="14"/>
        <w:jc w:val="center"/>
        <w:rPr>
          <w:sz w:val="56"/>
          <w:szCs w:val="56"/>
        </w:rPr>
      </w:pPr>
    </w:p>
    <w:p w14:paraId="25CA9E13">
      <w:pPr>
        <w:pStyle w:val="14"/>
        <w:jc w:val="center"/>
        <w:rPr>
          <w:sz w:val="32"/>
          <w:szCs w:val="32"/>
        </w:rPr>
      </w:pPr>
    </w:p>
    <w:p w14:paraId="14CD6F84">
      <w:pPr>
        <w:pStyle w:val="14"/>
        <w:jc w:val="center"/>
        <w:rPr>
          <w:sz w:val="32"/>
          <w:szCs w:val="32"/>
        </w:rPr>
      </w:pPr>
    </w:p>
    <w:p w14:paraId="3CF4BFCA">
      <w:pPr>
        <w:pStyle w:val="14"/>
        <w:jc w:val="center"/>
        <w:rPr>
          <w:sz w:val="32"/>
          <w:szCs w:val="32"/>
        </w:rPr>
      </w:pPr>
    </w:p>
    <w:p w14:paraId="4B5EEF12">
      <w:pPr>
        <w:pStyle w:val="14"/>
        <w:jc w:val="center"/>
        <w:rPr>
          <w:sz w:val="32"/>
          <w:szCs w:val="32"/>
        </w:rPr>
      </w:pPr>
    </w:p>
    <w:p w14:paraId="1E4AC481">
      <w:pPr>
        <w:pStyle w:val="14"/>
        <w:spacing w:line="500" w:lineRule="exact"/>
        <w:jc w:val="center"/>
        <w:rPr>
          <w:b/>
          <w:sz w:val="36"/>
          <w:szCs w:val="28"/>
        </w:rPr>
      </w:pPr>
      <w:r>
        <w:rPr>
          <w:rFonts w:hint="eastAsia"/>
          <w:b/>
          <w:sz w:val="36"/>
          <w:szCs w:val="28"/>
        </w:rPr>
        <w:t>目录</w:t>
      </w:r>
    </w:p>
    <w:p w14:paraId="479C5D87">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溆浦县工业和信息化局</w:t>
      </w:r>
      <w:r>
        <w:rPr>
          <w:rFonts w:hint="eastAsia" w:ascii="黑体" w:hAnsi="黑体" w:eastAsia="黑体" w:cs="黑体"/>
          <w:b w:val="0"/>
          <w:bCs/>
          <w:sz w:val="28"/>
          <w:szCs w:val="28"/>
        </w:rPr>
        <w:t>概况</w:t>
      </w:r>
    </w:p>
    <w:p w14:paraId="3709C99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E97F79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07AF13D">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49FB6F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59576E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FFEA0B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1B8E6F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8C4BCA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4C9F01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77856F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C7E493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EC46B3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0715D99">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25ED52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6C9457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2EEF82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FD7586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9CEFE0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4102B3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1E14BD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F084D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6BA0F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F5EAEA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9529C2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3F7E24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E5921B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8F7A61C">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F8B3B79">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FD693DA">
      <w:pPr>
        <w:pStyle w:val="14"/>
        <w:spacing w:line="500" w:lineRule="exact"/>
        <w:rPr>
          <w:rFonts w:hint="eastAsia" w:ascii="黑体" w:hAnsi="黑体" w:eastAsia="黑体" w:cs="黑体"/>
          <w:b w:val="0"/>
          <w:bCs/>
          <w:sz w:val="28"/>
          <w:szCs w:val="28"/>
        </w:rPr>
      </w:pPr>
    </w:p>
    <w:p w14:paraId="09FA85AE">
      <w:pPr>
        <w:jc w:val="center"/>
        <w:rPr>
          <w:sz w:val="72"/>
          <w:szCs w:val="72"/>
        </w:rPr>
      </w:pPr>
    </w:p>
    <w:p w14:paraId="60C63449">
      <w:pPr>
        <w:jc w:val="center"/>
        <w:rPr>
          <w:sz w:val="72"/>
          <w:szCs w:val="72"/>
        </w:rPr>
      </w:pPr>
    </w:p>
    <w:p w14:paraId="3F4DF2C2">
      <w:pPr>
        <w:jc w:val="center"/>
        <w:rPr>
          <w:sz w:val="72"/>
          <w:szCs w:val="72"/>
        </w:rPr>
      </w:pPr>
    </w:p>
    <w:p w14:paraId="365E1C7B">
      <w:pPr>
        <w:jc w:val="center"/>
        <w:rPr>
          <w:sz w:val="72"/>
          <w:szCs w:val="72"/>
        </w:rPr>
      </w:pPr>
    </w:p>
    <w:p w14:paraId="148C51F4">
      <w:pPr>
        <w:rPr>
          <w:rFonts w:hint="eastAsia" w:ascii="方正小标宋_GBK" w:hAnsi="方正小标宋_GBK" w:eastAsia="方正小标宋_GBK" w:cs="方正小标宋_GBK"/>
          <w:sz w:val="72"/>
          <w:szCs w:val="72"/>
        </w:rPr>
      </w:pPr>
    </w:p>
    <w:p w14:paraId="1F423B6E">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DCACD82">
      <w:pPr>
        <w:pStyle w:val="14"/>
        <w:jc w:val="center"/>
        <w:rPr>
          <w:rFonts w:hint="eastAsia" w:ascii="方正小标宋_GBK" w:hAnsi="方正小标宋_GBK" w:eastAsia="方正小标宋_GBK" w:cs="方正小标宋_GBK"/>
          <w:sz w:val="84"/>
          <w:szCs w:val="84"/>
        </w:rPr>
      </w:pPr>
    </w:p>
    <w:p w14:paraId="724FD70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溆浦县工业和信息化局</w:t>
      </w:r>
      <w:r>
        <w:rPr>
          <w:rFonts w:hint="eastAsia" w:ascii="方正小标宋_GBK" w:hAnsi="方正小标宋_GBK" w:eastAsia="方正小标宋_GBK" w:cs="方正小标宋_GBK"/>
          <w:sz w:val="84"/>
          <w:szCs w:val="84"/>
        </w:rPr>
        <w:t>概况</w:t>
      </w:r>
    </w:p>
    <w:p w14:paraId="50C390DA">
      <w:pPr>
        <w:jc w:val="center"/>
        <w:rPr>
          <w:rFonts w:hint="eastAsia" w:ascii="方正小标宋_GBK" w:hAnsi="方正小标宋_GBK" w:eastAsia="方正小标宋_GBK" w:cs="方正小标宋_GBK"/>
          <w:sz w:val="72"/>
          <w:szCs w:val="72"/>
        </w:rPr>
      </w:pPr>
    </w:p>
    <w:p w14:paraId="63AFD011">
      <w:pPr>
        <w:jc w:val="center"/>
        <w:rPr>
          <w:rFonts w:hint="eastAsia" w:ascii="方正小标宋_GBK" w:hAnsi="方正小标宋_GBK" w:eastAsia="方正小标宋_GBK" w:cs="方正小标宋_GBK"/>
          <w:sz w:val="72"/>
          <w:szCs w:val="72"/>
        </w:rPr>
      </w:pPr>
    </w:p>
    <w:p w14:paraId="073BD8BB">
      <w:pPr>
        <w:jc w:val="center"/>
        <w:rPr>
          <w:sz w:val="72"/>
          <w:szCs w:val="72"/>
        </w:rPr>
      </w:pPr>
    </w:p>
    <w:p w14:paraId="1B613C69">
      <w:pPr>
        <w:jc w:val="center"/>
        <w:rPr>
          <w:sz w:val="72"/>
          <w:szCs w:val="72"/>
        </w:rPr>
      </w:pPr>
    </w:p>
    <w:p w14:paraId="3037D1C0">
      <w:pPr>
        <w:jc w:val="center"/>
        <w:rPr>
          <w:sz w:val="21"/>
          <w:szCs w:val="21"/>
        </w:rPr>
      </w:pPr>
    </w:p>
    <w:p w14:paraId="1D82AF03">
      <w:pPr>
        <w:jc w:val="center"/>
        <w:rPr>
          <w:sz w:val="21"/>
          <w:szCs w:val="21"/>
        </w:rPr>
      </w:pPr>
    </w:p>
    <w:p w14:paraId="313925FC">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AD4BF92">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一）拟订全县新型工业化的发展战略、规划和相关政策措施并组织实施，协调解决有关重大问题；负责组织、协调全县培育发展战略性新兴产业工作；综合管理全县工业经济，指导、协调和服务工业企业；推进信息化和工业化融合；推进全县国民经济和社会信息化。</w:t>
      </w:r>
    </w:p>
    <w:p w14:paraId="3533118D">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 xml:space="preserve">    （二）拟订并组织实施工业、信息化的发展专项规划，贯彻落实国家和省、市产业政策；拟定优化产业结构和产品结构的地方配套政策措施，并监督检查执行情况；研究和规划全县工业产业投资布局；依法组织实施相关行业的准入管理；负责工业与信息化领域的产业安全和应急管理工作；指导市直工业企业安全生产，协调处理重大安全事故。</w:t>
      </w:r>
    </w:p>
    <w:p w14:paraId="17AB9EE5">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 xml:space="preserve">   （三）对涉及工业和信息化领域相关法律法规的执法情况进行监督检查；协调减轻企业负担工作。</w:t>
      </w:r>
    </w:p>
    <w:p w14:paraId="0AFF0CE3">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 xml:space="preserve">   （四）组织拟订全县工业企业技术进步的发展战略、规划并组织实施；编制和组织实施技术改造规划，提出工业和信息化固定资产投资规模和方向；抓好重大工业项目的督查与协调；推进企业技术创新体系建设，指导行业技术创新和技术进步，以先进适用技术改造提升传统产业，组织实施有关科技重大政策，推进产学研结合和科研成果产业化。</w:t>
      </w:r>
    </w:p>
    <w:p w14:paraId="54973F2A">
      <w:pPr>
        <w:widowControl/>
        <w:spacing w:line="600" w:lineRule="exact"/>
        <w:ind w:firstLine="64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五）负责工业节能工作，参与拟订能源节约和资源综合利用规划；会同有关部门组织实施节能行动方案和资源综合利用工作；拟订并组织实施工业能源节约和资源综合利用政策；承担工业企业的节能考核和监察工作；组织推进清洁生产工作；组织协调相关重大示范工程和相关新产品、新技术、新设备、新材料的推广应用；参与编制全县生态建设规划；参与协调工业环境保护。</w:t>
      </w:r>
    </w:p>
    <w:p w14:paraId="44F9729C">
      <w:pPr>
        <w:widowControl/>
        <w:spacing w:line="600" w:lineRule="exact"/>
        <w:ind w:firstLine="64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（六）组织拟订信息化发展战略、专项规划及相关政策，协调解决重大问题；促进电信、广播电视和计算机网络融合；推动跨行业、跨部门和互联互通和重要信息资源的开发利用、共享；推进全县信息化建设。</w:t>
      </w:r>
    </w:p>
    <w:p w14:paraId="7DEDA022">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（七）指导全县工业、信息化领域人才开发与培训工作；开展人才和智力对外合作交流。</w:t>
      </w:r>
    </w:p>
    <w:p w14:paraId="3BDEC6CB">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 xml:space="preserve">   （八）负责国有工业企业遗留问题的协调处理；负责市直工业企业社会治安综合治理工作，做好企业信访稳定工作；指导集体企业的改制改革工作。</w:t>
      </w:r>
    </w:p>
    <w:p w14:paraId="1FF7F837">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 xml:space="preserve">   （九）负责对全县墙体材料改革和新型墙体材料的推广应用，编制并实施本市发展推广应用新墙材和限制实心粘土砖生产与使用的中长期规划和年度规划，对全县实心粘土砖生产与使用进行行政执法。加强对散装水泥的管理工作，按规定征收、管理和使用“两项基金”等专项费用。</w:t>
      </w:r>
    </w:p>
    <w:p w14:paraId="2C5443DB">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CC8C3EF">
      <w:pPr>
        <w:widowControl/>
        <w:spacing w:line="58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（一）内设机构设置。本单位是行政单位，内设办公室、运行监测股、投资规划股、中小企业股、人工智能与信息化股、行政审批</w:t>
      </w:r>
      <w:r>
        <w:rPr>
          <w:rFonts w:hint="eastAsia" w:ascii="Times New Roman" w:hAnsi="Times New Roman" w:eastAsia="仿宋_GB2312" w:cs="仿宋_GB2312"/>
          <w:bCs/>
          <w:kern w:val="0"/>
          <w:sz w:val="32"/>
          <w:szCs w:val="32"/>
          <w:lang w:eastAsia="zh-CN"/>
        </w:rPr>
        <w:t>股</w:t>
      </w: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eastAsia="zh-CN"/>
        </w:rPr>
        <w:t>安全生产股</w:t>
      </w:r>
      <w:r>
        <w:rPr>
          <w:rFonts w:hint="eastAsia" w:ascii="Times New Roman" w:hAnsi="Times New Roman" w:eastAsia="仿宋_GB2312" w:cs="仿宋_GB2312"/>
          <w:bCs/>
          <w:kern w:val="0"/>
          <w:sz w:val="32"/>
          <w:szCs w:val="32"/>
          <w:lang w:val="en-US" w:eastAsia="zh-CN"/>
        </w:rPr>
        <w:t>7</w:t>
      </w:r>
      <w:r>
        <w:rPr>
          <w:rFonts w:hint="eastAsia" w:ascii="Times New Roman" w:hAnsi="Times New Roman" w:eastAsia="仿宋_GB2312" w:cs="仿宋_GB2312"/>
          <w:bCs/>
          <w:kern w:val="0"/>
          <w:sz w:val="32"/>
          <w:szCs w:val="32"/>
        </w:rPr>
        <w:t>个股室；二级机构2个</w:t>
      </w:r>
      <w:r>
        <w:rPr>
          <w:rFonts w:hint="eastAsia" w:ascii="Times New Roman" w:hAnsi="Times New Roman" w:eastAsia="仿宋_GB2312" w:cs="仿宋_GB2312"/>
          <w:bCs/>
          <w:kern w:val="0"/>
          <w:sz w:val="32"/>
          <w:szCs w:val="32"/>
          <w:lang w:eastAsia="zh-CN"/>
        </w:rPr>
        <w:t>，为事业单位</w:t>
      </w:r>
      <w:r>
        <w:rPr>
          <w:rFonts w:hint="eastAsia" w:ascii="Times New Roman" w:hAnsi="Times New Roman" w:eastAsia="仿宋_GB2312" w:cs="仿宋_GB2312"/>
          <w:bCs/>
          <w:kern w:val="0"/>
          <w:sz w:val="32"/>
          <w:szCs w:val="32"/>
        </w:rPr>
        <w:t>，分别是：电力执法大队、中小企业服务中心;核定编制</w:t>
      </w:r>
      <w:r>
        <w:rPr>
          <w:rFonts w:hint="eastAsia" w:ascii="Times New Roman" w:hAnsi="Times New Roman" w:eastAsia="仿宋_GB2312" w:cs="仿宋_GB2312"/>
          <w:bCs/>
          <w:kern w:val="0"/>
          <w:sz w:val="32"/>
          <w:szCs w:val="32"/>
          <w:lang w:val="en-US" w:eastAsia="zh-CN"/>
        </w:rPr>
        <w:t>32</w:t>
      </w:r>
      <w:r>
        <w:rPr>
          <w:rFonts w:hint="eastAsia" w:ascii="Times New Roman" w:hAnsi="Times New Roman" w:eastAsia="仿宋_GB2312" w:cs="仿宋_GB2312"/>
          <w:bCs/>
          <w:kern w:val="0"/>
          <w:sz w:val="32"/>
          <w:szCs w:val="32"/>
        </w:rPr>
        <w:t>名，实有人数</w:t>
      </w:r>
      <w:r>
        <w:rPr>
          <w:rFonts w:hint="eastAsia" w:ascii="Times New Roman" w:hAnsi="Times New Roman" w:eastAsia="仿宋_GB2312" w:cs="仿宋_GB2312"/>
          <w:bCs/>
          <w:kern w:val="0"/>
          <w:sz w:val="32"/>
          <w:szCs w:val="32"/>
          <w:lang w:val="en-US" w:eastAsia="zh-CN"/>
        </w:rPr>
        <w:t>83</w:t>
      </w:r>
      <w:r>
        <w:rPr>
          <w:rFonts w:hint="eastAsia" w:ascii="Times New Roman" w:hAnsi="Times New Roman" w:eastAsia="仿宋_GB2312" w:cs="仿宋_GB2312"/>
          <w:bCs/>
          <w:kern w:val="0"/>
          <w:sz w:val="32"/>
          <w:szCs w:val="32"/>
        </w:rPr>
        <w:t>人，其中：</w:t>
      </w:r>
      <w:r>
        <w:rPr>
          <w:rFonts w:hint="eastAsia" w:ascii="Times New Roman" w:hAnsi="Times New Roman" w:eastAsia="仿宋_GB2312" w:cs="仿宋_GB2312"/>
          <w:bCs/>
          <w:kern w:val="0"/>
          <w:sz w:val="32"/>
          <w:szCs w:val="32"/>
          <w:lang w:eastAsia="zh-CN"/>
        </w:rPr>
        <w:t>行政人员</w:t>
      </w:r>
      <w:r>
        <w:rPr>
          <w:rFonts w:hint="eastAsia" w:ascii="Times New Roman" w:hAnsi="Times New Roman" w:eastAsia="仿宋_GB2312" w:cs="仿宋_GB2312"/>
          <w:bCs/>
          <w:kern w:val="0"/>
          <w:sz w:val="32"/>
          <w:szCs w:val="32"/>
          <w:lang w:val="en-US" w:eastAsia="zh-CN"/>
        </w:rPr>
        <w:t>13人</w:t>
      </w: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eastAsia="zh-CN"/>
        </w:rPr>
        <w:t>事业人员</w:t>
      </w:r>
      <w:r>
        <w:rPr>
          <w:rFonts w:hint="eastAsia" w:ascii="Times New Roman" w:hAnsi="Times New Roman" w:eastAsia="仿宋_GB2312" w:cs="仿宋_GB2312"/>
          <w:bCs/>
          <w:kern w:val="0"/>
          <w:sz w:val="32"/>
          <w:szCs w:val="32"/>
          <w:lang w:val="en-US" w:eastAsia="zh-CN"/>
        </w:rPr>
        <w:t>20人</w:t>
      </w: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val="en-US" w:eastAsia="zh-CN"/>
        </w:rPr>
        <w:t>工勤0人</w:t>
      </w:r>
      <w:r>
        <w:rPr>
          <w:rFonts w:hint="eastAsia" w:ascii="Times New Roman" w:hAnsi="Times New Roman" w:eastAsia="仿宋_GB2312" w:cs="仿宋_GB2312"/>
          <w:bCs/>
          <w:kern w:val="0"/>
          <w:sz w:val="32"/>
          <w:szCs w:val="32"/>
        </w:rPr>
        <w:t>、离退休人员</w:t>
      </w:r>
      <w:r>
        <w:rPr>
          <w:rFonts w:hint="eastAsia" w:ascii="Times New Roman" w:hAnsi="Times New Roman" w:eastAsia="仿宋_GB2312" w:cs="仿宋_GB2312"/>
          <w:bCs/>
          <w:kern w:val="0"/>
          <w:sz w:val="32"/>
          <w:szCs w:val="32"/>
          <w:lang w:val="en-US" w:eastAsia="zh-CN"/>
        </w:rPr>
        <w:t>50</w:t>
      </w:r>
      <w:r>
        <w:rPr>
          <w:rFonts w:hint="eastAsia" w:ascii="Times New Roman" w:hAnsi="Times New Roman" w:eastAsia="仿宋_GB2312" w:cs="仿宋_GB2312"/>
          <w:bCs/>
          <w:kern w:val="0"/>
          <w:sz w:val="32"/>
          <w:szCs w:val="32"/>
        </w:rPr>
        <w:t>人。</w:t>
      </w:r>
    </w:p>
    <w:p w14:paraId="463E573D">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溆浦县工业和信息化局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溆浦县工业和信息化局。</w:t>
      </w:r>
    </w:p>
    <w:p w14:paraId="431507A8">
      <w:pPr>
        <w:jc w:val="left"/>
        <w:rPr>
          <w:rFonts w:ascii="仿宋_GB2312" w:eastAsia="仿宋_GB2312" w:hAnsiTheme="minorEastAsia"/>
          <w:sz w:val="28"/>
          <w:szCs w:val="32"/>
        </w:rPr>
      </w:pPr>
    </w:p>
    <w:p w14:paraId="26D35FB8">
      <w:pPr>
        <w:jc w:val="center"/>
        <w:rPr>
          <w:rFonts w:ascii="黑体" w:hAnsi="黑体" w:eastAsia="黑体"/>
          <w:sz w:val="28"/>
          <w:szCs w:val="28"/>
        </w:rPr>
      </w:pPr>
    </w:p>
    <w:p w14:paraId="6CE6D95E">
      <w:pPr>
        <w:jc w:val="center"/>
        <w:rPr>
          <w:rFonts w:ascii="黑体" w:hAnsi="黑体" w:eastAsia="黑体"/>
          <w:sz w:val="28"/>
          <w:szCs w:val="28"/>
        </w:rPr>
      </w:pPr>
    </w:p>
    <w:p w14:paraId="2747D0CB">
      <w:pPr>
        <w:jc w:val="center"/>
        <w:rPr>
          <w:rFonts w:ascii="黑体" w:hAnsi="黑体" w:eastAsia="黑体"/>
          <w:sz w:val="28"/>
          <w:szCs w:val="28"/>
        </w:rPr>
      </w:pPr>
    </w:p>
    <w:p w14:paraId="4596D3AE">
      <w:pPr>
        <w:jc w:val="center"/>
        <w:rPr>
          <w:rFonts w:ascii="黑体" w:hAnsi="黑体" w:eastAsia="黑体"/>
          <w:sz w:val="28"/>
          <w:szCs w:val="28"/>
        </w:rPr>
      </w:pPr>
    </w:p>
    <w:p w14:paraId="3D4E992D">
      <w:pPr>
        <w:jc w:val="center"/>
        <w:rPr>
          <w:rFonts w:ascii="黑体" w:hAnsi="黑体" w:eastAsia="黑体"/>
          <w:sz w:val="28"/>
          <w:szCs w:val="28"/>
        </w:rPr>
      </w:pPr>
    </w:p>
    <w:p w14:paraId="15B10596">
      <w:pPr>
        <w:jc w:val="center"/>
        <w:rPr>
          <w:rFonts w:ascii="黑体" w:hAnsi="黑体" w:eastAsia="黑体"/>
          <w:sz w:val="28"/>
          <w:szCs w:val="28"/>
        </w:rPr>
      </w:pPr>
    </w:p>
    <w:p w14:paraId="72D4E98A">
      <w:pPr>
        <w:jc w:val="center"/>
        <w:rPr>
          <w:sz w:val="72"/>
          <w:szCs w:val="72"/>
        </w:rPr>
      </w:pPr>
    </w:p>
    <w:p w14:paraId="1DCFA151">
      <w:pPr>
        <w:jc w:val="center"/>
        <w:rPr>
          <w:sz w:val="72"/>
          <w:szCs w:val="72"/>
        </w:rPr>
      </w:pPr>
    </w:p>
    <w:p w14:paraId="7A1F1B29">
      <w:pPr>
        <w:pStyle w:val="14"/>
        <w:jc w:val="center"/>
        <w:rPr>
          <w:rFonts w:hint="eastAsia" w:ascii="方正小标宋_GBK" w:hAnsi="方正小标宋_GBK" w:eastAsia="方正小标宋_GBK" w:cs="方正小标宋_GBK"/>
          <w:sz w:val="84"/>
          <w:szCs w:val="84"/>
        </w:rPr>
      </w:pPr>
    </w:p>
    <w:p w14:paraId="28C7404E">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11DD502">
      <w:pPr>
        <w:pStyle w:val="14"/>
        <w:jc w:val="center"/>
        <w:rPr>
          <w:rFonts w:hint="eastAsia" w:ascii="方正小标宋_GBK" w:hAnsi="方正小标宋_GBK" w:eastAsia="方正小标宋_GBK" w:cs="方正小标宋_GBK"/>
          <w:sz w:val="84"/>
          <w:szCs w:val="84"/>
        </w:rPr>
      </w:pPr>
    </w:p>
    <w:p w14:paraId="29D0FED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BEB0340">
      <w:pPr>
        <w:jc w:val="center"/>
        <w:rPr>
          <w:sz w:val="72"/>
          <w:szCs w:val="72"/>
        </w:rPr>
      </w:pPr>
    </w:p>
    <w:p w14:paraId="182DF2F1">
      <w:pPr>
        <w:jc w:val="center"/>
        <w:rPr>
          <w:sz w:val="72"/>
          <w:szCs w:val="72"/>
        </w:rPr>
        <w:sectPr>
          <w:pgSz w:w="11906" w:h="16838"/>
          <w:pgMar w:top="720" w:right="720" w:bottom="720" w:left="720" w:header="851" w:footer="992" w:gutter="0"/>
          <w:cols w:space="425" w:num="1"/>
          <w:docGrid w:type="lines" w:linePitch="312" w:charSpace="0"/>
        </w:sectPr>
      </w:pPr>
    </w:p>
    <w:p w14:paraId="667039A0">
      <w:pPr>
        <w:pStyle w:val="7"/>
        <w:rPr>
          <w:rFonts w:hint="eastAsia" w:eastAsiaTheme="minorEastAsia"/>
          <w:lang w:eastAsia="zh-CN"/>
        </w:rPr>
      </w:pPr>
      <w:r>
        <w:rPr>
          <w:rFonts w:hint="eastAsia" w:eastAsiaTheme="minorEastAsia"/>
          <w:lang w:eastAsia="zh-CN"/>
        </w:rPr>
        <w:object>
          <v:shape id="_x0000_i1025" o:spt="75" type="#_x0000_t75" style="height:546.8pt;width:750.75pt;" o:ole="t" filled="f" o:preferrelative="t" stroked="f" coordsize="21600,21600">
            <v:path/>
            <v:fill on="f" focussize="0,0"/>
            <v:stroke on="f"/>
            <v:imagedata r:id="rId5" o:title=""/>
            <o:lock v:ext="edit" aspectratio="t"/>
            <w10:wrap type="none"/>
            <w10:anchorlock/>
          </v:shape>
          <o:OLEObject Type="Embed" ProgID="Excel.Sheet.8" ShapeID="_x0000_i1025" DrawAspect="Content" ObjectID="_1468075725" r:id="rId4">
            <o:LockedField>false</o:LockedField>
          </o:OLEObject>
        </w:object>
      </w:r>
      <w:r>
        <w:rPr>
          <w:rFonts w:hint="eastAsia" w:eastAsiaTheme="minorEastAsia"/>
          <w:lang w:eastAsia="zh-CN"/>
        </w:rPr>
        <w:object>
          <v:shape id="_x0000_i1026" o:spt="75" type="#_x0000_t75" style="height:530.3pt;width:781.5pt;" o:ole="t" filled="f" o:preferrelative="t" stroked="f" coordsize="21600,21600">
            <v:path/>
            <v:fill on="f" focussize="0,0"/>
            <v:stroke on="f"/>
            <v:imagedata r:id="rId7" o:title=""/>
            <o:lock v:ext="edit" aspectratio="t"/>
            <w10:wrap type="none"/>
            <w10:anchorlock/>
          </v:shape>
          <o:OLEObject Type="Embed" ProgID="Excel.Sheet.8" ShapeID="_x0000_i1026" DrawAspect="Content" ObjectID="_1468075726" r:id="rId6">
            <o:LockedField>false</o:LockedField>
          </o:OLEObject>
        </w:object>
      </w:r>
      <w:r>
        <w:rPr>
          <w:rFonts w:hint="eastAsia" w:eastAsiaTheme="minorEastAsia"/>
          <w:lang w:eastAsia="zh-CN"/>
        </w:rPr>
        <w:object>
          <v:shape id="_x0000_i1027" o:spt="75" type="#_x0000_t75" style="height:537.8pt;width:786.75pt;" o:ole="t" filled="f" o:preferrelative="t" stroked="f" coordsize="21600,21600">
            <v:path/>
            <v:fill on="f" focussize="0,0"/>
            <v:stroke on="f"/>
            <v:imagedata r:id="rId9" o:title=""/>
            <o:lock v:ext="edit" aspectratio="t"/>
            <w10:wrap type="none"/>
            <w10:anchorlock/>
          </v:shape>
          <o:OLEObject Type="Embed" ProgID="Excel.Sheet.8" ShapeID="_x0000_i1027" DrawAspect="Content" ObjectID="_1468075727" r:id="rId8">
            <o:LockedField>false</o:LockedField>
          </o:OLEObject>
        </w:object>
      </w:r>
      <w:r>
        <w:rPr>
          <w:rFonts w:hint="eastAsia" w:eastAsiaTheme="minorEastAsia"/>
          <w:lang w:eastAsia="zh-CN"/>
        </w:rPr>
        <w:object>
          <v:shape id="_x0000_i1028" o:spt="75" type="#_x0000_t75" style="height:525.75pt;width:761.1pt;" o:ole="t" filled="f" o:preferrelative="t" stroked="f" coordsize="21600,21600">
            <v:path/>
            <v:fill on="f" focussize="0,0"/>
            <v:stroke on="f"/>
            <v:imagedata r:id="rId11" o:title=""/>
            <o:lock v:ext="edit" aspectratio="t"/>
            <w10:wrap type="none"/>
            <w10:anchorlock/>
          </v:shape>
          <o:OLEObject Type="Embed" ProgID="Excel.Sheet.8" ShapeID="_x0000_i1028" DrawAspect="Content" ObjectID="_1468075728" r:id="rId10">
            <o:LockedField>false</o:LockedField>
          </o:OLEObject>
        </w:object>
      </w:r>
    </w:p>
    <w:p w14:paraId="335999E5">
      <w:pPr>
        <w:jc w:val="center"/>
        <w:rPr>
          <w:rFonts w:hint="eastAsia" w:eastAsiaTheme="minorEastAsia"/>
          <w:sz w:val="72"/>
          <w:szCs w:val="72"/>
          <w:lang w:eastAsia="zh-CN"/>
        </w:rPr>
      </w:pPr>
      <w:r>
        <w:rPr>
          <w:rFonts w:hint="eastAsia" w:eastAsiaTheme="minorEastAsia"/>
          <w:sz w:val="72"/>
          <w:szCs w:val="72"/>
          <w:lang w:eastAsia="zh-CN"/>
        </w:rPr>
        <w:object>
          <v:shape id="_x0000_i1029" o:spt="75" type="#_x0000_t75" style="height:540pt;width:644.25pt;" o:ole="t" filled="f" o:preferrelative="t" stroked="f" coordsize="21600,21600">
            <v:path/>
            <v:fill on="f" focussize="0,0"/>
            <v:stroke on="f"/>
            <v:imagedata r:id="rId13" o:title=""/>
            <o:lock v:ext="edit" aspectratio="t"/>
            <w10:wrap type="none"/>
            <w10:anchorlock/>
          </v:shape>
          <o:OLEObject Type="Embed" ProgID="Excel.Sheet.8" ShapeID="_x0000_i1029" DrawAspect="Content" ObjectID="_1468075729" r:id="rId12">
            <o:LockedField>false</o:LockedField>
          </o:OLEObject>
        </w:object>
      </w:r>
    </w:p>
    <w:p w14:paraId="09723FDB">
      <w:pPr>
        <w:jc w:val="center"/>
        <w:rPr>
          <w:rFonts w:hint="eastAsia" w:eastAsiaTheme="minorEastAsia"/>
          <w:sz w:val="72"/>
          <w:szCs w:val="72"/>
          <w:lang w:eastAsia="zh-CN"/>
        </w:rPr>
      </w:pPr>
      <w:r>
        <w:rPr>
          <w:rFonts w:hint="eastAsia" w:eastAsiaTheme="minorEastAsia"/>
          <w:sz w:val="72"/>
          <w:szCs w:val="72"/>
          <w:lang w:eastAsia="zh-CN"/>
        </w:rPr>
        <w:object>
          <v:shape id="_x0000_i1030" o:spt="75" type="#_x0000_t75" style="height:492.7pt;width:751.5pt;" o:ole="t" filled="f" o:preferrelative="t" stroked="f" coordsize="21600,21600">
            <v:path/>
            <v:fill on="f" focussize="0,0"/>
            <v:stroke on="f"/>
            <v:imagedata r:id="rId15" o:title=""/>
            <o:lock v:ext="edit" aspectratio="t"/>
            <w10:wrap type="none"/>
            <w10:anchorlock/>
          </v:shape>
          <o:OLEObject Type="Embed" ProgID="Excel.Sheet.8" ShapeID="_x0000_i1030" DrawAspect="Content" ObjectID="_1468075730" r:id="rId14">
            <o:LockedField>false</o:LockedField>
          </o:OLEObject>
        </w:object>
      </w:r>
    </w:p>
    <w:p w14:paraId="18BE475E">
      <w:pPr>
        <w:pStyle w:val="7"/>
        <w:rPr>
          <w:rFonts w:hint="eastAsia" w:eastAsiaTheme="minorEastAsia"/>
          <w:lang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240"/>
        <w:gridCol w:w="1402"/>
        <w:gridCol w:w="2119"/>
        <w:gridCol w:w="2119"/>
        <w:gridCol w:w="2119"/>
        <w:gridCol w:w="2119"/>
        <w:gridCol w:w="2119"/>
        <w:gridCol w:w="2120"/>
      </w:tblGrid>
      <w:tr w14:paraId="3E9D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0" w:type="dxa"/>
            <w:gridSpan w:val="9"/>
            <w:tcBorders>
              <w:top w:val="nil"/>
              <w:left w:val="nil"/>
              <w:bottom w:val="nil"/>
              <w:right w:val="nil"/>
            </w:tcBorders>
            <w:shd w:val="clear" w:color="auto" w:fill="FFFFFF"/>
            <w:vAlign w:val="center"/>
          </w:tcPr>
          <w:p w14:paraId="0FBF38B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2942AE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FD2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03" w:type="dxa"/>
            <w:tcBorders>
              <w:top w:val="nil"/>
              <w:left w:val="nil"/>
              <w:bottom w:val="nil"/>
              <w:right w:val="nil"/>
            </w:tcBorders>
            <w:shd w:val="clear" w:color="auto" w:fill="FFFFFF"/>
            <w:vAlign w:val="center"/>
          </w:tcPr>
          <w:p w14:paraId="0404271F">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39871812">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4B4FCAA0">
            <w:pPr>
              <w:jc w:val="cente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5F7E1F0">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1295C7D">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C9228D5">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6764AF6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26A3D292">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14:paraId="29B69B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3C1E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764" w:type="dxa"/>
            <w:gridSpan w:val="4"/>
            <w:tcBorders>
              <w:top w:val="nil"/>
              <w:left w:val="nil"/>
              <w:bottom w:val="nil"/>
              <w:right w:val="nil"/>
            </w:tcBorders>
            <w:shd w:val="clear" w:color="auto" w:fill="FFFFFF"/>
            <w:noWrap/>
            <w:vAlign w:val="center"/>
          </w:tcPr>
          <w:p w14:paraId="62694EE0">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部门：溆浦县工业和信息化局</w:t>
            </w:r>
          </w:p>
        </w:tc>
        <w:tc>
          <w:tcPr>
            <w:tcW w:w="2119" w:type="dxa"/>
            <w:tcBorders>
              <w:top w:val="nil"/>
              <w:left w:val="nil"/>
              <w:bottom w:val="nil"/>
              <w:right w:val="nil"/>
            </w:tcBorders>
            <w:shd w:val="clear" w:color="auto" w:fill="FFFFFF"/>
            <w:vAlign w:val="center"/>
          </w:tcPr>
          <w:p w14:paraId="3F20999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20FB523A">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63BFF4A">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3E1EBC5C">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14:paraId="24A9F7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DDF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A86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D57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A3A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594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7F8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7E4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564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2BD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2BC19">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DC3CB">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8A8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3DD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D80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D5215">
            <w:pPr>
              <w:jc w:val="center"/>
              <w:rPr>
                <w:rFonts w:hint="eastAsia" w:ascii="宋体" w:hAnsi="宋体" w:eastAsia="宋体" w:cs="宋体"/>
                <w:i w:val="0"/>
                <w:color w:val="000000"/>
                <w:sz w:val="24"/>
                <w:szCs w:val="24"/>
                <w:u w:val="none"/>
              </w:rPr>
            </w:pPr>
          </w:p>
        </w:tc>
      </w:tr>
      <w:tr w14:paraId="5DB2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43CD">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3C37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EBE1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3CE8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345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153C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08A73">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20EFD">
            <w:pPr>
              <w:jc w:val="center"/>
              <w:rPr>
                <w:rFonts w:hint="eastAsia" w:ascii="宋体" w:hAnsi="宋体" w:eastAsia="宋体" w:cs="宋体"/>
                <w:i w:val="0"/>
                <w:color w:val="000000"/>
                <w:sz w:val="24"/>
                <w:szCs w:val="24"/>
                <w:u w:val="none"/>
              </w:rPr>
            </w:pPr>
          </w:p>
        </w:tc>
      </w:tr>
      <w:tr w14:paraId="3DB1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F3CC">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73BB0">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02B49">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5588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FDD86">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EC92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4DDB4">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95EA1">
            <w:pPr>
              <w:jc w:val="center"/>
              <w:rPr>
                <w:rFonts w:hint="eastAsia" w:ascii="宋体" w:hAnsi="宋体" w:eastAsia="宋体" w:cs="宋体"/>
                <w:i w:val="0"/>
                <w:color w:val="000000"/>
                <w:sz w:val="24"/>
                <w:szCs w:val="24"/>
                <w:u w:val="none"/>
              </w:rPr>
            </w:pPr>
          </w:p>
        </w:tc>
      </w:tr>
      <w:tr w14:paraId="01C1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DBA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6F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45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81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7E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1D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90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2B9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C8C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ABF63D">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r w14:paraId="6E0A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D261E">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6B6C">
            <w:pPr>
              <w:rPr>
                <w:rFonts w:hint="eastAsia" w:ascii="宋体" w:hAnsi="宋体" w:eastAsia="宋体" w:cs="宋体"/>
                <w:i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C74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971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C0A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280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79F5">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4871">
            <w:pPr>
              <w:rPr>
                <w:rFonts w:hint="eastAsia" w:ascii="宋体" w:hAnsi="宋体" w:eastAsia="宋体" w:cs="宋体"/>
                <w:i w:val="0"/>
                <w:color w:val="000000"/>
                <w:sz w:val="24"/>
                <w:szCs w:val="24"/>
                <w:u w:val="none"/>
              </w:rPr>
            </w:pPr>
          </w:p>
        </w:tc>
      </w:tr>
      <w:tr w14:paraId="0E5B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40111">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E48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E08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88B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C91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F12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62B9">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B97B">
            <w:pPr>
              <w:rPr>
                <w:rFonts w:hint="eastAsia" w:ascii="宋体" w:hAnsi="宋体" w:eastAsia="宋体" w:cs="宋体"/>
                <w:i w:val="0"/>
                <w:color w:val="000000"/>
                <w:sz w:val="24"/>
                <w:szCs w:val="24"/>
                <w:u w:val="none"/>
              </w:rPr>
            </w:pPr>
          </w:p>
        </w:tc>
      </w:tr>
      <w:tr w14:paraId="1A79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C5E59">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BCCB">
            <w:pPr>
              <w:rPr>
                <w:rFonts w:hint="eastAsia" w:ascii="宋体" w:hAnsi="宋体" w:eastAsia="宋体" w:cs="宋体"/>
                <w:i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B7C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0CB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02D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395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69EF">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C5CD">
            <w:pPr>
              <w:rPr>
                <w:rFonts w:hint="eastAsia" w:ascii="宋体" w:hAnsi="宋体" w:eastAsia="宋体" w:cs="宋体"/>
                <w:i w:val="0"/>
                <w:color w:val="000000"/>
                <w:sz w:val="24"/>
                <w:szCs w:val="24"/>
                <w:u w:val="none"/>
              </w:rPr>
            </w:pPr>
          </w:p>
        </w:tc>
      </w:tr>
      <w:tr w14:paraId="6244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16A0A">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9E0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20A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33B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361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6CA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B4DD">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3FE1">
            <w:pPr>
              <w:rPr>
                <w:rFonts w:hint="eastAsia" w:ascii="宋体" w:hAnsi="宋体" w:eastAsia="宋体" w:cs="宋体"/>
                <w:i w:val="0"/>
                <w:color w:val="000000"/>
                <w:sz w:val="24"/>
                <w:szCs w:val="24"/>
                <w:u w:val="none"/>
              </w:rPr>
            </w:pPr>
          </w:p>
        </w:tc>
      </w:tr>
      <w:tr w14:paraId="03C0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08266">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6A6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1C3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C6B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5B0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529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CF8C">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BFBE">
            <w:pPr>
              <w:rPr>
                <w:rFonts w:hint="eastAsia" w:ascii="宋体" w:hAnsi="宋体" w:eastAsia="宋体" w:cs="宋体"/>
                <w:i w:val="0"/>
                <w:color w:val="000000"/>
                <w:sz w:val="24"/>
                <w:szCs w:val="24"/>
                <w:u w:val="none"/>
              </w:rPr>
            </w:pPr>
          </w:p>
        </w:tc>
      </w:tr>
      <w:tr w14:paraId="31E0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ACC5A">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04D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3EA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E92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26A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FC1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3A31">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F027">
            <w:pPr>
              <w:rPr>
                <w:rFonts w:hint="eastAsia" w:ascii="宋体" w:hAnsi="宋体" w:eastAsia="宋体" w:cs="宋体"/>
                <w:i w:val="0"/>
                <w:color w:val="000000"/>
                <w:sz w:val="24"/>
                <w:szCs w:val="24"/>
                <w:u w:val="none"/>
              </w:rPr>
            </w:pPr>
          </w:p>
        </w:tc>
      </w:tr>
      <w:tr w14:paraId="4C7E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360" w:type="dxa"/>
            <w:gridSpan w:val="9"/>
            <w:tcBorders>
              <w:top w:val="nil"/>
              <w:left w:val="nil"/>
              <w:bottom w:val="nil"/>
              <w:right w:val="nil"/>
            </w:tcBorders>
            <w:shd w:val="clear" w:color="auto" w:fill="auto"/>
            <w:vAlign w:val="center"/>
          </w:tcPr>
          <w:p w14:paraId="773FDB2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35886BC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8C596A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5CFD3F7F">
      <w:pPr>
        <w:widowControl/>
        <w:jc w:val="center"/>
        <w:rPr>
          <w:rFonts w:hint="eastAsia" w:ascii="Times New Roman" w:hAnsi="Times New Roman" w:eastAsia="方正小标宋_GBK" w:cs="Times New Roman"/>
          <w:color w:val="000000"/>
          <w:kern w:val="0"/>
          <w:sz w:val="36"/>
          <w:szCs w:val="36"/>
        </w:rPr>
      </w:pPr>
    </w:p>
    <w:p w14:paraId="4D963F09">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4"/>
        <w:gridCol w:w="1701"/>
        <w:gridCol w:w="1976"/>
        <w:gridCol w:w="2823"/>
        <w:gridCol w:w="2823"/>
        <w:gridCol w:w="3663"/>
      </w:tblGrid>
      <w:tr w14:paraId="08F9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ECFE05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113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34" w:type="dxa"/>
            <w:tcBorders>
              <w:top w:val="nil"/>
              <w:left w:val="nil"/>
              <w:bottom w:val="nil"/>
              <w:right w:val="nil"/>
            </w:tcBorders>
            <w:shd w:val="clear" w:color="auto" w:fill="FFFFFF"/>
            <w:vAlign w:val="center"/>
          </w:tcPr>
          <w:p w14:paraId="2FA4660C">
            <w:pPr>
              <w:jc w:val="center"/>
              <w:rPr>
                <w:rFonts w:hint="eastAsia" w:ascii="宋体" w:hAnsi="宋体" w:eastAsia="宋体" w:cs="宋体"/>
                <w:i w:val="0"/>
                <w:color w:val="000000"/>
                <w:sz w:val="20"/>
                <w:szCs w:val="20"/>
                <w:u w:val="none"/>
              </w:rPr>
            </w:pPr>
          </w:p>
        </w:tc>
        <w:tc>
          <w:tcPr>
            <w:tcW w:w="1701" w:type="dxa"/>
            <w:tcBorders>
              <w:top w:val="nil"/>
              <w:left w:val="nil"/>
              <w:bottom w:val="nil"/>
              <w:right w:val="nil"/>
            </w:tcBorders>
            <w:shd w:val="clear" w:color="auto" w:fill="FFFFFF"/>
            <w:vAlign w:val="center"/>
          </w:tcPr>
          <w:p w14:paraId="4B031D4A">
            <w:pPr>
              <w:jc w:val="center"/>
              <w:rPr>
                <w:rFonts w:hint="eastAsia" w:ascii="宋体" w:hAnsi="宋体" w:eastAsia="宋体" w:cs="宋体"/>
                <w:i w:val="0"/>
                <w:color w:val="000000"/>
                <w:sz w:val="20"/>
                <w:szCs w:val="20"/>
                <w:u w:val="none"/>
              </w:rPr>
            </w:pPr>
          </w:p>
        </w:tc>
        <w:tc>
          <w:tcPr>
            <w:tcW w:w="1976" w:type="dxa"/>
            <w:tcBorders>
              <w:top w:val="nil"/>
              <w:left w:val="nil"/>
              <w:bottom w:val="nil"/>
              <w:right w:val="nil"/>
            </w:tcBorders>
            <w:shd w:val="clear" w:color="auto" w:fill="FFFFFF"/>
            <w:vAlign w:val="center"/>
          </w:tcPr>
          <w:p w14:paraId="6A4A37A9">
            <w:pPr>
              <w:jc w:val="center"/>
              <w:rPr>
                <w:rFonts w:hint="eastAsia" w:ascii="宋体" w:hAnsi="宋体" w:eastAsia="宋体" w:cs="宋体"/>
                <w:i w:val="0"/>
                <w:color w:val="000000"/>
                <w:sz w:val="20"/>
                <w:szCs w:val="20"/>
                <w:u w:val="none"/>
              </w:rPr>
            </w:pPr>
          </w:p>
        </w:tc>
        <w:tc>
          <w:tcPr>
            <w:tcW w:w="2823" w:type="dxa"/>
            <w:tcBorders>
              <w:top w:val="nil"/>
              <w:left w:val="nil"/>
              <w:bottom w:val="nil"/>
              <w:right w:val="nil"/>
            </w:tcBorders>
            <w:shd w:val="clear" w:color="auto" w:fill="FFFFFF"/>
            <w:vAlign w:val="center"/>
          </w:tcPr>
          <w:p w14:paraId="4DF7C64C">
            <w:pPr>
              <w:rPr>
                <w:rFonts w:hint="eastAsia" w:ascii="宋体" w:hAnsi="宋体" w:eastAsia="宋体" w:cs="宋体"/>
                <w:i w:val="0"/>
                <w:color w:val="000000"/>
                <w:sz w:val="20"/>
                <w:szCs w:val="20"/>
                <w:u w:val="none"/>
              </w:rPr>
            </w:pPr>
          </w:p>
        </w:tc>
        <w:tc>
          <w:tcPr>
            <w:tcW w:w="2823" w:type="dxa"/>
            <w:tcBorders>
              <w:top w:val="nil"/>
              <w:left w:val="nil"/>
              <w:bottom w:val="nil"/>
              <w:right w:val="nil"/>
            </w:tcBorders>
            <w:shd w:val="clear" w:color="auto" w:fill="FFFFFF"/>
            <w:vAlign w:val="center"/>
          </w:tcPr>
          <w:p w14:paraId="74020F3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D45DB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151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3835" w:type="dxa"/>
            <w:gridSpan w:val="2"/>
            <w:tcBorders>
              <w:top w:val="nil"/>
              <w:left w:val="nil"/>
              <w:bottom w:val="nil"/>
              <w:right w:val="nil"/>
            </w:tcBorders>
            <w:shd w:val="clear" w:color="auto" w:fill="FFFFFF"/>
            <w:noWrap/>
            <w:vAlign w:val="center"/>
          </w:tcPr>
          <w:p w14:paraId="1EB5ECC1">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部门：溆浦县工业和信息化局</w:t>
            </w:r>
          </w:p>
        </w:tc>
        <w:tc>
          <w:tcPr>
            <w:tcW w:w="1976" w:type="dxa"/>
            <w:tcBorders>
              <w:top w:val="nil"/>
              <w:left w:val="nil"/>
              <w:bottom w:val="nil"/>
              <w:right w:val="nil"/>
            </w:tcBorders>
            <w:shd w:val="clear" w:color="auto" w:fill="FFFFFF"/>
            <w:vAlign w:val="center"/>
          </w:tcPr>
          <w:p w14:paraId="315B31D5">
            <w:pPr>
              <w:jc w:val="center"/>
              <w:rPr>
                <w:rFonts w:hint="eastAsia" w:ascii="宋体" w:hAnsi="宋体" w:eastAsia="宋体" w:cs="宋体"/>
                <w:i w:val="0"/>
                <w:color w:val="000000"/>
                <w:sz w:val="20"/>
                <w:szCs w:val="20"/>
                <w:u w:val="none"/>
              </w:rPr>
            </w:pPr>
          </w:p>
        </w:tc>
        <w:tc>
          <w:tcPr>
            <w:tcW w:w="2823" w:type="dxa"/>
            <w:tcBorders>
              <w:top w:val="nil"/>
              <w:left w:val="nil"/>
              <w:bottom w:val="nil"/>
              <w:right w:val="nil"/>
            </w:tcBorders>
            <w:shd w:val="clear" w:color="auto" w:fill="FFFFFF"/>
            <w:vAlign w:val="center"/>
          </w:tcPr>
          <w:p w14:paraId="4BA3FC8C">
            <w:pPr>
              <w:rPr>
                <w:rFonts w:hint="eastAsia" w:ascii="宋体" w:hAnsi="宋体" w:eastAsia="宋体" w:cs="宋体"/>
                <w:i w:val="0"/>
                <w:color w:val="000000"/>
                <w:sz w:val="20"/>
                <w:szCs w:val="20"/>
                <w:u w:val="none"/>
              </w:rPr>
            </w:pPr>
          </w:p>
        </w:tc>
        <w:tc>
          <w:tcPr>
            <w:tcW w:w="2823" w:type="dxa"/>
            <w:tcBorders>
              <w:top w:val="nil"/>
              <w:left w:val="nil"/>
              <w:bottom w:val="nil"/>
              <w:right w:val="nil"/>
            </w:tcBorders>
            <w:shd w:val="clear" w:color="auto" w:fill="FFFFFF"/>
            <w:vAlign w:val="center"/>
          </w:tcPr>
          <w:p w14:paraId="5517E9A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7CCA1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95B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433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9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8CF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4BEF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313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68A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78D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799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A7A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3D59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49BB">
            <w:pPr>
              <w:jc w:val="center"/>
              <w:rPr>
                <w:rFonts w:hint="eastAsia" w:ascii="宋体" w:hAnsi="宋体" w:eastAsia="宋体" w:cs="宋体"/>
                <w:i w:val="0"/>
                <w:color w:val="000000"/>
                <w:sz w:val="24"/>
                <w:szCs w:val="24"/>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69377">
            <w:pPr>
              <w:jc w:val="center"/>
              <w:rPr>
                <w:rFonts w:hint="eastAsia" w:ascii="宋体" w:hAnsi="宋体" w:eastAsia="宋体" w:cs="宋体"/>
                <w:i w:val="0"/>
                <w:color w:val="000000"/>
                <w:sz w:val="24"/>
                <w:szCs w:val="24"/>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EFB45">
            <w:pPr>
              <w:jc w:val="center"/>
              <w:rPr>
                <w:rFonts w:hint="eastAsia" w:ascii="宋体" w:hAnsi="宋体" w:eastAsia="宋体" w:cs="宋体"/>
                <w:i w:val="0"/>
                <w:color w:val="000000"/>
                <w:sz w:val="24"/>
                <w:szCs w:val="24"/>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3F64A">
            <w:pPr>
              <w:jc w:val="center"/>
              <w:rPr>
                <w:rFonts w:hint="eastAsia" w:ascii="宋体" w:hAnsi="宋体" w:eastAsia="宋体" w:cs="宋体"/>
                <w:i w:val="0"/>
                <w:color w:val="000000"/>
                <w:sz w:val="24"/>
                <w:szCs w:val="24"/>
                <w:u w:val="none"/>
              </w:rPr>
            </w:pPr>
          </w:p>
        </w:tc>
        <w:tc>
          <w:tcPr>
            <w:tcW w:w="3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F9226">
            <w:pPr>
              <w:jc w:val="center"/>
              <w:rPr>
                <w:rFonts w:hint="eastAsia" w:ascii="宋体" w:hAnsi="宋体" w:eastAsia="宋体" w:cs="宋体"/>
                <w:i w:val="0"/>
                <w:color w:val="000000"/>
                <w:sz w:val="24"/>
                <w:szCs w:val="24"/>
                <w:u w:val="none"/>
              </w:rPr>
            </w:pPr>
          </w:p>
        </w:tc>
      </w:tr>
      <w:tr w14:paraId="6CD5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B8518">
            <w:pPr>
              <w:jc w:val="center"/>
              <w:rPr>
                <w:rFonts w:hint="eastAsia" w:ascii="宋体" w:hAnsi="宋体" w:eastAsia="宋体" w:cs="宋体"/>
                <w:i w:val="0"/>
                <w:color w:val="000000"/>
                <w:sz w:val="24"/>
                <w:szCs w:val="24"/>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F0526">
            <w:pPr>
              <w:jc w:val="center"/>
              <w:rPr>
                <w:rFonts w:hint="eastAsia" w:ascii="宋体" w:hAnsi="宋体" w:eastAsia="宋体" w:cs="宋体"/>
                <w:i w:val="0"/>
                <w:color w:val="000000"/>
                <w:sz w:val="24"/>
                <w:szCs w:val="24"/>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85C6F">
            <w:pPr>
              <w:jc w:val="center"/>
              <w:rPr>
                <w:rFonts w:hint="eastAsia" w:ascii="宋体" w:hAnsi="宋体" w:eastAsia="宋体" w:cs="宋体"/>
                <w:i w:val="0"/>
                <w:color w:val="000000"/>
                <w:sz w:val="24"/>
                <w:szCs w:val="24"/>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19BC7">
            <w:pPr>
              <w:jc w:val="center"/>
              <w:rPr>
                <w:rFonts w:hint="eastAsia" w:ascii="宋体" w:hAnsi="宋体" w:eastAsia="宋体" w:cs="宋体"/>
                <w:i w:val="0"/>
                <w:color w:val="000000"/>
                <w:sz w:val="24"/>
                <w:szCs w:val="24"/>
                <w:u w:val="none"/>
              </w:rPr>
            </w:pPr>
          </w:p>
        </w:tc>
        <w:tc>
          <w:tcPr>
            <w:tcW w:w="3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14629">
            <w:pPr>
              <w:jc w:val="center"/>
              <w:rPr>
                <w:rFonts w:hint="eastAsia" w:ascii="宋体" w:hAnsi="宋体" w:eastAsia="宋体" w:cs="宋体"/>
                <w:i w:val="0"/>
                <w:color w:val="000000"/>
                <w:sz w:val="24"/>
                <w:szCs w:val="24"/>
                <w:u w:val="none"/>
              </w:rPr>
            </w:pPr>
          </w:p>
        </w:tc>
      </w:tr>
      <w:tr w14:paraId="0A4D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BAC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20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CD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C9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4063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B64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847F6B">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r w14:paraId="4C25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AB285">
            <w:pPr>
              <w:jc w:val="center"/>
              <w:rPr>
                <w:rFonts w:hint="eastAsia" w:ascii="宋体" w:hAnsi="宋体" w:eastAsia="宋体" w:cs="宋体"/>
                <w:i w:val="0"/>
                <w:color w:val="000000"/>
                <w:sz w:val="24"/>
                <w:szCs w:val="24"/>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C70B">
            <w:pPr>
              <w:rPr>
                <w:rFonts w:hint="eastAsia" w:ascii="宋体" w:hAnsi="宋体" w:eastAsia="宋体" w:cs="宋体"/>
                <w:i w:val="0"/>
                <w:color w:val="000000"/>
                <w:sz w:val="20"/>
                <w:szCs w:val="20"/>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BA86">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9E87">
            <w:pPr>
              <w:rPr>
                <w:rFonts w:hint="eastAsia" w:ascii="宋体" w:hAnsi="宋体" w:eastAsia="宋体" w:cs="宋体"/>
                <w:i w:val="0"/>
                <w:color w:val="000000"/>
                <w:sz w:val="24"/>
                <w:szCs w:val="24"/>
                <w:u w:val="none"/>
              </w:rPr>
            </w:pP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D8FA">
            <w:pPr>
              <w:rPr>
                <w:rFonts w:hint="eastAsia" w:ascii="宋体" w:hAnsi="宋体" w:eastAsia="宋体" w:cs="宋体"/>
                <w:i w:val="0"/>
                <w:color w:val="000000"/>
                <w:sz w:val="24"/>
                <w:szCs w:val="24"/>
                <w:u w:val="none"/>
              </w:rPr>
            </w:pPr>
          </w:p>
        </w:tc>
      </w:tr>
      <w:tr w14:paraId="46F94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B9B73">
            <w:pPr>
              <w:jc w:val="center"/>
              <w:rPr>
                <w:rFonts w:hint="eastAsia" w:ascii="宋体" w:hAnsi="宋体" w:eastAsia="宋体" w:cs="宋体"/>
                <w:i w:val="0"/>
                <w:color w:val="000000"/>
                <w:sz w:val="24"/>
                <w:szCs w:val="24"/>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5485">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7434">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C3FC">
            <w:pPr>
              <w:rPr>
                <w:rFonts w:hint="eastAsia" w:ascii="宋体" w:hAnsi="宋体" w:eastAsia="宋体" w:cs="宋体"/>
                <w:i w:val="0"/>
                <w:color w:val="000000"/>
                <w:sz w:val="24"/>
                <w:szCs w:val="24"/>
                <w:u w:val="none"/>
              </w:rPr>
            </w:pP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6CBA">
            <w:pPr>
              <w:rPr>
                <w:rFonts w:hint="eastAsia" w:ascii="宋体" w:hAnsi="宋体" w:eastAsia="宋体" w:cs="宋体"/>
                <w:i w:val="0"/>
                <w:color w:val="000000"/>
                <w:sz w:val="24"/>
                <w:szCs w:val="24"/>
                <w:u w:val="none"/>
              </w:rPr>
            </w:pPr>
          </w:p>
        </w:tc>
      </w:tr>
      <w:tr w14:paraId="3F550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354D2">
            <w:pPr>
              <w:jc w:val="center"/>
              <w:rPr>
                <w:rFonts w:hint="eastAsia" w:ascii="宋体" w:hAnsi="宋体" w:eastAsia="宋体" w:cs="宋体"/>
                <w:i w:val="0"/>
                <w:color w:val="000000"/>
                <w:sz w:val="24"/>
                <w:szCs w:val="24"/>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748A">
            <w:pPr>
              <w:rPr>
                <w:rFonts w:hint="eastAsia" w:ascii="宋体" w:hAnsi="宋体" w:eastAsia="宋体" w:cs="宋体"/>
                <w:i w:val="0"/>
                <w:color w:val="000000"/>
                <w:sz w:val="20"/>
                <w:szCs w:val="20"/>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EE10">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1675">
            <w:pPr>
              <w:rPr>
                <w:rFonts w:hint="eastAsia" w:ascii="宋体" w:hAnsi="宋体" w:eastAsia="宋体" w:cs="宋体"/>
                <w:i w:val="0"/>
                <w:color w:val="000000"/>
                <w:sz w:val="24"/>
                <w:szCs w:val="24"/>
                <w:u w:val="none"/>
              </w:rPr>
            </w:pP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2657">
            <w:pPr>
              <w:rPr>
                <w:rFonts w:hint="eastAsia" w:ascii="宋体" w:hAnsi="宋体" w:eastAsia="宋体" w:cs="宋体"/>
                <w:i w:val="0"/>
                <w:color w:val="000000"/>
                <w:sz w:val="24"/>
                <w:szCs w:val="24"/>
                <w:u w:val="none"/>
              </w:rPr>
            </w:pPr>
          </w:p>
        </w:tc>
      </w:tr>
      <w:tr w14:paraId="1C48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93EC5">
            <w:pPr>
              <w:jc w:val="center"/>
              <w:rPr>
                <w:rFonts w:hint="eastAsia" w:ascii="宋体" w:hAnsi="宋体" w:eastAsia="宋体" w:cs="宋体"/>
                <w:i w:val="0"/>
                <w:color w:val="000000"/>
                <w:sz w:val="24"/>
                <w:szCs w:val="24"/>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8EC8">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13EA">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7E59">
            <w:pPr>
              <w:rPr>
                <w:rFonts w:hint="eastAsia" w:ascii="宋体" w:hAnsi="宋体" w:eastAsia="宋体" w:cs="宋体"/>
                <w:i w:val="0"/>
                <w:color w:val="000000"/>
                <w:sz w:val="24"/>
                <w:szCs w:val="24"/>
                <w:u w:val="none"/>
              </w:rPr>
            </w:pP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E8AE">
            <w:pPr>
              <w:rPr>
                <w:rFonts w:hint="eastAsia" w:ascii="宋体" w:hAnsi="宋体" w:eastAsia="宋体" w:cs="宋体"/>
                <w:i w:val="0"/>
                <w:color w:val="000000"/>
                <w:sz w:val="24"/>
                <w:szCs w:val="24"/>
                <w:u w:val="none"/>
              </w:rPr>
            </w:pPr>
          </w:p>
        </w:tc>
      </w:tr>
      <w:tr w14:paraId="5D97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87006">
            <w:pPr>
              <w:jc w:val="center"/>
              <w:rPr>
                <w:rFonts w:hint="eastAsia" w:ascii="宋体" w:hAnsi="宋体" w:eastAsia="宋体" w:cs="宋体"/>
                <w:i w:val="0"/>
                <w:color w:val="000000"/>
                <w:sz w:val="24"/>
                <w:szCs w:val="24"/>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AD4C">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EA3C">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1919">
            <w:pPr>
              <w:rPr>
                <w:rFonts w:hint="eastAsia" w:ascii="宋体" w:hAnsi="宋体" w:eastAsia="宋体" w:cs="宋体"/>
                <w:i w:val="0"/>
                <w:color w:val="000000"/>
                <w:sz w:val="24"/>
                <w:szCs w:val="24"/>
                <w:u w:val="none"/>
              </w:rPr>
            </w:pP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10D2">
            <w:pPr>
              <w:rPr>
                <w:rFonts w:hint="eastAsia" w:ascii="宋体" w:hAnsi="宋体" w:eastAsia="宋体" w:cs="宋体"/>
                <w:i w:val="0"/>
                <w:color w:val="000000"/>
                <w:sz w:val="24"/>
                <w:szCs w:val="24"/>
                <w:u w:val="none"/>
              </w:rPr>
            </w:pPr>
          </w:p>
        </w:tc>
      </w:tr>
      <w:tr w14:paraId="2AF0C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97485">
            <w:pPr>
              <w:jc w:val="center"/>
              <w:rPr>
                <w:rFonts w:hint="eastAsia" w:ascii="宋体" w:hAnsi="宋体" w:eastAsia="宋体" w:cs="宋体"/>
                <w:i w:val="0"/>
                <w:color w:val="000000"/>
                <w:sz w:val="24"/>
                <w:szCs w:val="24"/>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A577">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0757">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D843">
            <w:pPr>
              <w:rPr>
                <w:rFonts w:hint="eastAsia" w:ascii="宋体" w:hAnsi="宋体" w:eastAsia="宋体" w:cs="宋体"/>
                <w:i w:val="0"/>
                <w:color w:val="000000"/>
                <w:sz w:val="24"/>
                <w:szCs w:val="24"/>
                <w:u w:val="none"/>
              </w:rPr>
            </w:pP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0E3C">
            <w:pPr>
              <w:rPr>
                <w:rFonts w:hint="eastAsia" w:ascii="宋体" w:hAnsi="宋体" w:eastAsia="宋体" w:cs="宋体"/>
                <w:i w:val="0"/>
                <w:color w:val="000000"/>
                <w:sz w:val="24"/>
                <w:szCs w:val="24"/>
                <w:u w:val="none"/>
              </w:rPr>
            </w:pPr>
          </w:p>
        </w:tc>
      </w:tr>
      <w:tr w14:paraId="3C49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3099FC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22339A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4A393D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4075F529">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9"/>
        <w:gridCol w:w="2100"/>
        <w:gridCol w:w="1649"/>
        <w:gridCol w:w="1043"/>
        <w:gridCol w:w="1043"/>
        <w:gridCol w:w="1044"/>
        <w:gridCol w:w="1044"/>
        <w:gridCol w:w="1160"/>
        <w:gridCol w:w="1044"/>
        <w:gridCol w:w="1044"/>
        <w:gridCol w:w="1044"/>
        <w:gridCol w:w="1256"/>
      </w:tblGrid>
      <w:tr w14:paraId="0580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CA09DF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89E585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7E2F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9" w:type="dxa"/>
            <w:tcBorders>
              <w:top w:val="nil"/>
              <w:left w:val="nil"/>
              <w:bottom w:val="nil"/>
              <w:right w:val="nil"/>
            </w:tcBorders>
            <w:shd w:val="clear" w:color="auto" w:fill="FFFFFF"/>
            <w:vAlign w:val="center"/>
          </w:tcPr>
          <w:p w14:paraId="7AB5E368">
            <w:pPr>
              <w:rPr>
                <w:rFonts w:hint="eastAsia" w:ascii="宋体" w:hAnsi="宋体" w:eastAsia="宋体" w:cs="宋体"/>
                <w:i w:val="0"/>
                <w:color w:val="000000"/>
                <w:sz w:val="20"/>
                <w:szCs w:val="20"/>
                <w:u w:val="none"/>
              </w:rPr>
            </w:pPr>
          </w:p>
        </w:tc>
        <w:tc>
          <w:tcPr>
            <w:tcW w:w="2100" w:type="dxa"/>
            <w:tcBorders>
              <w:top w:val="nil"/>
              <w:left w:val="nil"/>
              <w:bottom w:val="nil"/>
              <w:right w:val="nil"/>
            </w:tcBorders>
            <w:shd w:val="clear" w:color="auto" w:fill="FFFFFF"/>
            <w:vAlign w:val="center"/>
          </w:tcPr>
          <w:p w14:paraId="07585ED4">
            <w:pPr>
              <w:rPr>
                <w:rFonts w:hint="eastAsia" w:ascii="宋体" w:hAnsi="宋体" w:eastAsia="宋体" w:cs="宋体"/>
                <w:i w:val="0"/>
                <w:color w:val="000000"/>
                <w:sz w:val="20"/>
                <w:szCs w:val="20"/>
                <w:u w:val="none"/>
              </w:rPr>
            </w:pPr>
          </w:p>
        </w:tc>
        <w:tc>
          <w:tcPr>
            <w:tcW w:w="1649" w:type="dxa"/>
            <w:tcBorders>
              <w:top w:val="nil"/>
              <w:left w:val="nil"/>
              <w:bottom w:val="nil"/>
              <w:right w:val="nil"/>
            </w:tcBorders>
            <w:shd w:val="clear" w:color="auto" w:fill="FFFFFF"/>
            <w:vAlign w:val="center"/>
          </w:tcPr>
          <w:p w14:paraId="3C29A5A9">
            <w:pPr>
              <w:rPr>
                <w:rFonts w:hint="eastAsia" w:ascii="宋体" w:hAnsi="宋体" w:eastAsia="宋体" w:cs="宋体"/>
                <w:i w:val="0"/>
                <w:color w:val="000000"/>
                <w:sz w:val="20"/>
                <w:szCs w:val="20"/>
                <w:u w:val="none"/>
              </w:rPr>
            </w:pPr>
          </w:p>
        </w:tc>
        <w:tc>
          <w:tcPr>
            <w:tcW w:w="1043" w:type="dxa"/>
            <w:tcBorders>
              <w:top w:val="nil"/>
              <w:left w:val="nil"/>
              <w:bottom w:val="nil"/>
              <w:right w:val="nil"/>
            </w:tcBorders>
            <w:shd w:val="clear" w:color="auto" w:fill="FFFFFF"/>
            <w:vAlign w:val="center"/>
          </w:tcPr>
          <w:p w14:paraId="1D33CFDD">
            <w:pPr>
              <w:rPr>
                <w:rFonts w:hint="eastAsia" w:ascii="宋体" w:hAnsi="宋体" w:eastAsia="宋体" w:cs="宋体"/>
                <w:i w:val="0"/>
                <w:color w:val="000000"/>
                <w:sz w:val="20"/>
                <w:szCs w:val="20"/>
                <w:u w:val="none"/>
              </w:rPr>
            </w:pPr>
          </w:p>
        </w:tc>
        <w:tc>
          <w:tcPr>
            <w:tcW w:w="1043" w:type="dxa"/>
            <w:tcBorders>
              <w:top w:val="nil"/>
              <w:left w:val="nil"/>
              <w:bottom w:val="nil"/>
              <w:right w:val="nil"/>
            </w:tcBorders>
            <w:shd w:val="clear" w:color="auto" w:fill="FFFFFF"/>
            <w:vAlign w:val="center"/>
          </w:tcPr>
          <w:p w14:paraId="478E0C32">
            <w:pPr>
              <w:rPr>
                <w:rFonts w:hint="eastAsia" w:ascii="宋体" w:hAnsi="宋体" w:eastAsia="宋体" w:cs="宋体"/>
                <w:i w:val="0"/>
                <w:color w:val="000000"/>
                <w:sz w:val="20"/>
                <w:szCs w:val="20"/>
                <w:u w:val="none"/>
              </w:rPr>
            </w:pPr>
          </w:p>
        </w:tc>
        <w:tc>
          <w:tcPr>
            <w:tcW w:w="1044" w:type="dxa"/>
            <w:tcBorders>
              <w:top w:val="nil"/>
              <w:left w:val="nil"/>
              <w:bottom w:val="nil"/>
              <w:right w:val="nil"/>
            </w:tcBorders>
            <w:shd w:val="clear" w:color="auto" w:fill="FFFFFF"/>
            <w:vAlign w:val="center"/>
          </w:tcPr>
          <w:p w14:paraId="32EA3B50">
            <w:pPr>
              <w:rPr>
                <w:rFonts w:hint="eastAsia" w:ascii="宋体" w:hAnsi="宋体" w:eastAsia="宋体" w:cs="宋体"/>
                <w:i w:val="0"/>
                <w:color w:val="000000"/>
                <w:sz w:val="20"/>
                <w:szCs w:val="20"/>
                <w:u w:val="none"/>
              </w:rPr>
            </w:pPr>
          </w:p>
        </w:tc>
        <w:tc>
          <w:tcPr>
            <w:tcW w:w="1044" w:type="dxa"/>
            <w:tcBorders>
              <w:top w:val="nil"/>
              <w:left w:val="nil"/>
              <w:bottom w:val="nil"/>
              <w:right w:val="nil"/>
            </w:tcBorders>
            <w:shd w:val="clear" w:color="auto" w:fill="FFFFFF"/>
            <w:vAlign w:val="center"/>
          </w:tcPr>
          <w:p w14:paraId="0995E1D0">
            <w:pPr>
              <w:rPr>
                <w:rFonts w:hint="eastAsia" w:ascii="宋体" w:hAnsi="宋体" w:eastAsia="宋体" w:cs="宋体"/>
                <w:i w:val="0"/>
                <w:color w:val="000000"/>
                <w:sz w:val="20"/>
                <w:szCs w:val="20"/>
                <w:u w:val="none"/>
              </w:rPr>
            </w:pPr>
          </w:p>
        </w:tc>
        <w:tc>
          <w:tcPr>
            <w:tcW w:w="1160" w:type="dxa"/>
            <w:tcBorders>
              <w:top w:val="nil"/>
              <w:left w:val="nil"/>
              <w:bottom w:val="nil"/>
              <w:right w:val="nil"/>
            </w:tcBorders>
            <w:shd w:val="clear" w:color="auto" w:fill="FFFFFF"/>
            <w:vAlign w:val="center"/>
          </w:tcPr>
          <w:p w14:paraId="16C0399D">
            <w:pPr>
              <w:rPr>
                <w:rFonts w:hint="eastAsia" w:ascii="宋体" w:hAnsi="宋体" w:eastAsia="宋体" w:cs="宋体"/>
                <w:i w:val="0"/>
                <w:color w:val="000000"/>
                <w:sz w:val="20"/>
                <w:szCs w:val="20"/>
                <w:u w:val="none"/>
              </w:rPr>
            </w:pPr>
          </w:p>
        </w:tc>
        <w:tc>
          <w:tcPr>
            <w:tcW w:w="1044" w:type="dxa"/>
            <w:tcBorders>
              <w:top w:val="nil"/>
              <w:left w:val="nil"/>
              <w:bottom w:val="nil"/>
              <w:right w:val="nil"/>
            </w:tcBorders>
            <w:shd w:val="clear" w:color="auto" w:fill="FFFFFF"/>
            <w:vAlign w:val="center"/>
          </w:tcPr>
          <w:p w14:paraId="2CFCE824">
            <w:pPr>
              <w:rPr>
                <w:rFonts w:hint="eastAsia" w:ascii="宋体" w:hAnsi="宋体" w:eastAsia="宋体" w:cs="宋体"/>
                <w:i w:val="0"/>
                <w:color w:val="000000"/>
                <w:sz w:val="20"/>
                <w:szCs w:val="20"/>
                <w:u w:val="none"/>
              </w:rPr>
            </w:pPr>
          </w:p>
        </w:tc>
        <w:tc>
          <w:tcPr>
            <w:tcW w:w="1044" w:type="dxa"/>
            <w:tcBorders>
              <w:top w:val="nil"/>
              <w:left w:val="nil"/>
              <w:bottom w:val="nil"/>
              <w:right w:val="nil"/>
            </w:tcBorders>
            <w:shd w:val="clear" w:color="auto" w:fill="FFFFFF"/>
            <w:vAlign w:val="center"/>
          </w:tcPr>
          <w:p w14:paraId="5C1B849D">
            <w:pPr>
              <w:rPr>
                <w:rFonts w:hint="eastAsia" w:ascii="宋体" w:hAnsi="宋体" w:eastAsia="宋体" w:cs="宋体"/>
                <w:i w:val="0"/>
                <w:color w:val="000000"/>
                <w:sz w:val="20"/>
                <w:szCs w:val="20"/>
                <w:u w:val="none"/>
              </w:rPr>
            </w:pPr>
          </w:p>
        </w:tc>
        <w:tc>
          <w:tcPr>
            <w:tcW w:w="1044" w:type="dxa"/>
            <w:tcBorders>
              <w:top w:val="nil"/>
              <w:left w:val="nil"/>
              <w:bottom w:val="nil"/>
              <w:right w:val="nil"/>
            </w:tcBorders>
            <w:shd w:val="clear" w:color="auto" w:fill="FFFFFF"/>
            <w:vAlign w:val="center"/>
          </w:tcPr>
          <w:p w14:paraId="060A8C3D">
            <w:pPr>
              <w:rPr>
                <w:rFonts w:hint="eastAsia" w:ascii="宋体" w:hAnsi="宋体" w:eastAsia="宋体" w:cs="宋体"/>
                <w:i w:val="0"/>
                <w:color w:val="000000"/>
                <w:sz w:val="20"/>
                <w:szCs w:val="20"/>
                <w:u w:val="none"/>
              </w:rPr>
            </w:pPr>
          </w:p>
        </w:tc>
        <w:tc>
          <w:tcPr>
            <w:tcW w:w="1256" w:type="dxa"/>
            <w:tcBorders>
              <w:top w:val="nil"/>
              <w:left w:val="nil"/>
              <w:bottom w:val="nil"/>
              <w:right w:val="nil"/>
            </w:tcBorders>
            <w:shd w:val="clear" w:color="auto" w:fill="FFFFFF"/>
            <w:noWrap/>
            <w:vAlign w:val="center"/>
          </w:tcPr>
          <w:p w14:paraId="2F331A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8CE1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69" w:type="dxa"/>
            <w:gridSpan w:val="2"/>
            <w:tcBorders>
              <w:top w:val="nil"/>
              <w:left w:val="nil"/>
              <w:bottom w:val="nil"/>
              <w:right w:val="nil"/>
            </w:tcBorders>
            <w:shd w:val="clear" w:color="auto" w:fill="FFFFFF"/>
            <w:noWrap/>
            <w:vAlign w:val="center"/>
          </w:tcPr>
          <w:p w14:paraId="6E243FC1">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部门：溆浦县工业和信息化局</w:t>
            </w:r>
          </w:p>
        </w:tc>
        <w:tc>
          <w:tcPr>
            <w:tcW w:w="1649" w:type="dxa"/>
            <w:tcBorders>
              <w:top w:val="nil"/>
              <w:left w:val="nil"/>
              <w:bottom w:val="nil"/>
              <w:right w:val="nil"/>
            </w:tcBorders>
            <w:shd w:val="clear" w:color="auto" w:fill="FFFFFF"/>
            <w:vAlign w:val="center"/>
          </w:tcPr>
          <w:p w14:paraId="4D0CB18E">
            <w:pPr>
              <w:rPr>
                <w:rFonts w:hint="eastAsia" w:ascii="宋体" w:hAnsi="宋体" w:eastAsia="宋体" w:cs="宋体"/>
                <w:i w:val="0"/>
                <w:color w:val="000000"/>
                <w:sz w:val="20"/>
                <w:szCs w:val="20"/>
                <w:u w:val="none"/>
              </w:rPr>
            </w:pPr>
          </w:p>
        </w:tc>
        <w:tc>
          <w:tcPr>
            <w:tcW w:w="1043" w:type="dxa"/>
            <w:tcBorders>
              <w:top w:val="nil"/>
              <w:left w:val="nil"/>
              <w:bottom w:val="nil"/>
              <w:right w:val="nil"/>
            </w:tcBorders>
            <w:shd w:val="clear" w:color="auto" w:fill="FFFFFF"/>
            <w:vAlign w:val="center"/>
          </w:tcPr>
          <w:p w14:paraId="3A89BA4C">
            <w:pPr>
              <w:rPr>
                <w:rFonts w:hint="eastAsia" w:ascii="宋体" w:hAnsi="宋体" w:eastAsia="宋体" w:cs="宋体"/>
                <w:i w:val="0"/>
                <w:color w:val="000000"/>
                <w:sz w:val="20"/>
                <w:szCs w:val="20"/>
                <w:u w:val="none"/>
              </w:rPr>
            </w:pPr>
          </w:p>
        </w:tc>
        <w:tc>
          <w:tcPr>
            <w:tcW w:w="1043" w:type="dxa"/>
            <w:tcBorders>
              <w:top w:val="nil"/>
              <w:left w:val="nil"/>
              <w:bottom w:val="nil"/>
              <w:right w:val="nil"/>
            </w:tcBorders>
            <w:shd w:val="clear" w:color="auto" w:fill="FFFFFF"/>
            <w:vAlign w:val="center"/>
          </w:tcPr>
          <w:p w14:paraId="166F8615">
            <w:pPr>
              <w:rPr>
                <w:rFonts w:hint="eastAsia" w:ascii="宋体" w:hAnsi="宋体" w:eastAsia="宋体" w:cs="宋体"/>
                <w:i w:val="0"/>
                <w:color w:val="000000"/>
                <w:sz w:val="20"/>
                <w:szCs w:val="20"/>
                <w:u w:val="none"/>
              </w:rPr>
            </w:pPr>
          </w:p>
        </w:tc>
        <w:tc>
          <w:tcPr>
            <w:tcW w:w="1044" w:type="dxa"/>
            <w:tcBorders>
              <w:top w:val="nil"/>
              <w:left w:val="nil"/>
              <w:bottom w:val="nil"/>
              <w:right w:val="nil"/>
            </w:tcBorders>
            <w:shd w:val="clear" w:color="auto" w:fill="FFFFFF"/>
            <w:vAlign w:val="center"/>
          </w:tcPr>
          <w:p w14:paraId="3353433C">
            <w:pPr>
              <w:rPr>
                <w:rFonts w:hint="eastAsia" w:ascii="宋体" w:hAnsi="宋体" w:eastAsia="宋体" w:cs="宋体"/>
                <w:i w:val="0"/>
                <w:color w:val="000000"/>
                <w:sz w:val="20"/>
                <w:szCs w:val="20"/>
                <w:u w:val="none"/>
              </w:rPr>
            </w:pPr>
          </w:p>
        </w:tc>
        <w:tc>
          <w:tcPr>
            <w:tcW w:w="1044" w:type="dxa"/>
            <w:tcBorders>
              <w:top w:val="nil"/>
              <w:left w:val="nil"/>
              <w:bottom w:val="nil"/>
              <w:right w:val="nil"/>
            </w:tcBorders>
            <w:shd w:val="clear" w:color="auto" w:fill="FFFFFF"/>
            <w:vAlign w:val="center"/>
          </w:tcPr>
          <w:p w14:paraId="1A658788">
            <w:pPr>
              <w:rPr>
                <w:rFonts w:hint="eastAsia" w:ascii="宋体" w:hAnsi="宋体" w:eastAsia="宋体" w:cs="宋体"/>
                <w:i w:val="0"/>
                <w:color w:val="000000"/>
                <w:sz w:val="20"/>
                <w:szCs w:val="20"/>
                <w:u w:val="none"/>
              </w:rPr>
            </w:pPr>
          </w:p>
        </w:tc>
        <w:tc>
          <w:tcPr>
            <w:tcW w:w="1160" w:type="dxa"/>
            <w:tcBorders>
              <w:top w:val="nil"/>
              <w:left w:val="nil"/>
              <w:bottom w:val="nil"/>
              <w:right w:val="nil"/>
            </w:tcBorders>
            <w:shd w:val="clear" w:color="auto" w:fill="FFFFFF"/>
            <w:vAlign w:val="center"/>
          </w:tcPr>
          <w:p w14:paraId="0DE52BF4">
            <w:pPr>
              <w:rPr>
                <w:rFonts w:hint="eastAsia" w:ascii="宋体" w:hAnsi="宋体" w:eastAsia="宋体" w:cs="宋体"/>
                <w:i w:val="0"/>
                <w:color w:val="000000"/>
                <w:sz w:val="20"/>
                <w:szCs w:val="20"/>
                <w:u w:val="none"/>
              </w:rPr>
            </w:pPr>
          </w:p>
        </w:tc>
        <w:tc>
          <w:tcPr>
            <w:tcW w:w="1044" w:type="dxa"/>
            <w:tcBorders>
              <w:top w:val="nil"/>
              <w:left w:val="nil"/>
              <w:bottom w:val="nil"/>
              <w:right w:val="nil"/>
            </w:tcBorders>
            <w:shd w:val="clear" w:color="auto" w:fill="FFFFFF"/>
            <w:vAlign w:val="center"/>
          </w:tcPr>
          <w:p w14:paraId="277EF78C">
            <w:pPr>
              <w:rPr>
                <w:rFonts w:hint="eastAsia" w:ascii="宋体" w:hAnsi="宋体" w:eastAsia="宋体" w:cs="宋体"/>
                <w:i w:val="0"/>
                <w:color w:val="000000"/>
                <w:sz w:val="20"/>
                <w:szCs w:val="20"/>
                <w:u w:val="none"/>
              </w:rPr>
            </w:pPr>
          </w:p>
        </w:tc>
        <w:tc>
          <w:tcPr>
            <w:tcW w:w="1044" w:type="dxa"/>
            <w:tcBorders>
              <w:top w:val="nil"/>
              <w:left w:val="nil"/>
              <w:bottom w:val="nil"/>
              <w:right w:val="nil"/>
            </w:tcBorders>
            <w:shd w:val="clear" w:color="auto" w:fill="FFFFFF"/>
            <w:vAlign w:val="center"/>
          </w:tcPr>
          <w:p w14:paraId="6556F29C">
            <w:pPr>
              <w:rPr>
                <w:rFonts w:hint="eastAsia" w:ascii="宋体" w:hAnsi="宋体" w:eastAsia="宋体" w:cs="宋体"/>
                <w:i w:val="0"/>
                <w:color w:val="000000"/>
                <w:sz w:val="20"/>
                <w:szCs w:val="20"/>
                <w:u w:val="none"/>
              </w:rPr>
            </w:pPr>
          </w:p>
        </w:tc>
        <w:tc>
          <w:tcPr>
            <w:tcW w:w="1044" w:type="dxa"/>
            <w:tcBorders>
              <w:top w:val="nil"/>
              <w:left w:val="nil"/>
              <w:bottom w:val="nil"/>
              <w:right w:val="nil"/>
            </w:tcBorders>
            <w:shd w:val="clear" w:color="auto" w:fill="FFFFFF"/>
            <w:vAlign w:val="center"/>
          </w:tcPr>
          <w:p w14:paraId="2CB0018B">
            <w:pPr>
              <w:rPr>
                <w:rFonts w:hint="eastAsia" w:ascii="宋体" w:hAnsi="宋体" w:eastAsia="宋体" w:cs="宋体"/>
                <w:i w:val="0"/>
                <w:color w:val="000000"/>
                <w:sz w:val="20"/>
                <w:szCs w:val="20"/>
                <w:u w:val="none"/>
              </w:rPr>
            </w:pPr>
          </w:p>
        </w:tc>
        <w:tc>
          <w:tcPr>
            <w:tcW w:w="1256" w:type="dxa"/>
            <w:tcBorders>
              <w:top w:val="nil"/>
              <w:left w:val="nil"/>
              <w:bottom w:val="nil"/>
              <w:right w:val="nil"/>
            </w:tcBorders>
            <w:shd w:val="clear" w:color="auto" w:fill="FFFFFF"/>
            <w:noWrap/>
            <w:vAlign w:val="center"/>
          </w:tcPr>
          <w:p w14:paraId="0258CA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1B1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85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DB42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5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C08B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00B9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173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A2A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302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1F9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283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3F0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EBF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056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863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7D572">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97D2B">
            <w:pPr>
              <w:jc w:val="center"/>
              <w:rPr>
                <w:rFonts w:hint="eastAsia" w:ascii="宋体" w:hAnsi="宋体" w:eastAsia="宋体" w:cs="宋体"/>
                <w:i w:val="0"/>
                <w:color w:val="000000"/>
                <w:sz w:val="22"/>
                <w:szCs w:val="22"/>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92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6B0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A9919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5B2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742BF3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5A28E">
            <w:pPr>
              <w:jc w:val="center"/>
              <w:rPr>
                <w:rFonts w:hint="eastAsia" w:ascii="宋体" w:hAnsi="宋体" w:eastAsia="宋体" w:cs="宋体"/>
                <w:i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6E676">
            <w:pPr>
              <w:jc w:val="center"/>
              <w:rPr>
                <w:rFonts w:hint="eastAsia" w:ascii="宋体" w:hAnsi="宋体" w:eastAsia="宋体" w:cs="宋体"/>
                <w:i w:val="0"/>
                <w:color w:val="000000"/>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75C0">
            <w:pPr>
              <w:jc w:val="center"/>
              <w:rPr>
                <w:rFonts w:hint="eastAsia" w:ascii="宋体" w:hAnsi="宋体" w:eastAsia="宋体" w:cs="宋体"/>
                <w:i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D7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331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CFC73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3DE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19B47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C211F">
            <w:pPr>
              <w:jc w:val="center"/>
              <w:rPr>
                <w:rFonts w:hint="eastAsia" w:ascii="宋体" w:hAnsi="宋体" w:eastAsia="宋体" w:cs="宋体"/>
                <w:i w:val="0"/>
                <w:color w:val="000000"/>
                <w:sz w:val="22"/>
                <w:szCs w:val="22"/>
                <w:u w:val="none"/>
              </w:rPr>
            </w:pPr>
          </w:p>
        </w:tc>
      </w:tr>
      <w:tr w14:paraId="46E5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B2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D5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A0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60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54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C7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EF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85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CC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73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07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07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EE1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1661">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1EBC">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C21E">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2F76">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25CD">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E103">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9131">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FDDF">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6EAB">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EE1D">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ECBD">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553B">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w:t>
            </w:r>
          </w:p>
        </w:tc>
      </w:tr>
      <w:tr w14:paraId="6806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FC386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75E7982">
      <w:pPr>
        <w:autoSpaceDE w:val="0"/>
        <w:autoSpaceDN w:val="0"/>
        <w:adjustRightInd w:val="0"/>
        <w:ind w:left="315" w:leftChars="150"/>
        <w:jc w:val="left"/>
        <w:rPr>
          <w:rFonts w:ascii="宋体" w:eastAsia="宋体" w:cs="宋体"/>
          <w:kern w:val="0"/>
          <w:sz w:val="24"/>
          <w:szCs w:val="24"/>
        </w:rPr>
      </w:pPr>
    </w:p>
    <w:p w14:paraId="31E108E5">
      <w:pPr>
        <w:autoSpaceDE w:val="0"/>
        <w:autoSpaceDN w:val="0"/>
        <w:adjustRightInd w:val="0"/>
        <w:ind w:left="315" w:leftChars="150"/>
        <w:jc w:val="left"/>
        <w:rPr>
          <w:rFonts w:ascii="宋体" w:eastAsia="宋体" w:cs="宋体"/>
          <w:kern w:val="0"/>
          <w:sz w:val="24"/>
          <w:szCs w:val="24"/>
        </w:rPr>
        <w:sectPr>
          <w:pgSz w:w="16838" w:h="11906" w:orient="landscape"/>
          <w:pgMar w:top="720" w:right="720" w:bottom="720" w:left="720" w:header="851" w:footer="992" w:gutter="0"/>
          <w:cols w:space="0" w:num="1"/>
          <w:rtlGutter w:val="0"/>
          <w:docGrid w:type="lines" w:linePitch="317" w:charSpace="0"/>
        </w:sectPr>
      </w:pPr>
    </w:p>
    <w:p w14:paraId="3DA61C89">
      <w:pPr>
        <w:pStyle w:val="7"/>
      </w:pPr>
    </w:p>
    <w:p w14:paraId="500457C7">
      <w:pPr>
        <w:autoSpaceDE w:val="0"/>
        <w:autoSpaceDN w:val="0"/>
        <w:adjustRightInd w:val="0"/>
        <w:ind w:left="315" w:leftChars="150"/>
        <w:jc w:val="left"/>
        <w:rPr>
          <w:rFonts w:ascii="宋体" w:eastAsia="宋体" w:cs="宋体"/>
          <w:kern w:val="0"/>
          <w:sz w:val="24"/>
          <w:szCs w:val="24"/>
        </w:rPr>
      </w:pPr>
    </w:p>
    <w:p w14:paraId="02AA2F28">
      <w:pPr>
        <w:autoSpaceDE w:val="0"/>
        <w:autoSpaceDN w:val="0"/>
        <w:adjustRightInd w:val="0"/>
        <w:ind w:left="315" w:leftChars="150"/>
        <w:jc w:val="left"/>
        <w:rPr>
          <w:rFonts w:ascii="宋体" w:eastAsia="宋体" w:cs="宋体"/>
          <w:kern w:val="0"/>
          <w:sz w:val="24"/>
          <w:szCs w:val="24"/>
        </w:rPr>
      </w:pPr>
    </w:p>
    <w:p w14:paraId="02209105">
      <w:pPr>
        <w:autoSpaceDE w:val="0"/>
        <w:autoSpaceDN w:val="0"/>
        <w:adjustRightInd w:val="0"/>
        <w:ind w:left="315" w:leftChars="150"/>
        <w:jc w:val="left"/>
        <w:rPr>
          <w:rFonts w:ascii="宋体" w:eastAsia="宋体" w:cs="宋体"/>
          <w:kern w:val="0"/>
          <w:sz w:val="24"/>
          <w:szCs w:val="24"/>
        </w:rPr>
      </w:pPr>
    </w:p>
    <w:p w14:paraId="0A3EF77B">
      <w:pPr>
        <w:widowControl/>
        <w:jc w:val="center"/>
        <w:rPr>
          <w:rFonts w:hint="eastAsia" w:ascii="方正小标宋_GBK" w:hAnsi="方正小标宋_GBK" w:eastAsia="方正小标宋_GBK" w:cs="方正小标宋_GBK"/>
          <w:sz w:val="72"/>
          <w:szCs w:val="72"/>
        </w:rPr>
      </w:pPr>
    </w:p>
    <w:p w14:paraId="396F1B3F">
      <w:pPr>
        <w:widowControl/>
        <w:jc w:val="center"/>
        <w:rPr>
          <w:rFonts w:hint="eastAsia" w:ascii="方正小标宋_GBK" w:hAnsi="方正小标宋_GBK" w:eastAsia="方正小标宋_GBK" w:cs="方正小标宋_GBK"/>
          <w:sz w:val="72"/>
          <w:szCs w:val="72"/>
        </w:rPr>
      </w:pPr>
    </w:p>
    <w:p w14:paraId="3285B54C">
      <w:pPr>
        <w:widowControl/>
        <w:jc w:val="center"/>
        <w:rPr>
          <w:rFonts w:hint="eastAsia" w:ascii="方正小标宋_GBK" w:hAnsi="方正小标宋_GBK" w:eastAsia="方正小标宋_GBK" w:cs="方正小标宋_GBK"/>
          <w:sz w:val="72"/>
          <w:szCs w:val="72"/>
        </w:rPr>
      </w:pPr>
    </w:p>
    <w:p w14:paraId="23E22AFA">
      <w:pPr>
        <w:widowControl/>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BAADDC2">
      <w:pPr>
        <w:pStyle w:val="14"/>
        <w:jc w:val="center"/>
        <w:rPr>
          <w:rFonts w:hint="eastAsia" w:ascii="方正小标宋_GBK" w:hAnsi="方正小标宋_GBK" w:eastAsia="方正小标宋_GBK" w:cs="方正小标宋_GBK"/>
          <w:sz w:val="70"/>
          <w:szCs w:val="70"/>
        </w:rPr>
      </w:pPr>
    </w:p>
    <w:p w14:paraId="0F9A8E06">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A9C6547">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9F33FD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6D17EE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5001.21</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9710.68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66.01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智慧城市和企业补助专项资金收支的减少。</w:t>
      </w:r>
    </w:p>
    <w:p w14:paraId="1FC75F8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D4A390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4715.34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4037.5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85.62</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677.84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14.38</w:t>
      </w:r>
      <w:r>
        <w:rPr>
          <w:rFonts w:hint="eastAsia" w:ascii="Times New Roman" w:hAnsi="Times New Roman" w:eastAsia="仿宋_GB2312"/>
          <w:sz w:val="32"/>
          <w:szCs w:val="32"/>
        </w:rPr>
        <w:t>%。</w:t>
      </w:r>
    </w:p>
    <w:p w14:paraId="0A71B44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96D457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5001.21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660.82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13.21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4340.39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86.79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403A41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AD1D848">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4037.5</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9424.84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70.01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智慧城市和企业补助专项资金收支的减少。</w:t>
      </w:r>
    </w:p>
    <w:p w14:paraId="2ECF0D5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4550C0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7F81D45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4037.5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80.73</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9242.84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70.01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智慧城市和企业补助专项资金收支的减少。</w:t>
      </w:r>
    </w:p>
    <w:p w14:paraId="3D220D58">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6B7D2A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4037.5</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类）支出123.39万元，占比3.06%；卫生健康（类）支出698.84万元，占17.31%；资源勘探工业信息等（类）支出3190.04万元，占79.01%；自然资源海洋气象等（类）支出5万元，占0.12%。住房保障（类）支出20.23万元，占0.5%；</w:t>
      </w:r>
    </w:p>
    <w:p w14:paraId="0DB4B86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BD6BD1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4037.5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4037.5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63492C9F">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1、社会保障和就业支出（类）行政事业单位养老支出（款）机关事业单位基本养老保险缴费支出（项）。</w:t>
      </w:r>
    </w:p>
    <w:p w14:paraId="46E70CEC">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年初预算为46.8万元，支出决算为46.8万元，完成年初预算的100%，决算数与年初预算数一致。</w:t>
      </w:r>
    </w:p>
    <w:p w14:paraId="4BD9D15B">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2、社会保障和就业支出（类）抚恤（款）死亡抚恤（项）。</w:t>
      </w:r>
    </w:p>
    <w:p w14:paraId="416FA46F">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年初预算为76.59万元，支出决算为76.59万元，完成年初预算的100%，决算数䨒年初预算数一致。</w:t>
      </w:r>
    </w:p>
    <w:p w14:paraId="5761E3F1">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3、卫生健康支出（类）公立医院（款）康复医院（项）。</w:t>
      </w:r>
    </w:p>
    <w:p w14:paraId="5CEACFFF">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年初预算为17.89万元，支出决算17.89万元，完成年初预算的100%，决算数与年初预算数一致。</w:t>
      </w:r>
    </w:p>
    <w:p w14:paraId="6E655AAA">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4、卫生健康支出（类）公共卫生（款）突发公共卫生事件应急处（项）。</w:t>
      </w:r>
    </w:p>
    <w:p w14:paraId="4B83528C">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年初预算为660.54万元，支出决算为660.54万元，完成年初预算的100%，决算数与年初预算数一致。</w:t>
      </w:r>
    </w:p>
    <w:p w14:paraId="42EB27B2">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5、卫生健康支出（类）行政事业单位医疗（款）行政单位医疗（项）。</w:t>
      </w:r>
    </w:p>
    <w:p w14:paraId="1CB30C9F">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年初预算为20.41万元，支出决算为20.41万元，完成年初预算的100%，决算数与年初预算数一致。</w:t>
      </w:r>
    </w:p>
    <w:p w14:paraId="30928C61">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6、资源勘探工业信息等支出（类）制造业（款）其他制造业支出（项）。</w:t>
      </w:r>
    </w:p>
    <w:p w14:paraId="17B44607">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年初预算320.39万元，支出决算为320.39万元，完成年初预算的100%，决算数与年初预算数一致。</w:t>
      </w:r>
    </w:p>
    <w:p w14:paraId="6DA41A76">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7、资源勘探工业信息等支出（类）工业和信息产业监管（款）行政运行（项）。</w:t>
      </w:r>
    </w:p>
    <w:p w14:paraId="78F1EF45">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年初预算为368.99万元，支出决算为368.99万元，完成年初预算的100%，决算数与年初预算数一致。</w:t>
      </w:r>
    </w:p>
    <w:p w14:paraId="03DABAF9">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8、资源勘探工业信息等支出（类）工业和信息产业监管（款）一般行政管理事务（项）。</w:t>
      </w:r>
    </w:p>
    <w:p w14:paraId="67CC83F1">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年初预算为1.84万元，支出决算为1.84万元，完成年初预算的100%，决算数与年初预算数一致。</w:t>
      </w:r>
    </w:p>
    <w:p w14:paraId="55287D58">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9、资源勘探工业信息等支出（类）工业和信息产业监管（款）产业发展（项）。</w:t>
      </w:r>
    </w:p>
    <w:p w14:paraId="7ABAC837">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年初预算为94.2万元，支出决算为94.2万元，完成年初预算的100%，决算数与年初预算数一致。</w:t>
      </w:r>
    </w:p>
    <w:p w14:paraId="7F8AA20C">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10、资源勘探工业信息等支出（类）工业和信息产业监管（款）其他工业和信息产业监管支出（项）。</w:t>
      </w:r>
    </w:p>
    <w:p w14:paraId="79390FAA">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年初预算为2404.62万元，支出决算为2404.62万元，完成年初预算的100%，决算数与年初预算数一致。</w:t>
      </w:r>
    </w:p>
    <w:p w14:paraId="3A6454C1">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11、自然资源海洋气象等支出（类）自然资源事务（款）自然资源利用与保护（项）。</w:t>
      </w:r>
    </w:p>
    <w:p w14:paraId="78CFCAA9">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年初预算5万元，支出决算为5万元，完成年初预算的100%，决算数与年初预算数一致。</w:t>
      </w:r>
    </w:p>
    <w:p w14:paraId="24A00154">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12、住房保障支出（类）住房改革支出（款）住房公积金（项）。</w:t>
      </w:r>
    </w:p>
    <w:p w14:paraId="0D193362">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年初预算为20.23万元，支出决算为20.23万元，完成年初预算的100%，决算数与年初预算数一致。</w:t>
      </w:r>
    </w:p>
    <w:p w14:paraId="66A0363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708B2A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542.25</w:t>
      </w:r>
      <w:r>
        <w:rPr>
          <w:rFonts w:hint="eastAsia" w:ascii="Times New Roman" w:hAnsi="Times New Roman" w:eastAsia="仿宋_GB2312"/>
          <w:sz w:val="32"/>
          <w:szCs w:val="32"/>
        </w:rPr>
        <w:t>万元，其中：</w:t>
      </w:r>
    </w:p>
    <w:p w14:paraId="7F6D1A37">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473.67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87.35</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152.29万元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79.26万元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11.49万元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0.41万元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绩效工资48.3万元、机关事业单位基本养老保险缴费46.69万元、职工基本医疗缴费20.41万元、其他社会保障缴费0.12万元、住房公积金20.23万元、抚恤金69.77万元、生活补助6.82万元；</w:t>
      </w:r>
    </w:p>
    <w:p w14:paraId="48CCC892">
      <w:pPr>
        <w:pStyle w:val="14"/>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68.58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12.65</w:t>
      </w:r>
      <w:r>
        <w:rPr>
          <w:rFonts w:hint="eastAsia" w:ascii="Times New Roman" w:hAnsi="Times New Roman" w:eastAsia="仿宋_GB2312"/>
          <w:sz w:val="32"/>
          <w:szCs w:val="32"/>
        </w:rPr>
        <w:t>%，主要包括办</w:t>
      </w:r>
      <w:r>
        <w:rPr>
          <w:rFonts w:hint="eastAsia" w:ascii="Times New Roman" w:hAnsi="Times New Roman" w:eastAsia="仿宋_GB2312"/>
          <w:sz w:val="32"/>
          <w:szCs w:val="32"/>
          <w:lang w:val="en-US" w:eastAsia="zh-CN"/>
        </w:rPr>
        <w:t>公费1.16万元、水费0.16万元、电费0.38万元、邮电费0.14万元、差旅费24.73万元、会议费0.8万元、培训费0.5万元、劳务费0.07万元、工会经费10.43万元、福利费0.2万元、其他交通费用24.77万元、其他商品和服务支出5.23万元。</w:t>
      </w:r>
    </w:p>
    <w:p w14:paraId="455DC9A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7DB4BA0F">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4E1D10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励行节约，</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0.14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53.85</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本年接待次数增加</w:t>
      </w:r>
      <w:r>
        <w:rPr>
          <w:rFonts w:hint="eastAsia" w:ascii="Times New Roman" w:hAnsi="Times New Roman" w:eastAsia="仿宋_GB2312"/>
          <w:sz w:val="32"/>
          <w:szCs w:val="32"/>
        </w:rPr>
        <w:t>。其中：</w:t>
      </w:r>
    </w:p>
    <w:p w14:paraId="11ED291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0" w:name="OLE_LINK1"/>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bookmarkEnd w:id="0"/>
      <w:r>
        <w:rPr>
          <w:rFonts w:hint="eastAsia" w:ascii="Times New Roman" w:hAnsi="Times New Roman" w:eastAsia="仿宋_GB2312"/>
          <w:sz w:val="32"/>
          <w:szCs w:val="32"/>
          <w:lang w:eastAsia="zh-CN"/>
        </w:rPr>
        <w:t>与上年一致</w:t>
      </w:r>
      <w:r>
        <w:rPr>
          <w:rFonts w:hint="eastAsia" w:ascii="Times New Roman" w:hAnsi="Times New Roman" w:eastAsia="仿宋_GB2312"/>
          <w:sz w:val="32"/>
          <w:szCs w:val="32"/>
        </w:rPr>
        <w:t>。</w:t>
      </w:r>
    </w:p>
    <w:p w14:paraId="4419185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于预算数的主要原因是</w:t>
      </w:r>
      <w:r>
        <w:rPr>
          <w:rFonts w:hint="eastAsia" w:ascii="Times New Roman" w:hAnsi="Times New Roman" w:eastAsia="仿宋_GB2312"/>
          <w:sz w:val="32"/>
          <w:szCs w:val="32"/>
          <w:lang w:eastAsia="zh-CN"/>
        </w:rPr>
        <w:t>节约开支</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0.14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53.85</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本年接待次数增加</w:t>
      </w:r>
      <w:r>
        <w:rPr>
          <w:rFonts w:hint="eastAsia" w:ascii="Times New Roman" w:hAnsi="Times New Roman" w:eastAsia="仿宋_GB2312"/>
          <w:sz w:val="32"/>
          <w:szCs w:val="32"/>
        </w:rPr>
        <w:t>。</w:t>
      </w:r>
    </w:p>
    <w:p w14:paraId="13DCC08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p>
    <w:p w14:paraId="339B580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决算数等于预算数，与上年一致。</w:t>
      </w:r>
    </w:p>
    <w:p w14:paraId="1D5F1689">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75A711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4561AC6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218036F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万元，全年共接待来访团组5个、来宾23人次，主要是市工信局工业投资、运行调度、企业减负调研等发生的接待支出。</w:t>
      </w:r>
    </w:p>
    <w:p w14:paraId="713E05FA">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溆浦县工业和信息化局</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4761C5D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88CF6A8">
      <w:pPr>
        <w:pStyle w:val="14"/>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 xml:space="preserve">   </w:t>
      </w:r>
    </w:p>
    <w:p w14:paraId="268855B6">
      <w:pPr>
        <w:pStyle w:val="14"/>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本单位无政府性基金收支</w:t>
      </w:r>
    </w:p>
    <w:p w14:paraId="049E7331">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214411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68.58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比上年决算数增加</w:t>
      </w:r>
      <w:r>
        <w:rPr>
          <w:rFonts w:hint="eastAsia" w:ascii="Times New Roman" w:hAnsi="Times New Roman" w:eastAsia="仿宋_GB2312"/>
          <w:sz w:val="32"/>
          <w:szCs w:val="32"/>
          <w:lang w:val="en-US" w:eastAsia="zh-CN"/>
        </w:rPr>
        <w:t>0.14</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53.85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本年接待次数增加</w:t>
      </w:r>
      <w:r>
        <w:rPr>
          <w:rFonts w:hint="eastAsia" w:ascii="Times New Roman" w:hAnsi="Times New Roman" w:eastAsia="仿宋_GB2312"/>
          <w:sz w:val="32"/>
          <w:szCs w:val="32"/>
        </w:rPr>
        <w:t>。</w:t>
      </w:r>
    </w:p>
    <w:p w14:paraId="132F94C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3B4DE8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万元，用于召开全县</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企业送政策、解难题</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名干部联百企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活动会议，人数</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人，内容为企业送政策、解难题，百名干部联百企等活动内容；</w:t>
      </w:r>
    </w:p>
    <w:p w14:paraId="0EAF7D3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万元，用于开展事业干部线上培训，人数</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人，内容为2022年度、2023年度事业干部线上培训费用。</w:t>
      </w:r>
    </w:p>
    <w:p w14:paraId="0F7075F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u w:val="single"/>
          <w:lang w:val="en-US" w:eastAsia="zh-CN"/>
        </w:rPr>
      </w:pPr>
      <w:r>
        <w:rPr>
          <w:rFonts w:hint="eastAsia" w:ascii="Times New Roman" w:hAnsi="Times New Roman" w:eastAsia="仿宋_GB2312"/>
          <w:sz w:val="32"/>
          <w:szCs w:val="32"/>
          <w:lang w:val="en-US" w:eastAsia="zh-CN"/>
        </w:rPr>
        <w:t>举办0次节庆、晚会、论坛、赛事等活动，</w:t>
      </w:r>
      <w:r>
        <w:rPr>
          <w:rFonts w:hint="eastAsia" w:ascii="Times New Roman" w:hAnsi="Times New Roman" w:eastAsia="仿宋_GB2312"/>
          <w:sz w:val="32"/>
          <w:szCs w:val="32"/>
        </w:rPr>
        <w:t>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u w:val="none"/>
          <w:shd w:val="clear" w:fill="FFFFFF" w:themeFill="background1"/>
          <w:lang w:val="en-US" w:eastAsia="zh-CN"/>
        </w:rPr>
        <w:t xml:space="preserve">     </w:t>
      </w:r>
      <w:r>
        <w:rPr>
          <w:rFonts w:hint="eastAsia" w:ascii="Times New Roman" w:hAnsi="Times New Roman" w:eastAsia="仿宋_GB2312"/>
          <w:sz w:val="32"/>
          <w:szCs w:val="32"/>
          <w:lang w:val="en-US" w:eastAsia="zh-CN"/>
        </w:rPr>
        <w:t xml:space="preserve">  </w:t>
      </w:r>
    </w:p>
    <w:p w14:paraId="5122F1E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9546E6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863.77</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863.77</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863.77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863.77</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6F43F7D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58D36BD0">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47B053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06E6A9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80344C8">
      <w:pPr>
        <w:pStyle w:val="14"/>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仿宋" w:hAnsi="仿宋" w:eastAsia="仿宋" w:cs="仿宋"/>
          <w:b/>
          <w:bCs/>
          <w:spacing w:val="-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4715.34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4037.5</w:t>
      </w:r>
      <w:r>
        <w:rPr>
          <w:rFonts w:hint="eastAsia" w:ascii="Times New Roman" w:hAnsi="Times New Roman" w:eastAsia="仿宋_GB2312"/>
          <w:sz w:val="32"/>
          <w:szCs w:val="32"/>
        </w:rPr>
        <w:t>万元；上级补助收入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万元；其他收入</w:t>
      </w:r>
      <w:r>
        <w:rPr>
          <w:rFonts w:hint="eastAsia" w:ascii="Times New Roman" w:hAnsi="Times New Roman" w:eastAsia="仿宋_GB2312"/>
          <w:sz w:val="32"/>
          <w:szCs w:val="32"/>
          <w:lang w:val="en-US" w:eastAsia="zh-CN"/>
        </w:rPr>
        <w:t>677.84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年初结转和结余</w:t>
      </w:r>
      <w:r>
        <w:rPr>
          <w:rFonts w:hint="eastAsia" w:ascii="Times New Roman" w:hAnsi="Times New Roman" w:eastAsia="仿宋_GB2312"/>
          <w:sz w:val="32"/>
          <w:szCs w:val="32"/>
          <w:lang w:val="en-US" w:eastAsia="zh-CN"/>
        </w:rPr>
        <w:t>286.86万元。收入总合计5001.21万元。</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5001.21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660.82</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4340.39</w:t>
      </w:r>
      <w:r>
        <w:rPr>
          <w:rFonts w:hint="eastAsia" w:ascii="Times New Roman" w:hAnsi="Times New Roman" w:eastAsia="仿宋_GB2312"/>
          <w:sz w:val="32"/>
          <w:szCs w:val="32"/>
        </w:rPr>
        <w:t>万元；上缴上级支出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rPr>
        <w:t>主要用于单位为保证日常运转发生的基本支出和业务发展而发生的项目支出。</w:t>
      </w:r>
    </w:p>
    <w:p w14:paraId="28D2CBFC">
      <w:pPr>
        <w:keepNext w:val="0"/>
        <w:keepLines w:val="0"/>
        <w:pageBreakBefore w:val="0"/>
        <w:numPr>
          <w:ilvl w:val="0"/>
          <w:numId w:val="0"/>
        </w:numPr>
        <w:shd w:val="clear" w:color="auto"/>
        <w:kinsoku/>
        <w:wordWrap/>
        <w:topLinePunct w:val="0"/>
        <w:autoSpaceDE/>
        <w:autoSpaceDN/>
        <w:bidi w:val="0"/>
        <w:adjustRightInd/>
        <w:spacing w:line="540" w:lineRule="exact"/>
        <w:ind w:firstLine="635" w:firstLineChars="200"/>
        <w:textAlignment w:val="auto"/>
        <w:rPr>
          <w:rFonts w:hint="eastAsia" w:ascii="楷体" w:hAnsi="楷体" w:eastAsia="楷体" w:cs="楷体"/>
          <w:b/>
          <w:bCs/>
          <w:spacing w:val="-2"/>
          <w:sz w:val="32"/>
          <w:szCs w:val="32"/>
        </w:rPr>
      </w:pPr>
      <w:r>
        <w:rPr>
          <w:rFonts w:hint="eastAsia" w:ascii="楷体" w:hAnsi="楷体" w:eastAsia="楷体" w:cs="楷体"/>
          <w:b/>
          <w:bCs/>
          <w:spacing w:val="-2"/>
          <w:sz w:val="32"/>
          <w:szCs w:val="32"/>
          <w:lang w:val="en-US" w:eastAsia="zh-CN"/>
        </w:rPr>
        <w:t>1.</w:t>
      </w:r>
      <w:r>
        <w:rPr>
          <w:rFonts w:hint="eastAsia" w:ascii="楷体" w:hAnsi="楷体" w:eastAsia="楷体" w:cs="楷体"/>
          <w:b/>
          <w:bCs/>
          <w:spacing w:val="-2"/>
          <w:sz w:val="32"/>
          <w:szCs w:val="32"/>
        </w:rPr>
        <w:t>一般公共预算支出情况</w:t>
      </w:r>
    </w:p>
    <w:p w14:paraId="0B3E10EB">
      <w:pPr>
        <w:keepNext w:val="0"/>
        <w:keepLines w:val="0"/>
        <w:pageBreakBefore w:val="0"/>
        <w:numPr>
          <w:ilvl w:val="0"/>
          <w:numId w:val="0"/>
        </w:numPr>
        <w:shd w:val="clear" w:color="auto"/>
        <w:kinsoku/>
        <w:wordWrap/>
        <w:topLinePunct w:val="0"/>
        <w:autoSpaceDE/>
        <w:autoSpaceDN/>
        <w:bidi w:val="0"/>
        <w:adjustRightInd/>
        <w:spacing w:line="540" w:lineRule="exact"/>
        <w:ind w:firstLine="635" w:firstLineChars="200"/>
        <w:textAlignment w:val="auto"/>
        <w:rPr>
          <w:rFonts w:hint="eastAsia" w:ascii="仿宋" w:hAnsi="仿宋" w:eastAsia="仿宋" w:cs="仿宋"/>
          <w:b/>
          <w:bCs/>
          <w:spacing w:val="-2"/>
          <w:kern w:val="0"/>
          <w:sz w:val="32"/>
          <w:szCs w:val="32"/>
        </w:rPr>
      </w:pPr>
      <w:r>
        <w:rPr>
          <w:rFonts w:hint="eastAsia" w:ascii="仿宋" w:hAnsi="仿宋" w:eastAsia="仿宋" w:cs="仿宋"/>
          <w:b/>
          <w:bCs/>
          <w:spacing w:val="-2"/>
          <w:kern w:val="0"/>
          <w:sz w:val="32"/>
          <w:szCs w:val="32"/>
          <w:lang w:val="en-US" w:eastAsia="zh-CN"/>
        </w:rPr>
        <w:t>（1）</w:t>
      </w:r>
      <w:r>
        <w:rPr>
          <w:rFonts w:hint="eastAsia" w:ascii="仿宋" w:hAnsi="仿宋" w:eastAsia="仿宋" w:cs="仿宋"/>
          <w:b/>
          <w:bCs/>
          <w:spacing w:val="-2"/>
          <w:kern w:val="0"/>
          <w:sz w:val="32"/>
          <w:szCs w:val="32"/>
        </w:rPr>
        <w:t>基本支出</w:t>
      </w:r>
    </w:p>
    <w:p w14:paraId="16F02D9D">
      <w:pPr>
        <w:pStyle w:val="14"/>
        <w:keepNext w:val="0"/>
        <w:keepLines w:val="0"/>
        <w:pageBreakBefore w:val="0"/>
        <w:widowControl w:val="0"/>
        <w:shd w:val="clear"/>
        <w:kinsoku/>
        <w:wordWrap/>
        <w:overflowPunct/>
        <w:topLinePunct w:val="0"/>
        <w:bidi w:val="0"/>
        <w:snapToGrid/>
        <w:spacing w:line="600" w:lineRule="exact"/>
        <w:ind w:firstLine="632" w:firstLineChars="200"/>
        <w:textAlignment w:val="auto"/>
        <w:rPr>
          <w:rFonts w:hint="eastAsia" w:ascii="Times New Roman" w:hAnsi="Times New Roman" w:eastAsia="仿宋_GB2312"/>
          <w:sz w:val="32"/>
          <w:szCs w:val="32"/>
        </w:rPr>
      </w:pPr>
      <w:r>
        <w:rPr>
          <w:rFonts w:hint="eastAsia" w:ascii="仿宋" w:hAnsi="仿宋" w:eastAsia="仿宋" w:cs="仿宋"/>
          <w:spacing w:val="-2"/>
          <w:sz w:val="32"/>
          <w:szCs w:val="32"/>
        </w:rPr>
        <w:t>基本支出主要范围是保障我单位正常运转、完成日常工作任务而发生的各项支出，用途是在职人员基本工资、津贴补贴等人员经费以及办公费、印刷费、水电费、邮电费等日常公用经费</w:t>
      </w:r>
      <w:r>
        <w:rPr>
          <w:rFonts w:hint="eastAsia" w:ascii="仿宋" w:hAnsi="仿宋" w:eastAsia="仿宋" w:cs="仿宋"/>
          <w:spacing w:val="-2"/>
          <w:sz w:val="32"/>
          <w:szCs w:val="32"/>
          <w:lang w:eastAsia="zh-CN"/>
        </w:rPr>
        <w:t>。我单位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542.25</w:t>
      </w:r>
      <w:r>
        <w:rPr>
          <w:rFonts w:hint="eastAsia" w:ascii="Times New Roman" w:hAnsi="Times New Roman" w:eastAsia="仿宋_GB2312"/>
          <w:sz w:val="32"/>
          <w:szCs w:val="32"/>
        </w:rPr>
        <w:t>万元</w:t>
      </w:r>
      <w:r>
        <w:rPr>
          <w:rFonts w:hint="eastAsia" w:ascii="仿宋" w:hAnsi="仿宋" w:eastAsia="仿宋" w:cs="仿宋"/>
          <w:sz w:val="32"/>
          <w:szCs w:val="32"/>
        </w:rPr>
        <w:t>；</w:t>
      </w:r>
      <w:r>
        <w:rPr>
          <w:rFonts w:hint="eastAsia" w:ascii="Times New Roman" w:hAnsi="Times New Roman" w:eastAsia="仿宋_GB2312"/>
          <w:b w:val="0"/>
          <w:bCs w:val="0"/>
          <w:sz w:val="32"/>
          <w:szCs w:val="32"/>
        </w:rPr>
        <w:t>人员经费</w:t>
      </w:r>
      <w:r>
        <w:rPr>
          <w:rFonts w:hint="eastAsia" w:ascii="Times New Roman" w:hAnsi="Times New Roman" w:eastAsia="仿宋_GB2312"/>
          <w:sz w:val="32"/>
          <w:szCs w:val="32"/>
          <w:lang w:val="en-US" w:eastAsia="zh-CN"/>
        </w:rPr>
        <w:t>473.67</w:t>
      </w:r>
      <w:r>
        <w:rPr>
          <w:rFonts w:hint="eastAsia" w:ascii="Times New Roman" w:hAnsi="Times New Roman" w:eastAsia="仿宋_GB2312"/>
          <w:sz w:val="32"/>
          <w:szCs w:val="32"/>
        </w:rPr>
        <w:t>万元,主要包括基本工资</w:t>
      </w:r>
      <w:r>
        <w:rPr>
          <w:rFonts w:hint="eastAsia" w:ascii="Times New Roman" w:hAnsi="Times New Roman" w:eastAsia="仿宋_GB2312"/>
          <w:sz w:val="32"/>
          <w:szCs w:val="32"/>
          <w:lang w:val="en-US" w:eastAsia="zh-CN"/>
        </w:rPr>
        <w:t>152.29万元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79.26万元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11.49万元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0.41万元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绩效工资48.3万元、机关事业单位基本养老保险缴费46.69万元、职工基本医疗缴费20.41万元、其他社会保障缴费0.12万元、住房公积金20.23万元、抚恤金69.77万元、生活补助6.82万元；</w:t>
      </w:r>
    </w:p>
    <w:p w14:paraId="7D339B18">
      <w:pPr>
        <w:pStyle w:val="14"/>
        <w:shd w:val="clear"/>
        <w:ind w:firstLine="643" w:firstLineChars="200"/>
        <w:rPr>
          <w:rFonts w:hint="eastAsia" w:ascii="仿宋" w:hAnsi="仿宋" w:eastAsia="仿宋" w:cs="仿宋"/>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68.58</w:t>
      </w:r>
      <w:r>
        <w:rPr>
          <w:rFonts w:hint="eastAsia" w:ascii="Times New Roman" w:hAnsi="Times New Roman" w:eastAsia="仿宋_GB2312"/>
          <w:sz w:val="32"/>
          <w:szCs w:val="32"/>
        </w:rPr>
        <w:t>万元，主要包括办</w:t>
      </w:r>
      <w:r>
        <w:rPr>
          <w:rFonts w:hint="eastAsia" w:ascii="Times New Roman" w:hAnsi="Times New Roman" w:eastAsia="仿宋_GB2312"/>
          <w:sz w:val="32"/>
          <w:szCs w:val="32"/>
          <w:lang w:val="en-US" w:eastAsia="zh-CN"/>
        </w:rPr>
        <w:t>公费1.16万元、水费0.16万元、电费0.38万元、邮电费0.14万元、差旅费24.73万元、会议费0.8万元、培训费0.5万元、劳务费0.07万元、工会经费10.43万元、福利费0.2万元、其他交通费用24.77万元、其他商品和服务支出5.23万元。</w:t>
      </w:r>
    </w:p>
    <w:p w14:paraId="7C53B32F">
      <w:pPr>
        <w:keepNext w:val="0"/>
        <w:keepLines w:val="0"/>
        <w:pageBreakBefore w:val="0"/>
        <w:shd w:val="clear" w:color="000000"/>
        <w:kinsoku/>
        <w:wordWrap/>
        <w:topLinePunct w:val="0"/>
        <w:autoSpaceDE/>
        <w:autoSpaceDN/>
        <w:bidi w:val="0"/>
        <w:adjustRightInd/>
        <w:spacing w:line="540" w:lineRule="exact"/>
        <w:ind w:firstLine="640" w:firstLineChars="200"/>
        <w:textAlignment w:val="auto"/>
        <w:rPr>
          <w:rFonts w:hint="eastAsia" w:ascii="仿宋" w:hAnsi="仿宋" w:eastAsia="仿宋" w:cs="仿宋"/>
          <w:kern w:val="0"/>
          <w:sz w:val="32"/>
          <w:szCs w:val="32"/>
          <w:shd w:val="clear" w:color="auto" w:fill="FFFFFF"/>
          <w:lang w:val="en-US" w:eastAsia="zh-CN" w:bidi="ar-SA"/>
        </w:rPr>
      </w:pPr>
      <w:r>
        <w:rPr>
          <w:rFonts w:hint="eastAsia" w:ascii="仿宋" w:hAnsi="仿宋" w:eastAsia="仿宋" w:cs="仿宋"/>
          <w:sz w:val="32"/>
          <w:szCs w:val="32"/>
        </w:rPr>
        <w:t>“三公”</w:t>
      </w:r>
      <w:r>
        <w:rPr>
          <w:rFonts w:hint="eastAsia" w:ascii="仿宋" w:hAnsi="仿宋" w:eastAsia="仿宋" w:cs="仿宋"/>
          <w:kern w:val="0"/>
          <w:sz w:val="32"/>
          <w:szCs w:val="32"/>
          <w:shd w:val="clear" w:color="auto" w:fill="FFFFFF"/>
          <w:lang w:val="en-US" w:eastAsia="zh-CN" w:bidi="ar-SA"/>
        </w:rPr>
        <w:t>经费：公务接待费：2023年预算金额0.5万元，2023年决算时公务接待费实际支出0.4万元。公车购置和维护费及出国经费均为零。</w:t>
      </w:r>
    </w:p>
    <w:p w14:paraId="7DB2F9B0">
      <w:pPr>
        <w:pStyle w:val="8"/>
        <w:keepNext w:val="0"/>
        <w:keepLines w:val="0"/>
        <w:pageBreakBefore w:val="0"/>
        <w:shd w:val="clear"/>
        <w:kinsoku/>
        <w:wordWrap/>
        <w:topLinePunct w:val="0"/>
        <w:autoSpaceDE/>
        <w:autoSpaceDN/>
        <w:bidi w:val="0"/>
        <w:adjustRightInd/>
        <w:spacing w:after="0"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shd w:val="clear" w:color="auto" w:fill="FFFFFF"/>
          <w:lang w:val="en-US" w:eastAsia="zh-CN" w:bidi="ar-SA"/>
        </w:rPr>
        <w:t>整体支出管理情况：我局在经费安排上</w:t>
      </w:r>
      <w:r>
        <w:rPr>
          <w:rFonts w:hint="eastAsia" w:ascii="仿宋" w:hAnsi="仿宋" w:eastAsia="仿宋" w:cs="仿宋"/>
          <w:sz w:val="32"/>
          <w:szCs w:val="32"/>
          <w:shd w:val="clear" w:color="auto" w:fill="FFFFFF"/>
        </w:rPr>
        <w:t>统筹使用,厉行节约,确保工作能够正常运转。严格控制经费支出，严格执行公务接待报批手续，进一步规范报销程序。加强财务管理，注重在执行财经法规、财政纪律以及完善各项财经制度上下功夫。加强制度建设。修订完善了一系列制度，如</w:t>
      </w:r>
      <w:r>
        <w:rPr>
          <w:rFonts w:hint="eastAsia" w:ascii="仿宋" w:hAnsi="仿宋" w:eastAsia="仿宋" w:cs="仿宋"/>
          <w:sz w:val="32"/>
          <w:szCs w:val="32"/>
          <w:shd w:val="clear" w:color="auto" w:fill="FFFFFF"/>
          <w:lang w:eastAsia="zh-CN"/>
        </w:rPr>
        <w:t>内部管理制度、</w:t>
      </w:r>
      <w:r>
        <w:rPr>
          <w:rFonts w:hint="eastAsia" w:ascii="仿宋" w:hAnsi="仿宋" w:eastAsia="仿宋" w:cs="仿宋"/>
          <w:sz w:val="32"/>
          <w:szCs w:val="32"/>
          <w:shd w:val="clear" w:color="auto" w:fill="FFFFFF"/>
        </w:rPr>
        <w:t>财务管理办法</w:t>
      </w:r>
      <w:r>
        <w:rPr>
          <w:rFonts w:hint="eastAsia" w:ascii="仿宋" w:hAnsi="仿宋" w:eastAsia="仿宋" w:cs="仿宋"/>
          <w:sz w:val="32"/>
          <w:szCs w:val="32"/>
          <w:shd w:val="clear" w:color="auto" w:fill="FFFFFF"/>
          <w:lang w:eastAsia="zh-CN"/>
        </w:rPr>
        <w:t>、专项资金管理制度</w:t>
      </w:r>
      <w:r>
        <w:rPr>
          <w:rFonts w:hint="eastAsia" w:ascii="仿宋" w:hAnsi="仿宋" w:eastAsia="仿宋" w:cs="仿宋"/>
          <w:sz w:val="32"/>
          <w:szCs w:val="32"/>
          <w:shd w:val="clear" w:color="auto" w:fill="FFFFFF"/>
        </w:rPr>
        <w:t>等；紧缩各项开支。严格按照"量入为出，留有余地"的原则编制经费收支计划，对各项经费的使用管理做到了有计划、有安排；严格经费核算。按规定设置会计科目，按要求组织经费核算。实行分管财务领导审批制度，在平常的经费审核中，坚持事前监督和事后监督相结合的原则，做到"四个不批"，即开支不符合要求的不批、发票不符合规定的不批、超出标准的不批、手续不全的不批。从而较好地避免了假公济私和违纪违法问题的发生。经费安排上统筹使用,厉行节约,确保工作能够正常运转。厉行节约原则，严格控制经费支出，严格执行公务接待报批手续，进一步规范报销程序</w:t>
      </w:r>
    </w:p>
    <w:p w14:paraId="2939F840">
      <w:pPr>
        <w:keepNext w:val="0"/>
        <w:keepLines w:val="0"/>
        <w:pageBreakBefore w:val="0"/>
        <w:numPr>
          <w:ilvl w:val="0"/>
          <w:numId w:val="0"/>
        </w:numPr>
        <w:shd w:val="clear" w:color="auto"/>
        <w:kinsoku/>
        <w:wordWrap/>
        <w:topLinePunct w:val="0"/>
        <w:autoSpaceDE/>
        <w:autoSpaceDN/>
        <w:bidi w:val="0"/>
        <w:adjustRightInd/>
        <w:spacing w:line="540" w:lineRule="exact"/>
        <w:ind w:left="640" w:leftChars="0"/>
        <w:textAlignment w:val="auto"/>
        <w:rPr>
          <w:rFonts w:hint="eastAsia" w:ascii="仿宋" w:hAnsi="仿宋" w:eastAsia="仿宋" w:cs="仿宋"/>
          <w:b/>
          <w:bCs/>
          <w:spacing w:val="-2"/>
          <w:kern w:val="0"/>
          <w:sz w:val="32"/>
          <w:szCs w:val="32"/>
        </w:rPr>
      </w:pPr>
      <w:r>
        <w:rPr>
          <w:rFonts w:hint="eastAsia" w:ascii="仿宋" w:hAnsi="仿宋" w:eastAsia="仿宋" w:cs="仿宋"/>
          <w:b/>
          <w:bCs/>
          <w:spacing w:val="-2"/>
          <w:kern w:val="0"/>
          <w:sz w:val="32"/>
          <w:szCs w:val="32"/>
          <w:lang w:eastAsia="zh-CN"/>
        </w:rPr>
        <w:t>（</w:t>
      </w:r>
      <w:r>
        <w:rPr>
          <w:rFonts w:hint="eastAsia" w:ascii="仿宋" w:hAnsi="仿宋" w:eastAsia="仿宋" w:cs="仿宋"/>
          <w:b/>
          <w:bCs/>
          <w:spacing w:val="-2"/>
          <w:kern w:val="0"/>
          <w:sz w:val="32"/>
          <w:szCs w:val="32"/>
          <w:lang w:val="en-US" w:eastAsia="zh-CN"/>
        </w:rPr>
        <w:t>2）</w:t>
      </w:r>
      <w:r>
        <w:rPr>
          <w:rFonts w:hint="eastAsia" w:ascii="仿宋" w:hAnsi="仿宋" w:eastAsia="仿宋" w:cs="仿宋"/>
          <w:b/>
          <w:bCs/>
          <w:spacing w:val="-2"/>
          <w:kern w:val="0"/>
          <w:sz w:val="32"/>
          <w:szCs w:val="32"/>
        </w:rPr>
        <w:t>专项支出</w:t>
      </w:r>
    </w:p>
    <w:p w14:paraId="04713FA6">
      <w:pPr>
        <w:pStyle w:val="14"/>
        <w:shd w:val="clear"/>
        <w:ind w:firstLine="640" w:firstLineChars="200"/>
        <w:rPr>
          <w:rFonts w:hint="eastAsia" w:ascii="Times New Roman" w:hAnsi="Times New Roman" w:eastAsia="仿宋_GB2312"/>
          <w:sz w:val="32"/>
          <w:szCs w:val="32"/>
          <w:lang w:val="en-US" w:eastAsia="zh-CN"/>
        </w:rPr>
      </w:pPr>
      <w:r>
        <w:rPr>
          <w:rFonts w:hint="eastAsia" w:ascii="仿宋" w:hAnsi="仿宋" w:eastAsia="仿宋" w:cs="仿宋"/>
          <w:sz w:val="32"/>
          <w:szCs w:val="32"/>
          <w:lang w:val="en-US" w:eastAsia="zh-CN"/>
        </w:rPr>
        <w:t>2023年度</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3495.25</w:t>
      </w:r>
      <w:r>
        <w:rPr>
          <w:rFonts w:hint="eastAsia" w:ascii="仿宋" w:hAnsi="仿宋" w:eastAsia="仿宋" w:cs="仿宋"/>
          <w:sz w:val="32"/>
          <w:szCs w:val="32"/>
        </w:rPr>
        <w:t>万元；</w:t>
      </w:r>
      <w:r>
        <w:rPr>
          <w:rFonts w:hint="eastAsia" w:ascii="Times New Roman" w:hAnsi="Times New Roman" w:eastAsia="仿宋_GB2312"/>
          <w:sz w:val="32"/>
          <w:szCs w:val="32"/>
          <w:lang w:val="en-US" w:eastAsia="zh-CN"/>
        </w:rPr>
        <w:t>1、卫生健康支出660.54万元；2、资源勘探工业信息等支出320.38万元；3、行政运行9.04万元；4、一般行政管理事务1.84万元；5、产业发展93.83万元；6、其他工业和信息产业监管等支出2404.62万元，7、自然资源海洋气象等支出5万元；</w:t>
      </w:r>
    </w:p>
    <w:p w14:paraId="583B5618">
      <w:pPr>
        <w:pStyle w:val="14"/>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B4B593D">
      <w:pPr>
        <w:pStyle w:val="14"/>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我单位整</w:t>
      </w:r>
      <w:r>
        <w:rPr>
          <w:rFonts w:hint="eastAsia" w:ascii="仿宋" w:hAnsi="仿宋" w:eastAsia="仿宋" w:cs="仿宋"/>
          <w:sz w:val="32"/>
          <w:szCs w:val="32"/>
          <w:shd w:val="clear" w:color="auto"/>
          <w:lang w:eastAsia="zh-CN"/>
        </w:rPr>
        <w:t>体支出</w:t>
      </w:r>
      <w:r>
        <w:rPr>
          <w:rFonts w:hint="eastAsia" w:ascii="仿宋" w:hAnsi="仿宋" w:eastAsia="仿宋" w:cs="仿宋"/>
          <w:color w:val="000000"/>
          <w:sz w:val="32"/>
          <w:szCs w:val="32"/>
          <w:shd w:val="clear" w:color="000000"/>
        </w:rPr>
        <w:t>主要</w:t>
      </w:r>
      <w:r>
        <w:rPr>
          <w:rFonts w:hint="eastAsia" w:ascii="仿宋" w:hAnsi="仿宋" w:eastAsia="仿宋" w:cs="仿宋"/>
          <w:color w:val="000000"/>
          <w:sz w:val="32"/>
          <w:szCs w:val="32"/>
          <w:shd w:val="clear" w:color="000000"/>
          <w:lang w:eastAsia="zh-CN"/>
        </w:rPr>
        <w:t>是</w:t>
      </w:r>
      <w:r>
        <w:rPr>
          <w:rFonts w:hint="eastAsia" w:ascii="仿宋" w:hAnsi="仿宋" w:eastAsia="仿宋" w:cs="仿宋"/>
          <w:color w:val="000000"/>
          <w:sz w:val="32"/>
          <w:szCs w:val="32"/>
          <w:shd w:val="clear" w:color="000000"/>
        </w:rPr>
        <w:t>保障部门机构正常运转、完成日常工作任务以及承担全县经济和信息化事业发展相关工作</w:t>
      </w:r>
      <w:r>
        <w:rPr>
          <w:rFonts w:hint="eastAsia" w:ascii="仿宋" w:hAnsi="仿宋" w:eastAsia="仿宋" w:cs="仿宋"/>
          <w:sz w:val="32"/>
          <w:szCs w:val="32"/>
          <w:shd w:val="clear" w:color="auto"/>
        </w:rPr>
        <w:t>。在整体资金使用上，严格执行预算管理和财政制度，严格按照规定的范围、用途和标准使用财政资金，资金拨付有完整的审批程序和手续，按照财经制度的</w:t>
      </w:r>
      <w:r>
        <w:rPr>
          <w:rFonts w:hint="eastAsia" w:ascii="仿宋" w:hAnsi="仿宋" w:eastAsia="仿宋" w:cs="仿宋"/>
          <w:sz w:val="32"/>
          <w:szCs w:val="32"/>
          <w:shd w:val="clear" w:color="auto" w:fill="FFFFFF"/>
        </w:rPr>
        <w:t>有关要求，做到专款专用，专人保管,资金使用无截留、挤占、挪用、虚列支出等情况，相关发票由财务室审核后，由分管财务的领导签字</w:t>
      </w:r>
      <w:r>
        <w:rPr>
          <w:rFonts w:hint="eastAsia" w:ascii="仿宋" w:hAnsi="仿宋" w:eastAsia="仿宋" w:cs="仿宋"/>
          <w:sz w:val="32"/>
          <w:szCs w:val="32"/>
          <w:shd w:val="clear" w:color="auto" w:fill="FFFFFF"/>
          <w:lang w:eastAsia="zh-CN"/>
        </w:rPr>
        <w:t>、局长审核</w:t>
      </w:r>
      <w:r>
        <w:rPr>
          <w:rFonts w:hint="eastAsia" w:ascii="仿宋" w:hAnsi="仿宋" w:eastAsia="仿宋" w:cs="仿宋"/>
          <w:sz w:val="32"/>
          <w:szCs w:val="32"/>
          <w:shd w:val="clear" w:color="auto" w:fill="FFFFFF"/>
        </w:rPr>
        <w:t>同意报账后到财务室结算。确保财政资金依法依规使用、管理。厉行节约见成效，“三公”经费</w:t>
      </w:r>
      <w:r>
        <w:rPr>
          <w:rFonts w:hint="eastAsia" w:ascii="仿宋" w:hAnsi="仿宋" w:eastAsia="仿宋" w:cs="仿宋"/>
          <w:sz w:val="32"/>
          <w:szCs w:val="32"/>
          <w:shd w:val="clear" w:color="auto" w:fill="FFFFFF"/>
          <w:lang w:eastAsia="zh-CN"/>
        </w:rPr>
        <w:t>没有提高</w:t>
      </w:r>
      <w:r>
        <w:rPr>
          <w:rFonts w:hint="eastAsia" w:ascii="仿宋" w:hAnsi="仿宋" w:eastAsia="仿宋" w:cs="仿宋"/>
          <w:sz w:val="32"/>
          <w:szCs w:val="32"/>
          <w:shd w:val="clear" w:color="auto" w:fill="FFFFFF"/>
        </w:rPr>
        <w:t>，对照年初工作要点，圆满完成了各项工作。</w:t>
      </w:r>
    </w:p>
    <w:p w14:paraId="4721E7E6">
      <w:pPr>
        <w:pStyle w:val="14"/>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641FEF2A">
      <w:pPr>
        <w:keepNext w:val="0"/>
        <w:keepLines w:val="0"/>
        <w:pageBreakBefore w:val="0"/>
        <w:shd w:val="clear" w:color="000000"/>
        <w:kinsoku/>
        <w:wordWrap/>
        <w:topLinePunct w:val="0"/>
        <w:autoSpaceDE/>
        <w:autoSpaceDN/>
        <w:bidi w:val="0"/>
        <w:adjustRightInd/>
        <w:spacing w:line="540" w:lineRule="exact"/>
        <w:ind w:firstLine="64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1、支出压力大，加强财政投入。</w:t>
      </w:r>
      <w:r>
        <w:rPr>
          <w:rFonts w:hint="eastAsia" w:ascii="仿宋" w:hAnsi="仿宋" w:eastAsia="仿宋" w:cs="仿宋"/>
          <w:color w:val="000000"/>
          <w:sz w:val="32"/>
          <w:szCs w:val="32"/>
        </w:rPr>
        <w:t>我局工作运转经费较少，为维持工作正常开展需要的经费较多，如专项整治、</w:t>
      </w:r>
      <w:r>
        <w:rPr>
          <w:rFonts w:hint="eastAsia" w:ascii="仿宋" w:hAnsi="仿宋" w:eastAsia="仿宋" w:cs="仿宋"/>
          <w:color w:val="000000"/>
          <w:sz w:val="32"/>
          <w:szCs w:val="32"/>
          <w:lang w:eastAsia="zh-CN"/>
        </w:rPr>
        <w:t>安全生产、企业统计联网直报</w:t>
      </w:r>
      <w:r>
        <w:rPr>
          <w:rFonts w:hint="eastAsia" w:ascii="仿宋" w:hAnsi="仿宋" w:eastAsia="仿宋" w:cs="仿宋"/>
          <w:color w:val="000000"/>
          <w:sz w:val="32"/>
          <w:szCs w:val="32"/>
        </w:rPr>
        <w:t>等属于县政府布置的工作任务，年初预</w:t>
      </w:r>
      <w:r>
        <w:rPr>
          <w:rFonts w:hint="eastAsia" w:ascii="仿宋" w:hAnsi="仿宋" w:eastAsia="仿宋" w:cs="仿宋"/>
          <w:color w:val="000000"/>
          <w:sz w:val="32"/>
          <w:szCs w:val="32"/>
          <w:lang w:eastAsia="zh-CN"/>
        </w:rPr>
        <w:t>算</w:t>
      </w:r>
      <w:r>
        <w:rPr>
          <w:rFonts w:hint="eastAsia" w:ascii="仿宋" w:hAnsi="仿宋" w:eastAsia="仿宋" w:cs="仿宋"/>
          <w:color w:val="000000"/>
          <w:sz w:val="32"/>
          <w:szCs w:val="32"/>
        </w:rPr>
        <w:t>不足，导致单位财政支出一直得不到应有的保障。</w:t>
      </w:r>
    </w:p>
    <w:p w14:paraId="376474CE">
      <w:pPr>
        <w:keepNext w:val="0"/>
        <w:keepLines w:val="0"/>
        <w:pageBreakBefore w:val="0"/>
        <w:shd w:val="clear"/>
        <w:kinsoku/>
        <w:wordWrap/>
        <w:topLinePunct w:val="0"/>
        <w:autoSpaceDE/>
        <w:autoSpaceDN/>
        <w:bidi w:val="0"/>
        <w:adjustRightIn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color w:val="000000"/>
          <w:sz w:val="32"/>
          <w:szCs w:val="32"/>
        </w:rPr>
        <w:t>2</w:t>
      </w:r>
      <w:r>
        <w:rPr>
          <w:rFonts w:hint="eastAsia" w:ascii="仿宋" w:hAnsi="仿宋" w:eastAsia="仿宋" w:cs="仿宋"/>
          <w:b/>
          <w:bCs/>
          <w:sz w:val="32"/>
          <w:szCs w:val="32"/>
        </w:rPr>
        <w:t>、履职时在经济效益和社会效益实现上还有进步空间。</w:t>
      </w:r>
    </w:p>
    <w:p w14:paraId="629D93A0">
      <w:pPr>
        <w:pStyle w:val="8"/>
        <w:keepNext w:val="0"/>
        <w:keepLines w:val="0"/>
        <w:pageBreakBefore w:val="0"/>
        <w:kinsoku/>
        <w:wordWrap/>
        <w:topLinePunct w:val="0"/>
        <w:autoSpaceDE/>
        <w:autoSpaceDN/>
        <w:bidi w:val="0"/>
        <w:adjustRightInd/>
        <w:spacing w:after="0" w:line="54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财务制度建设尚不完整</w:t>
      </w:r>
      <w:r>
        <w:rPr>
          <w:rFonts w:hint="eastAsia" w:ascii="仿宋" w:hAnsi="仿宋" w:eastAsia="仿宋" w:cs="仿宋"/>
          <w:b/>
          <w:bCs/>
          <w:sz w:val="32"/>
          <w:szCs w:val="32"/>
          <w:lang w:eastAsia="zh-CN"/>
        </w:rPr>
        <w:t>。</w:t>
      </w:r>
      <w:r>
        <w:rPr>
          <w:rFonts w:hint="eastAsia" w:ascii="仿宋" w:hAnsi="仿宋" w:eastAsia="仿宋" w:cs="仿宋"/>
          <w:sz w:val="32"/>
          <w:szCs w:val="32"/>
        </w:rPr>
        <w:t>缺乏信息技术支持，</w:t>
      </w:r>
      <w:r>
        <w:rPr>
          <w:rFonts w:hint="eastAsia" w:ascii="仿宋" w:hAnsi="仿宋" w:eastAsia="仿宋" w:cs="仿宋"/>
          <w:bCs/>
          <w:sz w:val="32"/>
          <w:szCs w:val="32"/>
        </w:rPr>
        <w:t>现代财务管理离不开信息技术的支持，缺乏信息化建设和系统支持，容易导致数据不准确、报表不可靠等问题；缺乏培训和教育，财务管理需要专业的知识和技能。缺乏培训和教育机制，容易影响财务管理的质量；重人轻制度，对制度建设和执行不重视，过分依赖财务人员或领导，容易导致制度不健全，安全隐患增加。</w:t>
      </w:r>
    </w:p>
    <w:p w14:paraId="4D8F3B18">
      <w:pPr>
        <w:pStyle w:val="14"/>
        <w:jc w:val="both"/>
        <w:rPr>
          <w:sz w:val="72"/>
          <w:szCs w:val="72"/>
        </w:rPr>
      </w:pPr>
    </w:p>
    <w:p w14:paraId="630529E5">
      <w:pPr>
        <w:pStyle w:val="14"/>
        <w:jc w:val="center"/>
        <w:rPr>
          <w:sz w:val="72"/>
          <w:szCs w:val="72"/>
        </w:rPr>
      </w:pPr>
    </w:p>
    <w:p w14:paraId="1B312A31">
      <w:pPr>
        <w:pStyle w:val="14"/>
        <w:jc w:val="center"/>
        <w:rPr>
          <w:sz w:val="72"/>
          <w:szCs w:val="72"/>
        </w:rPr>
      </w:pPr>
    </w:p>
    <w:p w14:paraId="40FF6AC6">
      <w:pPr>
        <w:pStyle w:val="14"/>
        <w:jc w:val="both"/>
        <w:rPr>
          <w:rFonts w:hint="eastAsia" w:ascii="方正小标宋_GBK" w:hAnsi="方正小标宋_GBK" w:eastAsia="方正小标宋_GBK" w:cs="方正小标宋_GBK"/>
          <w:sz w:val="72"/>
          <w:szCs w:val="72"/>
        </w:rPr>
      </w:pPr>
    </w:p>
    <w:p w14:paraId="7A49B507">
      <w:pPr>
        <w:pStyle w:val="14"/>
        <w:jc w:val="center"/>
        <w:rPr>
          <w:rFonts w:hint="eastAsia" w:ascii="方正小标宋_GBK" w:hAnsi="方正小标宋_GBK" w:eastAsia="方正小标宋_GBK" w:cs="方正小标宋_GBK"/>
          <w:sz w:val="72"/>
          <w:szCs w:val="72"/>
        </w:rPr>
      </w:pPr>
    </w:p>
    <w:p w14:paraId="11D7AD9A">
      <w:pPr>
        <w:pStyle w:val="14"/>
        <w:jc w:val="center"/>
        <w:rPr>
          <w:rFonts w:hint="eastAsia" w:ascii="方正小标宋_GBK" w:hAnsi="方正小标宋_GBK" w:eastAsia="方正小标宋_GBK" w:cs="方正小标宋_GBK"/>
          <w:sz w:val="72"/>
          <w:szCs w:val="72"/>
        </w:rPr>
      </w:pPr>
    </w:p>
    <w:p w14:paraId="4B2E8606">
      <w:pPr>
        <w:pStyle w:val="14"/>
        <w:jc w:val="center"/>
        <w:rPr>
          <w:rFonts w:hint="eastAsia" w:ascii="方正小标宋_GBK" w:hAnsi="方正小标宋_GBK" w:eastAsia="方正小标宋_GBK" w:cs="方正小标宋_GBK"/>
          <w:sz w:val="72"/>
          <w:szCs w:val="72"/>
        </w:rPr>
      </w:pPr>
    </w:p>
    <w:p w14:paraId="64D7990B">
      <w:pPr>
        <w:pStyle w:val="14"/>
        <w:jc w:val="center"/>
        <w:rPr>
          <w:rFonts w:hint="eastAsia" w:ascii="方正小标宋_GBK" w:hAnsi="方正小标宋_GBK" w:eastAsia="方正小标宋_GBK" w:cs="方正小标宋_GBK"/>
          <w:sz w:val="72"/>
          <w:szCs w:val="72"/>
        </w:rPr>
      </w:pPr>
    </w:p>
    <w:p w14:paraId="16D9180A">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5100382">
      <w:pPr>
        <w:jc w:val="center"/>
        <w:rPr>
          <w:rFonts w:hint="eastAsia" w:ascii="方正小标宋_GBK" w:hAnsi="方正小标宋_GBK" w:eastAsia="方正小标宋_GBK" w:cs="方正小标宋_GBK"/>
          <w:color w:val="000000"/>
          <w:kern w:val="0"/>
          <w:sz w:val="70"/>
          <w:szCs w:val="70"/>
        </w:rPr>
      </w:pPr>
    </w:p>
    <w:p w14:paraId="7422403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5EB6B0D">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05C0BD9">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1、财政拨款收入：指县财政当年拨付的资金。</w:t>
      </w:r>
    </w:p>
    <w:p w14:paraId="053421C2">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2、基本支出：指部门为保障其机构正常运转、完成日常工作任务的年度基本支出，包括人员经费和公用经费两部分。</w:t>
      </w:r>
    </w:p>
    <w:p w14:paraId="6A069C23">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725A1C85">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5D10646">
      <w:pPr>
        <w:pStyle w:val="14"/>
        <w:jc w:val="center"/>
        <w:rPr>
          <w:sz w:val="72"/>
          <w:szCs w:val="72"/>
        </w:rPr>
      </w:pPr>
    </w:p>
    <w:p w14:paraId="0A4471C0">
      <w:pPr>
        <w:pStyle w:val="14"/>
        <w:jc w:val="center"/>
        <w:rPr>
          <w:sz w:val="72"/>
          <w:szCs w:val="72"/>
        </w:rPr>
      </w:pPr>
    </w:p>
    <w:p w14:paraId="39171395">
      <w:pPr>
        <w:pStyle w:val="14"/>
        <w:jc w:val="center"/>
        <w:rPr>
          <w:sz w:val="72"/>
          <w:szCs w:val="72"/>
        </w:rPr>
      </w:pPr>
    </w:p>
    <w:p w14:paraId="5B5F6B1A">
      <w:pPr>
        <w:pStyle w:val="14"/>
        <w:jc w:val="center"/>
        <w:rPr>
          <w:sz w:val="72"/>
          <w:szCs w:val="72"/>
        </w:rPr>
      </w:pPr>
    </w:p>
    <w:p w14:paraId="1F6FE966">
      <w:pPr>
        <w:pStyle w:val="14"/>
        <w:jc w:val="center"/>
        <w:rPr>
          <w:sz w:val="72"/>
          <w:szCs w:val="72"/>
        </w:rPr>
      </w:pPr>
    </w:p>
    <w:p w14:paraId="357F5414">
      <w:pPr>
        <w:pStyle w:val="14"/>
        <w:jc w:val="center"/>
        <w:rPr>
          <w:sz w:val="72"/>
          <w:szCs w:val="72"/>
        </w:rPr>
      </w:pPr>
    </w:p>
    <w:p w14:paraId="0A7D6FDA">
      <w:pPr>
        <w:pStyle w:val="14"/>
        <w:jc w:val="center"/>
        <w:rPr>
          <w:sz w:val="72"/>
          <w:szCs w:val="72"/>
        </w:rPr>
      </w:pPr>
    </w:p>
    <w:p w14:paraId="0BC1093D">
      <w:pPr>
        <w:pStyle w:val="14"/>
        <w:jc w:val="center"/>
        <w:rPr>
          <w:sz w:val="72"/>
          <w:szCs w:val="72"/>
        </w:rPr>
      </w:pPr>
    </w:p>
    <w:p w14:paraId="1D991E4D">
      <w:pPr>
        <w:jc w:val="center"/>
        <w:rPr>
          <w:rFonts w:hint="eastAsia" w:ascii="方正小标宋_GBK" w:hAnsi="方正小标宋_GBK" w:eastAsia="方正小标宋_GBK" w:cs="方正小标宋_GBK"/>
          <w:sz w:val="72"/>
          <w:szCs w:val="72"/>
        </w:rPr>
      </w:pPr>
    </w:p>
    <w:p w14:paraId="223DAF37">
      <w:pPr>
        <w:jc w:val="center"/>
        <w:rPr>
          <w:rFonts w:hint="eastAsia" w:ascii="方正小标宋_GBK" w:hAnsi="方正小标宋_GBK" w:eastAsia="方正小标宋_GBK" w:cs="方正小标宋_GBK"/>
          <w:sz w:val="72"/>
          <w:szCs w:val="72"/>
        </w:rPr>
      </w:pPr>
    </w:p>
    <w:p w14:paraId="6A2BD66F">
      <w:pPr>
        <w:jc w:val="center"/>
        <w:rPr>
          <w:rFonts w:hint="eastAsia" w:ascii="方正小标宋_GBK" w:hAnsi="方正小标宋_GBK" w:eastAsia="方正小标宋_GBK" w:cs="方正小标宋_GBK"/>
          <w:sz w:val="72"/>
          <w:szCs w:val="72"/>
        </w:rPr>
      </w:pPr>
    </w:p>
    <w:p w14:paraId="5198B597">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76D7AE2">
      <w:pPr>
        <w:pStyle w:val="14"/>
        <w:jc w:val="center"/>
        <w:rPr>
          <w:rFonts w:hint="eastAsia" w:ascii="方正小标宋_GBK" w:hAnsi="方正小标宋_GBK" w:eastAsia="方正小标宋_GBK" w:cs="方正小标宋_GBK"/>
          <w:sz w:val="70"/>
          <w:szCs w:val="70"/>
        </w:rPr>
      </w:pPr>
    </w:p>
    <w:p w14:paraId="1A903235">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33A548B">
      <w:pPr>
        <w:rPr>
          <w:sz w:val="72"/>
          <w:szCs w:val="72"/>
        </w:rPr>
      </w:pPr>
      <w:r>
        <w:rPr>
          <w:sz w:val="72"/>
          <w:szCs w:val="72"/>
        </w:rPr>
        <w:br w:type="page"/>
      </w:r>
    </w:p>
    <w:p w14:paraId="76E52FF2">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kern w:val="2"/>
          <w:sz w:val="44"/>
          <w:szCs w:val="44"/>
          <w:lang w:val="en-US" w:eastAsia="zh-CN"/>
        </w:rPr>
      </w:pPr>
      <w:r>
        <w:rPr>
          <w:rFonts w:hint="eastAsia" w:ascii="方正小标宋简体" w:hAnsi="方正小标宋简体" w:eastAsia="方正小标宋简体" w:cs="方正小标宋简体"/>
          <w:b/>
          <w:bCs/>
          <w:kern w:val="2"/>
          <w:sz w:val="44"/>
          <w:szCs w:val="44"/>
          <w:lang w:val="en-US" w:eastAsia="zh-CN"/>
        </w:rPr>
        <w:t>县工信局2023年度整体支出</w:t>
      </w:r>
    </w:p>
    <w:p w14:paraId="6EB31B38">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kern w:val="2"/>
          <w:sz w:val="44"/>
          <w:szCs w:val="44"/>
          <w:lang w:val="en-US" w:eastAsia="zh-CN"/>
        </w:rPr>
      </w:pPr>
      <w:r>
        <w:rPr>
          <w:rFonts w:hint="eastAsia" w:ascii="方正小标宋简体" w:hAnsi="方正小标宋简体" w:eastAsia="方正小标宋简体" w:cs="方正小标宋简体"/>
          <w:b/>
          <w:bCs/>
          <w:kern w:val="2"/>
          <w:sz w:val="44"/>
          <w:szCs w:val="44"/>
          <w:lang w:val="en-US" w:eastAsia="zh-CN"/>
        </w:rPr>
        <w:t>绩效自评报告</w:t>
      </w:r>
    </w:p>
    <w:p w14:paraId="59AEE3F2">
      <w:pPr>
        <w:shd w:val="clear" w:color="auto"/>
        <w:spacing w:line="640" w:lineRule="exact"/>
        <w:ind w:firstLine="640"/>
        <w:rPr>
          <w:rFonts w:hint="eastAsia" w:ascii="仿宋" w:hAnsi="仿宋" w:eastAsia="仿宋" w:cs="仿宋"/>
          <w:b/>
          <w:bCs/>
          <w:spacing w:val="-2"/>
          <w:sz w:val="32"/>
          <w:szCs w:val="32"/>
        </w:rPr>
      </w:pPr>
    </w:p>
    <w:p w14:paraId="5751B861">
      <w:pPr>
        <w:keepNext w:val="0"/>
        <w:keepLines w:val="0"/>
        <w:pageBreakBefore w:val="0"/>
        <w:shd w:val="clear" w:color="auto"/>
        <w:kinsoku/>
        <w:wordWrap/>
        <w:topLinePunct w:val="0"/>
        <w:autoSpaceDE/>
        <w:autoSpaceDN/>
        <w:bidi w:val="0"/>
        <w:adjustRightInd/>
        <w:spacing w:line="540" w:lineRule="exact"/>
        <w:ind w:firstLine="640"/>
        <w:textAlignment w:val="auto"/>
        <w:rPr>
          <w:rFonts w:hint="eastAsia" w:ascii="楷体" w:hAnsi="楷体" w:eastAsia="楷体" w:cs="楷体"/>
          <w:b/>
          <w:bCs/>
          <w:spacing w:val="-2"/>
          <w:sz w:val="32"/>
          <w:szCs w:val="21"/>
        </w:rPr>
      </w:pPr>
      <w:r>
        <w:rPr>
          <w:rFonts w:hint="eastAsia" w:ascii="楷体" w:hAnsi="楷体" w:eastAsia="楷体" w:cs="楷体"/>
          <w:b/>
          <w:bCs/>
          <w:spacing w:val="-2"/>
          <w:sz w:val="32"/>
          <w:szCs w:val="32"/>
        </w:rPr>
        <w:t>一、部门概况</w:t>
      </w:r>
    </w:p>
    <w:p w14:paraId="4B80BB5A">
      <w:pPr>
        <w:pStyle w:val="9"/>
        <w:keepNext w:val="0"/>
        <w:keepLines w:val="0"/>
        <w:pageBreakBefore w:val="0"/>
        <w:widowControl/>
        <w:shd w:val="clear"/>
        <w:kinsoku/>
        <w:wordWrap/>
        <w:topLinePunct w:val="0"/>
        <w:autoSpaceDE/>
        <w:autoSpaceDN/>
        <w:bidi w:val="0"/>
        <w:adjustRightInd/>
        <w:spacing w:before="0" w:beforeAutospacing="0" w:after="0" w:afterAutospacing="0" w:line="540" w:lineRule="exact"/>
        <w:ind w:firstLine="635" w:firstLineChars="200"/>
        <w:jc w:val="both"/>
        <w:textAlignment w:val="auto"/>
        <w:rPr>
          <w:rFonts w:hint="eastAsia" w:ascii="仿宋" w:hAnsi="仿宋" w:eastAsia="仿宋" w:cs="仿宋"/>
          <w:b/>
          <w:bCs/>
          <w:spacing w:val="-2"/>
          <w:sz w:val="32"/>
          <w:szCs w:val="32"/>
        </w:rPr>
      </w:pPr>
      <w:r>
        <w:rPr>
          <w:rFonts w:hint="eastAsia" w:ascii="仿宋" w:hAnsi="仿宋" w:eastAsia="仿宋" w:cs="仿宋"/>
          <w:b/>
          <w:bCs/>
          <w:spacing w:val="-2"/>
          <w:sz w:val="32"/>
          <w:szCs w:val="32"/>
        </w:rPr>
        <w:t>（一）部门基本情况：</w:t>
      </w:r>
    </w:p>
    <w:p w14:paraId="001E6EE8">
      <w:pPr>
        <w:pStyle w:val="9"/>
        <w:keepNext w:val="0"/>
        <w:keepLines w:val="0"/>
        <w:pageBreakBefore w:val="0"/>
        <w:widowControl/>
        <w:shd w:val="clear"/>
        <w:kinsoku/>
        <w:wordWrap/>
        <w:topLinePunct w:val="0"/>
        <w:autoSpaceDE/>
        <w:autoSpaceDN/>
        <w:bidi w:val="0"/>
        <w:adjustRightInd/>
        <w:spacing w:before="0" w:beforeAutospacing="0" w:after="0" w:afterAutospacing="0"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根据编委核定文件，县</w:t>
      </w:r>
      <w:r>
        <w:rPr>
          <w:rFonts w:hint="eastAsia" w:ascii="仿宋" w:hAnsi="仿宋" w:eastAsia="仿宋" w:cs="仿宋"/>
          <w:sz w:val="32"/>
          <w:szCs w:val="32"/>
          <w:shd w:val="clear" w:color="auto" w:fill="FFFFFF"/>
          <w:lang w:eastAsia="zh-CN"/>
        </w:rPr>
        <w:t>工信局有</w:t>
      </w:r>
      <w:r>
        <w:rPr>
          <w:rFonts w:hint="eastAsia" w:ascii="仿宋" w:hAnsi="仿宋" w:eastAsia="仿宋" w:cs="仿宋"/>
          <w:sz w:val="32"/>
          <w:szCs w:val="32"/>
        </w:rPr>
        <w:t>在职干部职工3</w:t>
      </w:r>
      <w:r>
        <w:rPr>
          <w:rFonts w:hint="eastAsia" w:ascii="仿宋" w:hAnsi="仿宋" w:eastAsia="仿宋" w:cs="仿宋"/>
          <w:sz w:val="32"/>
          <w:szCs w:val="32"/>
          <w:lang w:val="en-US" w:eastAsia="zh-CN"/>
        </w:rPr>
        <w:t>4</w:t>
      </w:r>
      <w:r>
        <w:rPr>
          <w:rFonts w:hint="eastAsia" w:ascii="仿宋" w:hAnsi="仿宋" w:eastAsia="仿宋" w:cs="仿宋"/>
          <w:sz w:val="32"/>
          <w:szCs w:val="32"/>
        </w:rPr>
        <w:t>人</w:t>
      </w:r>
      <w:r>
        <w:rPr>
          <w:rFonts w:hint="eastAsia" w:ascii="仿宋" w:hAnsi="仿宋" w:eastAsia="仿宋" w:cs="仿宋"/>
          <w:sz w:val="32"/>
          <w:szCs w:val="32"/>
          <w:lang w:eastAsia="zh-CN"/>
        </w:rPr>
        <w:t>（其中：局机关</w:t>
      </w:r>
      <w:r>
        <w:rPr>
          <w:rFonts w:hint="eastAsia" w:ascii="仿宋" w:hAnsi="仿宋" w:eastAsia="仿宋" w:cs="仿宋"/>
          <w:sz w:val="32"/>
          <w:szCs w:val="32"/>
          <w:lang w:val="en-US" w:eastAsia="zh-CN"/>
        </w:rPr>
        <w:t>12人，</w:t>
      </w:r>
      <w:r>
        <w:rPr>
          <w:rFonts w:hint="eastAsia" w:ascii="仿宋" w:hAnsi="仿宋" w:eastAsia="仿宋" w:cs="仿宋"/>
          <w:sz w:val="32"/>
          <w:szCs w:val="32"/>
          <w:shd w:val="clear" w:color="auto" w:fill="FFFFFF"/>
        </w:rPr>
        <w:t>二级机构</w:t>
      </w:r>
      <w:r>
        <w:rPr>
          <w:rFonts w:hint="eastAsia" w:ascii="仿宋" w:hAnsi="仿宋" w:eastAsia="仿宋" w:cs="仿宋"/>
          <w:sz w:val="32"/>
          <w:szCs w:val="32"/>
          <w:shd w:val="clear" w:color="auto" w:fill="FFFFFF"/>
          <w:lang w:val="en-US" w:eastAsia="zh-CN"/>
        </w:rPr>
        <w:t>2个共20人）。</w:t>
      </w:r>
      <w:r>
        <w:rPr>
          <w:rFonts w:hint="eastAsia" w:ascii="仿宋" w:hAnsi="仿宋" w:eastAsia="仿宋" w:cs="仿宋"/>
          <w:sz w:val="32"/>
          <w:szCs w:val="32"/>
          <w:shd w:val="clear" w:color="auto" w:fill="FFFFFF"/>
          <w:lang w:eastAsia="zh-CN"/>
        </w:rPr>
        <w:t>全部</w:t>
      </w:r>
      <w:r>
        <w:rPr>
          <w:rFonts w:hint="eastAsia" w:ascii="仿宋" w:hAnsi="仿宋" w:eastAsia="仿宋" w:cs="仿宋"/>
          <w:sz w:val="32"/>
          <w:szCs w:val="32"/>
          <w:shd w:val="clear" w:color="auto" w:fill="FFFFFF"/>
        </w:rPr>
        <w:t>纳入预算编制范围。</w:t>
      </w:r>
    </w:p>
    <w:p w14:paraId="02E84B3C">
      <w:pPr>
        <w:keepNext w:val="0"/>
        <w:keepLines w:val="0"/>
        <w:pageBreakBefore w:val="0"/>
        <w:shd w:val="clear" w:color="auto"/>
        <w:kinsoku/>
        <w:wordWrap/>
        <w:topLinePunct w:val="0"/>
        <w:autoSpaceDE/>
        <w:autoSpaceDN/>
        <w:bidi w:val="0"/>
        <w:adjustRightInd/>
        <w:spacing w:line="540" w:lineRule="exact"/>
        <w:ind w:firstLine="640" w:firstLineChars="200"/>
        <w:textAlignment w:val="auto"/>
        <w:rPr>
          <w:rFonts w:hint="eastAsia" w:ascii="仿宋" w:hAnsi="仿宋" w:eastAsia="仿宋" w:cs="仿宋"/>
          <w:spacing w:val="-2"/>
          <w:sz w:val="32"/>
          <w:szCs w:val="32"/>
          <w:lang w:eastAsia="zh-CN"/>
        </w:rPr>
      </w:pPr>
      <w:r>
        <w:rPr>
          <w:rFonts w:hint="eastAsia" w:ascii="仿宋" w:hAnsi="仿宋" w:eastAsia="仿宋" w:cs="仿宋"/>
          <w:sz w:val="32"/>
          <w:szCs w:val="32"/>
          <w:shd w:val="clear" w:color="auto" w:fill="FFFFFF"/>
        </w:rPr>
        <w:t>7个内设股室分别为：</w:t>
      </w:r>
      <w:r>
        <w:rPr>
          <w:rFonts w:hint="eastAsia" w:ascii="仿宋" w:hAnsi="仿宋" w:eastAsia="仿宋" w:cs="仿宋"/>
          <w:sz w:val="32"/>
          <w:szCs w:val="32"/>
        </w:rPr>
        <w:t>办公室、运行监测股、投资规划股、中小企业股、</w:t>
      </w:r>
      <w:r>
        <w:rPr>
          <w:rFonts w:hint="eastAsia" w:ascii="仿宋" w:hAnsi="仿宋" w:eastAsia="仿宋" w:cs="仿宋"/>
          <w:sz w:val="32"/>
          <w:szCs w:val="32"/>
          <w:lang w:eastAsia="zh-CN"/>
        </w:rPr>
        <w:t>人工与智能</w:t>
      </w:r>
      <w:r>
        <w:rPr>
          <w:rFonts w:hint="eastAsia" w:ascii="仿宋" w:hAnsi="仿宋" w:eastAsia="仿宋" w:cs="仿宋"/>
          <w:sz w:val="32"/>
          <w:szCs w:val="32"/>
        </w:rPr>
        <w:t>信息化股、行政审批股</w:t>
      </w:r>
      <w:r>
        <w:rPr>
          <w:rFonts w:hint="eastAsia" w:ascii="仿宋" w:hAnsi="仿宋" w:eastAsia="仿宋" w:cs="仿宋"/>
          <w:sz w:val="32"/>
          <w:szCs w:val="32"/>
          <w:lang w:eastAsia="zh-CN"/>
        </w:rPr>
        <w:t>、安全生产股</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工信局</w:t>
      </w:r>
      <w:r>
        <w:rPr>
          <w:rFonts w:hint="eastAsia" w:ascii="仿宋" w:hAnsi="仿宋" w:eastAsia="仿宋" w:cs="仿宋"/>
          <w:sz w:val="32"/>
          <w:szCs w:val="32"/>
          <w:shd w:val="clear" w:color="auto" w:fill="FFFFFF"/>
        </w:rPr>
        <w:t>确定为</w:t>
      </w:r>
      <w:r>
        <w:rPr>
          <w:rFonts w:hint="eastAsia" w:ascii="仿宋" w:hAnsi="仿宋" w:eastAsia="仿宋" w:cs="仿宋"/>
          <w:sz w:val="32"/>
          <w:szCs w:val="32"/>
          <w:shd w:val="clear" w:color="auto" w:fill="FFFFFF"/>
          <w:lang w:eastAsia="zh-CN"/>
        </w:rPr>
        <w:t>行政单位</w:t>
      </w:r>
      <w:r>
        <w:rPr>
          <w:rFonts w:hint="eastAsia" w:ascii="仿宋" w:hAnsi="仿宋" w:eastAsia="仿宋" w:cs="仿宋"/>
          <w:sz w:val="32"/>
          <w:szCs w:val="32"/>
          <w:shd w:val="clear" w:color="auto" w:fill="FFFFFF"/>
        </w:rPr>
        <w:t>，编制</w:t>
      </w:r>
      <w:r>
        <w:rPr>
          <w:rFonts w:hint="eastAsia" w:ascii="仿宋" w:hAnsi="仿宋" w:eastAsia="仿宋" w:cs="仿宋"/>
          <w:sz w:val="32"/>
          <w:szCs w:val="32"/>
          <w:shd w:val="clear" w:color="auto" w:fill="FFFFFF"/>
          <w:lang w:val="en-US" w:eastAsia="zh-CN"/>
        </w:rPr>
        <w:t>12名，</w:t>
      </w:r>
      <w:r>
        <w:rPr>
          <w:rFonts w:hint="eastAsia" w:ascii="仿宋" w:hAnsi="仿宋" w:eastAsia="仿宋" w:cs="仿宋"/>
          <w:sz w:val="32"/>
          <w:szCs w:val="32"/>
          <w:shd w:val="clear" w:color="auto" w:fill="FFFFFF"/>
          <w:lang w:eastAsia="zh-CN"/>
        </w:rPr>
        <w:t>中小企业服务中心、电力执法大队为</w:t>
      </w:r>
      <w:r>
        <w:rPr>
          <w:rFonts w:hint="eastAsia" w:ascii="仿宋" w:hAnsi="仿宋" w:eastAsia="仿宋" w:cs="仿宋"/>
          <w:sz w:val="32"/>
          <w:szCs w:val="32"/>
          <w:shd w:val="clear" w:color="auto" w:fill="FFFFFF"/>
        </w:rPr>
        <w:t>全额事业</w:t>
      </w:r>
      <w:r>
        <w:rPr>
          <w:rFonts w:hint="eastAsia" w:ascii="仿宋" w:hAnsi="仿宋" w:eastAsia="仿宋" w:cs="仿宋"/>
          <w:sz w:val="32"/>
          <w:szCs w:val="32"/>
          <w:shd w:val="clear" w:color="auto" w:fill="FFFFFF"/>
          <w:lang w:eastAsia="zh-CN"/>
        </w:rPr>
        <w:t>单位</w:t>
      </w:r>
      <w:r>
        <w:rPr>
          <w:rFonts w:hint="eastAsia" w:ascii="仿宋" w:hAnsi="仿宋" w:eastAsia="仿宋" w:cs="仿宋"/>
          <w:sz w:val="32"/>
          <w:szCs w:val="32"/>
          <w:shd w:val="clear" w:color="auto" w:fill="FFFFFF"/>
        </w:rPr>
        <w:t>，编制</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名</w:t>
      </w:r>
      <w:r>
        <w:rPr>
          <w:rFonts w:hint="eastAsia" w:ascii="仿宋" w:hAnsi="仿宋" w:eastAsia="仿宋" w:cs="仿宋"/>
          <w:sz w:val="32"/>
          <w:szCs w:val="32"/>
          <w:shd w:val="clear" w:color="auto" w:fill="FFFFFF"/>
          <w:lang w:eastAsia="zh-CN"/>
        </w:rPr>
        <w:t>。</w:t>
      </w:r>
    </w:p>
    <w:p w14:paraId="1B3205BC">
      <w:pPr>
        <w:pStyle w:val="9"/>
        <w:keepNext w:val="0"/>
        <w:keepLines w:val="0"/>
        <w:pageBreakBefore w:val="0"/>
        <w:widowControl/>
        <w:shd w:val="clear"/>
        <w:kinsoku/>
        <w:wordWrap/>
        <w:topLinePunct w:val="0"/>
        <w:autoSpaceDE/>
        <w:autoSpaceDN/>
        <w:bidi w:val="0"/>
        <w:adjustRightInd/>
        <w:spacing w:before="0" w:beforeAutospacing="0" w:after="0" w:afterAutospacing="0"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我局的主要职能是：综合管理全县工业经济和县属国有工业企业，指导、协调和服务各种经济成分、各种规模类型的工业企业。</w:t>
      </w:r>
    </w:p>
    <w:p w14:paraId="02932FDA">
      <w:pPr>
        <w:pStyle w:val="9"/>
        <w:keepNext w:val="0"/>
        <w:keepLines w:val="0"/>
        <w:pageBreakBefore w:val="0"/>
        <w:widowControl/>
        <w:numPr>
          <w:ilvl w:val="0"/>
          <w:numId w:val="2"/>
        </w:numPr>
        <w:shd w:val="clear"/>
        <w:kinsoku/>
        <w:wordWrap/>
        <w:topLinePunct w:val="0"/>
        <w:autoSpaceDE/>
        <w:autoSpaceDN/>
        <w:bidi w:val="0"/>
        <w:adjustRightInd/>
        <w:spacing w:before="0" w:beforeAutospacing="0" w:after="0" w:afterAutospacing="0" w:line="540" w:lineRule="exact"/>
        <w:ind w:firstLine="635" w:firstLineChars="200"/>
        <w:jc w:val="both"/>
        <w:textAlignment w:val="auto"/>
        <w:rPr>
          <w:rFonts w:hint="eastAsia" w:ascii="仿宋" w:hAnsi="仿宋" w:eastAsia="仿宋" w:cs="仿宋"/>
          <w:b/>
          <w:bCs/>
          <w:spacing w:val="-2"/>
          <w:sz w:val="32"/>
          <w:szCs w:val="32"/>
        </w:rPr>
      </w:pPr>
      <w:r>
        <w:rPr>
          <w:rFonts w:hint="eastAsia" w:ascii="仿宋" w:hAnsi="仿宋" w:eastAsia="仿宋" w:cs="仿宋"/>
          <w:b/>
          <w:bCs/>
          <w:spacing w:val="-2"/>
          <w:sz w:val="32"/>
          <w:szCs w:val="32"/>
        </w:rPr>
        <w:t>部门整体支出规模、使用方向和主要内容、涉及范围</w:t>
      </w:r>
    </w:p>
    <w:p w14:paraId="3FC67826">
      <w:pPr>
        <w:pStyle w:val="14"/>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仿宋" w:hAnsi="仿宋" w:eastAsia="仿宋" w:cs="仿宋"/>
          <w:b/>
          <w:bCs/>
          <w:spacing w:val="-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4715.34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4037.5</w:t>
      </w:r>
      <w:r>
        <w:rPr>
          <w:rFonts w:hint="eastAsia" w:ascii="Times New Roman" w:hAnsi="Times New Roman" w:eastAsia="仿宋_GB2312"/>
          <w:sz w:val="32"/>
          <w:szCs w:val="32"/>
        </w:rPr>
        <w:t>万元；上级补助收入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万元；其他收入</w:t>
      </w:r>
      <w:r>
        <w:rPr>
          <w:rFonts w:hint="eastAsia" w:ascii="Times New Roman" w:hAnsi="Times New Roman" w:eastAsia="仿宋_GB2312"/>
          <w:sz w:val="32"/>
          <w:szCs w:val="32"/>
          <w:lang w:val="en-US" w:eastAsia="zh-CN"/>
        </w:rPr>
        <w:t>677.84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年初结转和结余</w:t>
      </w:r>
      <w:r>
        <w:rPr>
          <w:rFonts w:hint="eastAsia" w:ascii="Times New Roman" w:hAnsi="Times New Roman" w:eastAsia="仿宋_GB2312"/>
          <w:sz w:val="32"/>
          <w:szCs w:val="32"/>
          <w:lang w:val="en-US" w:eastAsia="zh-CN"/>
        </w:rPr>
        <w:t>285.86万元。收入总合计5001.21万元。</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5001.21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660.82</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4340.39</w:t>
      </w:r>
      <w:r>
        <w:rPr>
          <w:rFonts w:hint="eastAsia" w:ascii="Times New Roman" w:hAnsi="Times New Roman" w:eastAsia="仿宋_GB2312"/>
          <w:sz w:val="32"/>
          <w:szCs w:val="32"/>
        </w:rPr>
        <w:t>万元；上缴上级支出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rPr>
        <w:t>主要用于单位为保证日常运转发生的基本支出和业务发展而发生的项目支出。</w:t>
      </w:r>
    </w:p>
    <w:p w14:paraId="14DB38DB">
      <w:pPr>
        <w:keepNext w:val="0"/>
        <w:keepLines w:val="0"/>
        <w:pageBreakBefore w:val="0"/>
        <w:numPr>
          <w:ilvl w:val="0"/>
          <w:numId w:val="0"/>
        </w:numPr>
        <w:shd w:val="clear" w:color="auto"/>
        <w:kinsoku/>
        <w:wordWrap/>
        <w:topLinePunct w:val="0"/>
        <w:autoSpaceDE/>
        <w:autoSpaceDN/>
        <w:bidi w:val="0"/>
        <w:adjustRightInd/>
        <w:spacing w:line="540" w:lineRule="exact"/>
        <w:ind w:firstLine="635" w:firstLineChars="200"/>
        <w:textAlignment w:val="auto"/>
        <w:rPr>
          <w:rFonts w:hint="eastAsia" w:ascii="楷体" w:hAnsi="楷体" w:eastAsia="楷体" w:cs="楷体"/>
          <w:b/>
          <w:bCs/>
          <w:spacing w:val="-2"/>
          <w:sz w:val="32"/>
          <w:szCs w:val="32"/>
        </w:rPr>
      </w:pPr>
      <w:r>
        <w:rPr>
          <w:rFonts w:hint="eastAsia" w:ascii="楷体" w:hAnsi="楷体" w:eastAsia="楷体" w:cs="楷体"/>
          <w:b/>
          <w:bCs/>
          <w:spacing w:val="-2"/>
          <w:sz w:val="32"/>
          <w:szCs w:val="32"/>
          <w:lang w:eastAsia="zh-CN"/>
        </w:rPr>
        <w:t>二、</w:t>
      </w:r>
      <w:r>
        <w:rPr>
          <w:rFonts w:hint="eastAsia" w:ascii="楷体" w:hAnsi="楷体" w:eastAsia="楷体" w:cs="楷体"/>
          <w:b/>
          <w:bCs/>
          <w:spacing w:val="-2"/>
          <w:sz w:val="32"/>
          <w:szCs w:val="32"/>
        </w:rPr>
        <w:t>一般公共预算支出情况</w:t>
      </w:r>
    </w:p>
    <w:p w14:paraId="3CACF2F9">
      <w:pPr>
        <w:keepNext w:val="0"/>
        <w:keepLines w:val="0"/>
        <w:pageBreakBefore w:val="0"/>
        <w:numPr>
          <w:ilvl w:val="0"/>
          <w:numId w:val="3"/>
        </w:numPr>
        <w:shd w:val="clear" w:color="auto"/>
        <w:kinsoku/>
        <w:wordWrap/>
        <w:topLinePunct w:val="0"/>
        <w:autoSpaceDE/>
        <w:autoSpaceDN/>
        <w:bidi w:val="0"/>
        <w:adjustRightInd/>
        <w:spacing w:line="540" w:lineRule="exact"/>
        <w:ind w:firstLine="640"/>
        <w:textAlignment w:val="auto"/>
        <w:rPr>
          <w:rFonts w:hint="eastAsia" w:ascii="仿宋" w:hAnsi="仿宋" w:eastAsia="仿宋" w:cs="仿宋"/>
          <w:b/>
          <w:bCs/>
          <w:spacing w:val="-2"/>
          <w:kern w:val="0"/>
          <w:sz w:val="32"/>
          <w:szCs w:val="32"/>
        </w:rPr>
      </w:pPr>
      <w:r>
        <w:rPr>
          <w:rFonts w:hint="eastAsia" w:ascii="仿宋" w:hAnsi="仿宋" w:eastAsia="仿宋" w:cs="仿宋"/>
          <w:b/>
          <w:bCs/>
          <w:spacing w:val="-2"/>
          <w:kern w:val="0"/>
          <w:sz w:val="32"/>
          <w:szCs w:val="32"/>
        </w:rPr>
        <w:t>基本支出</w:t>
      </w:r>
    </w:p>
    <w:p w14:paraId="6F1248E7">
      <w:pPr>
        <w:pStyle w:val="14"/>
        <w:keepNext w:val="0"/>
        <w:keepLines w:val="0"/>
        <w:pageBreakBefore w:val="0"/>
        <w:widowControl w:val="0"/>
        <w:shd w:val="clear"/>
        <w:kinsoku/>
        <w:wordWrap/>
        <w:overflowPunct/>
        <w:topLinePunct w:val="0"/>
        <w:bidi w:val="0"/>
        <w:snapToGrid/>
        <w:spacing w:line="600" w:lineRule="exact"/>
        <w:ind w:firstLine="632" w:firstLineChars="200"/>
        <w:textAlignment w:val="auto"/>
        <w:rPr>
          <w:rFonts w:hint="eastAsia" w:ascii="Times New Roman" w:hAnsi="Times New Roman" w:eastAsia="仿宋_GB2312"/>
          <w:sz w:val="32"/>
          <w:szCs w:val="32"/>
        </w:rPr>
      </w:pPr>
      <w:r>
        <w:rPr>
          <w:rFonts w:hint="eastAsia" w:ascii="仿宋" w:hAnsi="仿宋" w:eastAsia="仿宋" w:cs="仿宋"/>
          <w:spacing w:val="-2"/>
          <w:sz w:val="32"/>
          <w:szCs w:val="32"/>
        </w:rPr>
        <w:t>基本支出主要范围是保障我单位正常运转、完成日常工作任务而发生的各项支出，用途是在职人员基本工资、津贴补贴等人员经费以及办公费、印刷费、水电费、邮电费等日常公用经费</w:t>
      </w:r>
      <w:r>
        <w:rPr>
          <w:rFonts w:hint="eastAsia" w:ascii="仿宋" w:hAnsi="仿宋" w:eastAsia="仿宋" w:cs="仿宋"/>
          <w:spacing w:val="-2"/>
          <w:sz w:val="32"/>
          <w:szCs w:val="32"/>
          <w:lang w:eastAsia="zh-CN"/>
        </w:rPr>
        <w:t>。我单位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542.25</w:t>
      </w:r>
      <w:r>
        <w:rPr>
          <w:rFonts w:hint="eastAsia" w:ascii="Times New Roman" w:hAnsi="Times New Roman" w:eastAsia="仿宋_GB2312"/>
          <w:sz w:val="32"/>
          <w:szCs w:val="32"/>
        </w:rPr>
        <w:t>万元</w:t>
      </w:r>
      <w:r>
        <w:rPr>
          <w:rFonts w:hint="eastAsia" w:ascii="仿宋" w:hAnsi="仿宋" w:eastAsia="仿宋" w:cs="仿宋"/>
          <w:sz w:val="32"/>
          <w:szCs w:val="32"/>
        </w:rPr>
        <w:t>；</w:t>
      </w:r>
      <w:r>
        <w:rPr>
          <w:rFonts w:hint="eastAsia" w:ascii="Times New Roman" w:hAnsi="Times New Roman" w:eastAsia="仿宋_GB2312"/>
          <w:b w:val="0"/>
          <w:bCs w:val="0"/>
          <w:sz w:val="32"/>
          <w:szCs w:val="32"/>
        </w:rPr>
        <w:t>人员经费</w:t>
      </w:r>
      <w:r>
        <w:rPr>
          <w:rFonts w:hint="eastAsia" w:ascii="Times New Roman" w:hAnsi="Times New Roman" w:eastAsia="仿宋_GB2312"/>
          <w:sz w:val="32"/>
          <w:szCs w:val="32"/>
          <w:lang w:val="en-US" w:eastAsia="zh-CN"/>
        </w:rPr>
        <w:t>473.67</w:t>
      </w:r>
      <w:r>
        <w:rPr>
          <w:rFonts w:hint="eastAsia" w:ascii="Times New Roman" w:hAnsi="Times New Roman" w:eastAsia="仿宋_GB2312"/>
          <w:sz w:val="32"/>
          <w:szCs w:val="32"/>
        </w:rPr>
        <w:t>万元,主要包括基本工资</w:t>
      </w:r>
      <w:r>
        <w:rPr>
          <w:rFonts w:hint="eastAsia" w:ascii="Times New Roman" w:hAnsi="Times New Roman" w:eastAsia="仿宋_GB2312"/>
          <w:sz w:val="32"/>
          <w:szCs w:val="32"/>
          <w:lang w:val="en-US" w:eastAsia="zh-CN"/>
        </w:rPr>
        <w:t>152.29万元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79.26万元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11.49万元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0.41万元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绩效工资48.3万元、机关事业单位基本养老保险缴费46.69万元、职工基本医疗缴费20.41万元、其他社会保障缴费0.12万元、住房公积金20.23万元、抚恤金69.77万元、生活补助6.82万元；</w:t>
      </w:r>
    </w:p>
    <w:p w14:paraId="6AD9873B">
      <w:pPr>
        <w:pStyle w:val="14"/>
        <w:shd w:val="clear"/>
        <w:ind w:firstLine="643" w:firstLineChars="200"/>
        <w:rPr>
          <w:rFonts w:hint="eastAsia" w:ascii="仿宋" w:hAnsi="仿宋" w:eastAsia="仿宋" w:cs="仿宋"/>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68.58</w:t>
      </w:r>
      <w:r>
        <w:rPr>
          <w:rFonts w:hint="eastAsia" w:ascii="Times New Roman" w:hAnsi="Times New Roman" w:eastAsia="仿宋_GB2312"/>
          <w:sz w:val="32"/>
          <w:szCs w:val="32"/>
        </w:rPr>
        <w:t>万元，主要包括办</w:t>
      </w:r>
      <w:r>
        <w:rPr>
          <w:rFonts w:hint="eastAsia" w:ascii="Times New Roman" w:hAnsi="Times New Roman" w:eastAsia="仿宋_GB2312"/>
          <w:sz w:val="32"/>
          <w:szCs w:val="32"/>
          <w:lang w:val="en-US" w:eastAsia="zh-CN"/>
        </w:rPr>
        <w:t>公费1.16万元、水费0.16万元、电费0.38万元、邮电费0.14万元、差旅费24.73万元、会议费0.8万元、培训费0.5万元、劳务费0.07万元、工会经费10.43万元、福利费0.2万元、其他交通费用24.77万元、其他商品和服务支出5.23万元。</w:t>
      </w:r>
    </w:p>
    <w:p w14:paraId="2174EF6B">
      <w:pPr>
        <w:keepNext w:val="0"/>
        <w:keepLines w:val="0"/>
        <w:pageBreakBefore w:val="0"/>
        <w:shd w:val="clear" w:color="000000"/>
        <w:kinsoku/>
        <w:wordWrap/>
        <w:topLinePunct w:val="0"/>
        <w:autoSpaceDE/>
        <w:autoSpaceDN/>
        <w:bidi w:val="0"/>
        <w:adjustRightIn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“三公”经费：</w:t>
      </w:r>
      <w:r>
        <w:rPr>
          <w:rFonts w:hint="eastAsia" w:ascii="仿宋" w:hAnsi="仿宋" w:eastAsia="仿宋" w:cs="仿宋"/>
          <w:color w:val="000000"/>
          <w:sz w:val="32"/>
          <w:szCs w:val="32"/>
          <w:shd w:val="clear" w:color="000000" w:fill="FFFFFF"/>
        </w:rPr>
        <w:t>公务接待费：202</w:t>
      </w:r>
      <w:r>
        <w:rPr>
          <w:rFonts w:hint="eastAsia" w:ascii="仿宋" w:hAnsi="仿宋" w:eastAsia="仿宋" w:cs="仿宋"/>
          <w:color w:val="000000"/>
          <w:sz w:val="32"/>
          <w:szCs w:val="32"/>
          <w:shd w:val="clear" w:color="000000" w:fill="FFFFFF"/>
          <w:lang w:val="en-US" w:eastAsia="zh-CN"/>
        </w:rPr>
        <w:t>3</w:t>
      </w:r>
      <w:r>
        <w:rPr>
          <w:rFonts w:hint="eastAsia" w:ascii="仿宋" w:hAnsi="仿宋" w:eastAsia="仿宋" w:cs="仿宋"/>
          <w:color w:val="000000"/>
          <w:sz w:val="32"/>
          <w:szCs w:val="32"/>
          <w:shd w:val="clear" w:color="000000" w:fill="FFFFFF"/>
        </w:rPr>
        <w:t>年预算金额</w:t>
      </w:r>
      <w:r>
        <w:rPr>
          <w:rFonts w:hint="eastAsia" w:ascii="仿宋" w:hAnsi="仿宋" w:eastAsia="仿宋" w:cs="仿宋"/>
          <w:color w:val="000000"/>
          <w:sz w:val="32"/>
          <w:szCs w:val="32"/>
          <w:shd w:val="clear" w:color="000000" w:fill="FFFFFF"/>
          <w:lang w:val="en-US" w:eastAsia="zh-CN"/>
        </w:rPr>
        <w:t>0.5</w:t>
      </w:r>
      <w:r>
        <w:rPr>
          <w:rFonts w:hint="eastAsia" w:ascii="仿宋" w:hAnsi="仿宋" w:eastAsia="仿宋" w:cs="仿宋"/>
          <w:color w:val="000000"/>
          <w:sz w:val="32"/>
          <w:szCs w:val="32"/>
          <w:shd w:val="clear" w:color="000000" w:fill="FFFFFF"/>
        </w:rPr>
        <w:t>万元，202</w:t>
      </w:r>
      <w:r>
        <w:rPr>
          <w:rFonts w:hint="eastAsia" w:ascii="仿宋" w:hAnsi="仿宋" w:eastAsia="仿宋" w:cs="仿宋"/>
          <w:color w:val="000000"/>
          <w:sz w:val="32"/>
          <w:szCs w:val="32"/>
          <w:shd w:val="clear" w:color="000000" w:fill="FFFFFF"/>
          <w:lang w:val="en-US" w:eastAsia="zh-CN"/>
        </w:rPr>
        <w:t>3</w:t>
      </w:r>
      <w:r>
        <w:rPr>
          <w:rFonts w:hint="eastAsia" w:ascii="仿宋" w:hAnsi="仿宋" w:eastAsia="仿宋" w:cs="仿宋"/>
          <w:color w:val="000000"/>
          <w:sz w:val="32"/>
          <w:szCs w:val="32"/>
          <w:shd w:val="clear" w:color="000000" w:fill="FFFFFF"/>
        </w:rPr>
        <w:t>年决算时公务接待费实际支出</w:t>
      </w:r>
      <w:r>
        <w:rPr>
          <w:rFonts w:hint="eastAsia" w:ascii="仿宋" w:hAnsi="仿宋" w:eastAsia="仿宋" w:cs="仿宋"/>
          <w:color w:val="000000"/>
          <w:sz w:val="32"/>
          <w:szCs w:val="32"/>
          <w:shd w:val="clear" w:color="000000" w:fill="FFFFFF"/>
          <w:lang w:val="en-US" w:eastAsia="zh-CN"/>
        </w:rPr>
        <w:t>0.4</w:t>
      </w:r>
      <w:r>
        <w:rPr>
          <w:rFonts w:hint="eastAsia" w:ascii="仿宋" w:hAnsi="仿宋" w:eastAsia="仿宋" w:cs="仿宋"/>
          <w:color w:val="000000"/>
          <w:sz w:val="32"/>
          <w:szCs w:val="32"/>
          <w:shd w:val="clear" w:color="000000" w:fill="FFFFFF"/>
        </w:rPr>
        <w:t>万元。</w:t>
      </w:r>
      <w:r>
        <w:rPr>
          <w:rFonts w:hint="eastAsia" w:ascii="仿宋" w:hAnsi="仿宋" w:eastAsia="仿宋" w:cs="仿宋"/>
          <w:sz w:val="32"/>
          <w:szCs w:val="32"/>
        </w:rPr>
        <w:t>公车购置和维护费及出国经费均为零。</w:t>
      </w:r>
    </w:p>
    <w:p w14:paraId="5509B4ED">
      <w:pPr>
        <w:pStyle w:val="8"/>
        <w:keepNext w:val="0"/>
        <w:keepLines w:val="0"/>
        <w:pageBreakBefore w:val="0"/>
        <w:shd w:val="clear"/>
        <w:kinsoku/>
        <w:wordWrap/>
        <w:topLinePunct w:val="0"/>
        <w:autoSpaceDE/>
        <w:autoSpaceDN/>
        <w:bidi w:val="0"/>
        <w:adjustRightInd/>
        <w:spacing w:after="0"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整体支出管理情况：我</w:t>
      </w:r>
      <w:r>
        <w:rPr>
          <w:rFonts w:hint="eastAsia" w:ascii="仿宋" w:hAnsi="仿宋" w:eastAsia="仿宋" w:cs="仿宋"/>
          <w:sz w:val="32"/>
          <w:szCs w:val="32"/>
          <w:shd w:val="clear" w:color="auto" w:fill="FFFFFF"/>
          <w:lang w:eastAsia="zh-CN"/>
        </w:rPr>
        <w:t>局</w:t>
      </w:r>
      <w:r>
        <w:rPr>
          <w:rFonts w:hint="eastAsia" w:ascii="仿宋" w:hAnsi="仿宋" w:eastAsia="仿宋" w:cs="仿宋"/>
          <w:sz w:val="32"/>
          <w:szCs w:val="32"/>
          <w:shd w:val="clear" w:color="auto" w:fill="FFFFFF"/>
        </w:rPr>
        <w:t>在经费安排上统筹使用,厉行节约,确保工作能够正常运转。严格控制经费支出，严格执行公务接待报批手续，进一步规范报销程序。加强财务管理，注重在执行财经法规、财政纪律以及完善各项财经制度上下功夫。加强制度建设。修订完善了一系列制度，如</w:t>
      </w:r>
      <w:r>
        <w:rPr>
          <w:rFonts w:hint="eastAsia" w:ascii="仿宋" w:hAnsi="仿宋" w:eastAsia="仿宋" w:cs="仿宋"/>
          <w:sz w:val="32"/>
          <w:szCs w:val="32"/>
          <w:shd w:val="clear" w:color="auto" w:fill="FFFFFF"/>
          <w:lang w:eastAsia="zh-CN"/>
        </w:rPr>
        <w:t>内部管理制度、</w:t>
      </w:r>
      <w:r>
        <w:rPr>
          <w:rFonts w:hint="eastAsia" w:ascii="仿宋" w:hAnsi="仿宋" w:eastAsia="仿宋" w:cs="仿宋"/>
          <w:sz w:val="32"/>
          <w:szCs w:val="32"/>
          <w:shd w:val="clear" w:color="auto" w:fill="FFFFFF"/>
        </w:rPr>
        <w:t>财务管理办法</w:t>
      </w:r>
      <w:r>
        <w:rPr>
          <w:rFonts w:hint="eastAsia" w:ascii="仿宋" w:hAnsi="仿宋" w:eastAsia="仿宋" w:cs="仿宋"/>
          <w:sz w:val="32"/>
          <w:szCs w:val="32"/>
          <w:shd w:val="clear" w:color="auto" w:fill="FFFFFF"/>
          <w:lang w:eastAsia="zh-CN"/>
        </w:rPr>
        <w:t>、专项资金管理制度</w:t>
      </w:r>
      <w:r>
        <w:rPr>
          <w:rFonts w:hint="eastAsia" w:ascii="仿宋" w:hAnsi="仿宋" w:eastAsia="仿宋" w:cs="仿宋"/>
          <w:sz w:val="32"/>
          <w:szCs w:val="32"/>
          <w:shd w:val="clear" w:color="auto" w:fill="FFFFFF"/>
        </w:rPr>
        <w:t>等；紧缩各项开支。严格按照"量入为出，留有余地"的原则编制经费收支计划，对各项经费的使用管理做到了有计划、有安排；严格经费核算。按规定设置会计科目，按要求组织经费核算。实行分管财务领导审批制度，在平常的经费审核中，坚持事前监督和事后监督相结合的原则，做到"四个不批"，即开支不符合要求的不批、发票不符合规定的不批、超出标准的不批、手续不全的不批。从而较好地避免了假公济私和违纪违法问题的发生。经费安排上统筹使用,厉行节约,确保工作能够正常运转。厉行节约原则，严格控制经费支出，严格执行公务接待报批手续，进一步规范报销程序</w:t>
      </w:r>
    </w:p>
    <w:p w14:paraId="4F7AA4DA">
      <w:pPr>
        <w:keepNext w:val="0"/>
        <w:keepLines w:val="0"/>
        <w:pageBreakBefore w:val="0"/>
        <w:numPr>
          <w:ilvl w:val="0"/>
          <w:numId w:val="3"/>
        </w:numPr>
        <w:shd w:val="clear" w:color="auto"/>
        <w:kinsoku/>
        <w:wordWrap/>
        <w:topLinePunct w:val="0"/>
        <w:autoSpaceDE/>
        <w:autoSpaceDN/>
        <w:bidi w:val="0"/>
        <w:adjustRightInd/>
        <w:spacing w:line="540" w:lineRule="exact"/>
        <w:ind w:left="0" w:leftChars="0" w:firstLine="640" w:firstLineChars="0"/>
        <w:textAlignment w:val="auto"/>
        <w:rPr>
          <w:rFonts w:hint="eastAsia" w:ascii="仿宋" w:hAnsi="仿宋" w:eastAsia="仿宋" w:cs="仿宋"/>
          <w:b/>
          <w:bCs/>
          <w:spacing w:val="-2"/>
          <w:kern w:val="0"/>
          <w:sz w:val="32"/>
          <w:szCs w:val="32"/>
        </w:rPr>
      </w:pPr>
      <w:r>
        <w:rPr>
          <w:rFonts w:hint="eastAsia" w:ascii="仿宋" w:hAnsi="仿宋" w:eastAsia="仿宋" w:cs="仿宋"/>
          <w:b/>
          <w:bCs/>
          <w:spacing w:val="-2"/>
          <w:kern w:val="0"/>
          <w:sz w:val="32"/>
          <w:szCs w:val="32"/>
        </w:rPr>
        <w:t>专项支出</w:t>
      </w:r>
    </w:p>
    <w:p w14:paraId="272ACEF7">
      <w:pPr>
        <w:keepNext w:val="0"/>
        <w:keepLines w:val="0"/>
        <w:pageBreakBefore w:val="0"/>
        <w:numPr>
          <w:ilvl w:val="0"/>
          <w:numId w:val="0"/>
        </w:numPr>
        <w:shd w:val="clear" w:color="auto"/>
        <w:kinsoku/>
        <w:wordWrap/>
        <w:topLinePunct w:val="0"/>
        <w:autoSpaceDE/>
        <w:autoSpaceDN/>
        <w:bidi w:val="0"/>
        <w:adjustRightInd/>
        <w:spacing w:line="54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1</w:t>
      </w:r>
      <w:r>
        <w:rPr>
          <w:rFonts w:hint="eastAsia" w:ascii="仿宋" w:hAnsi="仿宋" w:eastAsia="仿宋" w:cs="仿宋"/>
          <w:b/>
          <w:bCs/>
          <w:sz w:val="32"/>
          <w:szCs w:val="32"/>
          <w:shd w:val="clear" w:color="auto" w:fill="FFFFFF"/>
          <w:lang w:val="en-US" w:eastAsia="zh-CN"/>
        </w:rPr>
        <w:t>、</w:t>
      </w:r>
      <w:r>
        <w:rPr>
          <w:rFonts w:hint="eastAsia" w:ascii="仿宋" w:hAnsi="仿宋" w:eastAsia="仿宋" w:cs="仿宋"/>
          <w:b/>
          <w:bCs/>
          <w:sz w:val="32"/>
          <w:szCs w:val="32"/>
          <w:shd w:val="clear" w:color="auto" w:fill="FFFFFF"/>
        </w:rPr>
        <w:t>专项资金安排落实、总投入等情况</w:t>
      </w:r>
    </w:p>
    <w:p w14:paraId="71155484">
      <w:pPr>
        <w:pStyle w:val="8"/>
        <w:keepNext w:val="0"/>
        <w:keepLines w:val="0"/>
        <w:pageBreakBefore w:val="0"/>
        <w:numPr>
          <w:ilvl w:val="0"/>
          <w:numId w:val="0"/>
        </w:numPr>
        <w:shd w:val="clear"/>
        <w:kinsoku/>
        <w:wordWrap/>
        <w:topLinePunct w:val="0"/>
        <w:autoSpaceDE/>
        <w:autoSpaceDN/>
        <w:bidi w:val="0"/>
        <w:adjustRightInd/>
        <w:spacing w:after="0"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2023年度</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3495.25</w:t>
      </w:r>
      <w:r>
        <w:rPr>
          <w:rFonts w:hint="eastAsia" w:ascii="仿宋" w:hAnsi="仿宋" w:eastAsia="仿宋" w:cs="仿宋"/>
          <w:sz w:val="32"/>
          <w:szCs w:val="32"/>
        </w:rPr>
        <w:t>万元；</w:t>
      </w:r>
    </w:p>
    <w:p w14:paraId="4C45D4A7">
      <w:pPr>
        <w:pStyle w:val="8"/>
        <w:keepNext w:val="0"/>
        <w:keepLines w:val="0"/>
        <w:pageBreakBefore w:val="0"/>
        <w:numPr>
          <w:ilvl w:val="0"/>
          <w:numId w:val="0"/>
        </w:numPr>
        <w:shd w:val="clear"/>
        <w:kinsoku/>
        <w:wordWrap/>
        <w:topLinePunct w:val="0"/>
        <w:autoSpaceDE/>
        <w:autoSpaceDN/>
        <w:bidi w:val="0"/>
        <w:adjustRightInd/>
        <w:spacing w:after="0" w:line="540" w:lineRule="exact"/>
        <w:ind w:firstLine="643" w:firstLineChars="200"/>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lang w:val="en-US" w:eastAsia="zh-CN"/>
        </w:rPr>
        <w:t>2、</w:t>
      </w:r>
      <w:r>
        <w:rPr>
          <w:rFonts w:hint="eastAsia" w:ascii="仿宋" w:hAnsi="仿宋" w:eastAsia="仿宋" w:cs="仿宋"/>
          <w:b/>
          <w:bCs/>
          <w:sz w:val="32"/>
          <w:szCs w:val="32"/>
          <w:shd w:val="clear" w:color="auto" w:fill="FFFFFF"/>
        </w:rPr>
        <w:t>专项资金实际使用情况</w:t>
      </w:r>
    </w:p>
    <w:p w14:paraId="592776B7">
      <w:pPr>
        <w:pStyle w:val="14"/>
        <w:shd w:val="clear"/>
        <w:ind w:firstLine="640" w:firstLineChars="200"/>
        <w:rPr>
          <w:rFonts w:hint="eastAsia" w:ascii="Times New Roman" w:hAnsi="Times New Roman" w:eastAsia="仿宋_GB2312"/>
          <w:sz w:val="32"/>
          <w:szCs w:val="32"/>
          <w:lang w:val="en-US" w:eastAsia="zh-CN"/>
        </w:rPr>
      </w:pPr>
      <w:r>
        <w:rPr>
          <w:rFonts w:hint="eastAsia" w:ascii="仿宋" w:hAnsi="仿宋" w:eastAsia="仿宋" w:cs="仿宋"/>
          <w:sz w:val="32"/>
          <w:szCs w:val="32"/>
          <w:lang w:val="en-US" w:eastAsia="zh-CN"/>
        </w:rPr>
        <w:t>2023年度</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3495.25</w:t>
      </w:r>
      <w:r>
        <w:rPr>
          <w:rFonts w:hint="eastAsia" w:ascii="仿宋" w:hAnsi="仿宋" w:eastAsia="仿宋" w:cs="仿宋"/>
          <w:sz w:val="32"/>
          <w:szCs w:val="32"/>
        </w:rPr>
        <w:t>万元；</w:t>
      </w:r>
      <w:r>
        <w:rPr>
          <w:rFonts w:hint="eastAsia" w:ascii="Times New Roman" w:hAnsi="Times New Roman" w:eastAsia="仿宋_GB2312"/>
          <w:sz w:val="32"/>
          <w:szCs w:val="32"/>
          <w:lang w:val="en-US" w:eastAsia="zh-CN"/>
        </w:rPr>
        <w:t>1、卫生健康支出660.54万元；2、资源勘探工业信息等支出320.38万元；3、行政运行9.04万元；4、一般行政管理事务1.84万元；5、产业发展93.83万元；6、其他工业和信息产业监管等支出2404.62万元，7、自然资源海洋气象等支出5万元；</w:t>
      </w:r>
    </w:p>
    <w:p w14:paraId="680609C4">
      <w:pPr>
        <w:keepNext w:val="0"/>
        <w:keepLines w:val="0"/>
        <w:pageBreakBefore w:val="0"/>
        <w:numPr>
          <w:ilvl w:val="0"/>
          <w:numId w:val="0"/>
        </w:numPr>
        <w:shd w:val="clear" w:color="auto"/>
        <w:kinsoku/>
        <w:wordWrap/>
        <w:topLinePunct w:val="0"/>
        <w:autoSpaceDE/>
        <w:autoSpaceDN/>
        <w:bidi w:val="0"/>
        <w:adjustRightInd/>
        <w:spacing w:line="540" w:lineRule="exact"/>
        <w:ind w:firstLine="643" w:firstLineChars="200"/>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lang w:val="en-US" w:eastAsia="zh-CN"/>
        </w:rPr>
        <w:t>3、</w:t>
      </w:r>
      <w:r>
        <w:rPr>
          <w:rFonts w:hint="eastAsia" w:ascii="仿宋" w:hAnsi="仿宋" w:eastAsia="仿宋" w:cs="仿宋"/>
          <w:b/>
          <w:bCs/>
          <w:sz w:val="32"/>
          <w:szCs w:val="32"/>
          <w:shd w:val="clear" w:color="auto" w:fill="FFFFFF"/>
        </w:rPr>
        <w:t>专项资金管理情况分析</w:t>
      </w:r>
    </w:p>
    <w:p w14:paraId="5A50CE99">
      <w:pPr>
        <w:keepNext w:val="0"/>
        <w:keepLines w:val="0"/>
        <w:pageBreakBefore w:val="0"/>
        <w:numPr>
          <w:ilvl w:val="0"/>
          <w:numId w:val="0"/>
        </w:numPr>
        <w:shd w:val="clear" w:color="auto"/>
        <w:kinsoku/>
        <w:wordWrap/>
        <w:topLinePunct w:val="0"/>
        <w:autoSpaceDE/>
        <w:autoSpaceDN/>
        <w:bidi w:val="0"/>
        <w:adjustRightInd/>
        <w:spacing w:line="540" w:lineRule="exact"/>
        <w:ind w:firstLine="640" w:firstLineChars="200"/>
        <w:textAlignment w:val="auto"/>
        <w:rPr>
          <w:rFonts w:hint="eastAsia" w:ascii="仿宋" w:hAnsi="仿宋" w:eastAsia="仿宋" w:cs="仿宋"/>
          <w:b/>
          <w:bCs/>
          <w:sz w:val="32"/>
          <w:szCs w:val="32"/>
          <w:shd w:val="clear" w:color="auto" w:fill="FFFFFF"/>
        </w:rPr>
      </w:pPr>
      <w:r>
        <w:rPr>
          <w:rFonts w:hint="eastAsia" w:ascii="仿宋" w:hAnsi="仿宋" w:eastAsia="仿宋" w:cs="仿宋"/>
          <w:sz w:val="32"/>
          <w:szCs w:val="32"/>
          <w:shd w:val="clear" w:color="auto" w:fill="FFFFFF"/>
        </w:rPr>
        <w:t>我</w:t>
      </w:r>
      <w:r>
        <w:rPr>
          <w:rFonts w:hint="eastAsia" w:ascii="仿宋" w:hAnsi="仿宋" w:eastAsia="仿宋" w:cs="仿宋"/>
          <w:sz w:val="32"/>
          <w:szCs w:val="32"/>
          <w:shd w:val="clear" w:color="auto" w:fill="FFFFFF"/>
          <w:lang w:eastAsia="zh-CN"/>
        </w:rPr>
        <w:t>局</w:t>
      </w:r>
      <w:r>
        <w:rPr>
          <w:rFonts w:hint="eastAsia" w:ascii="仿宋" w:hAnsi="仿宋" w:eastAsia="仿宋" w:cs="仿宋"/>
          <w:sz w:val="32"/>
          <w:szCs w:val="32"/>
          <w:shd w:val="clear" w:color="auto" w:fill="FFFFFF"/>
        </w:rPr>
        <w:t>一直加强财务管理，注重在执行财经法规、财政纪律以及完善各项财经制度上下功夫。加强制度建设。修订完善了一系列制度，如</w:t>
      </w:r>
      <w:r>
        <w:rPr>
          <w:rFonts w:hint="eastAsia" w:ascii="仿宋" w:hAnsi="仿宋" w:eastAsia="仿宋" w:cs="仿宋"/>
          <w:sz w:val="32"/>
          <w:szCs w:val="32"/>
          <w:shd w:val="clear" w:color="auto" w:fill="FFFFFF"/>
          <w:lang w:eastAsia="zh-CN"/>
        </w:rPr>
        <w:t>内部管理制度、</w:t>
      </w:r>
      <w:r>
        <w:rPr>
          <w:rFonts w:hint="eastAsia" w:ascii="仿宋" w:hAnsi="仿宋" w:eastAsia="仿宋" w:cs="仿宋"/>
          <w:sz w:val="32"/>
          <w:szCs w:val="32"/>
          <w:shd w:val="clear" w:color="auto" w:fill="FFFFFF"/>
        </w:rPr>
        <w:t>财务管理办法</w:t>
      </w:r>
      <w:r>
        <w:rPr>
          <w:rFonts w:hint="eastAsia" w:ascii="仿宋" w:hAnsi="仿宋" w:eastAsia="仿宋" w:cs="仿宋"/>
          <w:sz w:val="32"/>
          <w:szCs w:val="32"/>
          <w:shd w:val="clear" w:color="auto" w:fill="FFFFFF"/>
          <w:lang w:eastAsia="zh-CN"/>
        </w:rPr>
        <w:t>、专项资金管理制度</w:t>
      </w:r>
      <w:r>
        <w:rPr>
          <w:rFonts w:hint="eastAsia" w:ascii="仿宋" w:hAnsi="仿宋" w:eastAsia="仿宋" w:cs="仿宋"/>
          <w:sz w:val="32"/>
          <w:szCs w:val="32"/>
          <w:shd w:val="clear" w:color="auto" w:fill="FFFFFF"/>
        </w:rPr>
        <w:t>等；专项资金专款专用</w:t>
      </w:r>
      <w:r>
        <w:rPr>
          <w:rFonts w:hint="eastAsia" w:ascii="仿宋" w:hAnsi="仿宋" w:eastAsia="仿宋" w:cs="仿宋"/>
          <w:kern w:val="0"/>
          <w:sz w:val="32"/>
          <w:szCs w:val="32"/>
          <w:shd w:val="clear" w:color="auto" w:fill="FFFFFF"/>
          <w:lang w:bidi="ar"/>
        </w:rPr>
        <w:t>，各种专项资金的形成，建立、提取和使用都必须符合国家统一规定。对各种专项资金单独核算，不能占用；建立专项资金使用管理责任制，努力提高其使用效率；在资金的使用上，坚持专款专用，量入为出的原则，使各项专用资金按规定的用途使用并达到预期目的。支付程序：1</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资金申请者需根据相关规定和要求填写</w:t>
      </w:r>
      <w:r>
        <w:rPr>
          <w:rFonts w:hint="eastAsia" w:ascii="仿宋" w:hAnsi="仿宋" w:eastAsia="仿宋" w:cs="仿宋"/>
          <w:kern w:val="0"/>
          <w:sz w:val="32"/>
          <w:szCs w:val="32"/>
          <w:shd w:val="clear" w:color="auto" w:fill="FFFFFF"/>
          <w:lang w:eastAsia="zh-CN" w:bidi="ar"/>
        </w:rPr>
        <w:t>专项资金</w:t>
      </w:r>
      <w:r>
        <w:rPr>
          <w:rFonts w:hint="eastAsia" w:ascii="仿宋" w:hAnsi="仿宋" w:eastAsia="仿宋" w:cs="仿宋"/>
          <w:kern w:val="0"/>
          <w:sz w:val="32"/>
          <w:szCs w:val="32"/>
          <w:shd w:val="clear" w:color="auto" w:fill="FFFFFF"/>
          <w:lang w:bidi="ar"/>
        </w:rPr>
        <w:t>申请表，包括资金</w:t>
      </w:r>
      <w:r>
        <w:rPr>
          <w:rFonts w:hint="eastAsia" w:ascii="仿宋" w:hAnsi="仿宋" w:eastAsia="仿宋" w:cs="仿宋"/>
          <w:kern w:val="0"/>
          <w:sz w:val="32"/>
          <w:szCs w:val="32"/>
          <w:shd w:val="clear" w:color="auto" w:fill="FFFFFF"/>
          <w:lang w:eastAsia="zh-CN" w:bidi="ar"/>
        </w:rPr>
        <w:t>来源、资金</w:t>
      </w:r>
      <w:r>
        <w:rPr>
          <w:rFonts w:hint="eastAsia" w:ascii="仿宋" w:hAnsi="仿宋" w:eastAsia="仿宋" w:cs="仿宋"/>
          <w:kern w:val="0"/>
          <w:sz w:val="32"/>
          <w:szCs w:val="32"/>
          <w:shd w:val="clear" w:color="auto" w:fill="FFFFFF"/>
          <w:lang w:bidi="ar"/>
        </w:rPr>
        <w:t>用途、金额等信息，并提供相关证明材料。2. 资金申请表和材料经过初步审核后，进入资金申请评审阶段。由相关部门或专项资金管理机构对申请进行评审，包括资金用途合理性、申请者的资质等进行综合评估。3. 经过评审后，如果申请合格，资金管理机构将出具批准文件，确认资金支付的金额和条件。如果申请不合格，申请者将收到通知并说明原因。4.一旦申请获得批准，资金管理机构将按照批准文件的要求进行拨付，即将批准的资金划拨到申请者指定的帐户。5.申请者按照批准文件和要求使用专项资金，并确保资金用于指定的用途。同时，还需要按照资金管理机构的要求提供相关支出和使用报告。6.专项资金使用期间，资金管理机构会进行监督和审计，确保专项资金使用符合规定和要求，并及时发现和解决问题。7.结使用期限届满后，申请者需要向资金管理机构提交结算和报告，包括资金使用情况、支出明细等。</w:t>
      </w:r>
    </w:p>
    <w:p w14:paraId="11E5BE48">
      <w:pPr>
        <w:keepNext w:val="0"/>
        <w:keepLines w:val="0"/>
        <w:pageBreakBefore w:val="0"/>
        <w:numPr>
          <w:ilvl w:val="0"/>
          <w:numId w:val="0"/>
        </w:numPr>
        <w:shd w:val="clear" w:color="auto"/>
        <w:kinsoku/>
        <w:wordWrap/>
        <w:topLinePunct w:val="0"/>
        <w:autoSpaceDE/>
        <w:autoSpaceDN/>
        <w:bidi w:val="0"/>
        <w:adjustRightInd/>
        <w:spacing w:line="540"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三、</w:t>
      </w:r>
      <w:r>
        <w:rPr>
          <w:rFonts w:hint="eastAsia" w:ascii="楷体" w:hAnsi="楷体" w:eastAsia="楷体" w:cs="楷体"/>
          <w:b/>
          <w:bCs/>
          <w:sz w:val="32"/>
          <w:szCs w:val="32"/>
          <w:shd w:val="clear" w:color="auto" w:fill="FFFFFF"/>
        </w:rPr>
        <w:t>政府性基金预算支出情况</w:t>
      </w:r>
    </w:p>
    <w:p w14:paraId="130E4725">
      <w:pPr>
        <w:keepNext w:val="0"/>
        <w:keepLines w:val="0"/>
        <w:pageBreakBefore w:val="0"/>
        <w:shd w:val="clear" w:color="auto"/>
        <w:kinsoku/>
        <w:wordWrap/>
        <w:topLinePunct w:val="0"/>
        <w:autoSpaceDE/>
        <w:autoSpaceDN/>
        <w:bidi w:val="0"/>
        <w:adjustRightInd/>
        <w:spacing w:line="540" w:lineRule="exact"/>
        <w:ind w:firstLine="56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我单位无政府性基金收入和支出。</w:t>
      </w:r>
    </w:p>
    <w:p w14:paraId="7EB357EF">
      <w:pPr>
        <w:keepNext w:val="0"/>
        <w:keepLines w:val="0"/>
        <w:pageBreakBefore w:val="0"/>
        <w:numPr>
          <w:ilvl w:val="0"/>
          <w:numId w:val="0"/>
        </w:numPr>
        <w:shd w:val="clear" w:color="auto"/>
        <w:kinsoku/>
        <w:wordWrap/>
        <w:topLinePunct w:val="0"/>
        <w:autoSpaceDE/>
        <w:autoSpaceDN/>
        <w:bidi w:val="0"/>
        <w:adjustRightInd/>
        <w:spacing w:line="540" w:lineRule="exact"/>
        <w:ind w:firstLine="643" w:firstLineChars="200"/>
        <w:textAlignment w:val="auto"/>
        <w:rPr>
          <w:rFonts w:hint="eastAsia" w:ascii="楷体" w:hAnsi="楷体" w:eastAsia="楷体" w:cs="楷体"/>
          <w:b/>
          <w:bCs/>
          <w:sz w:val="32"/>
          <w:szCs w:val="32"/>
          <w:shd w:val="clear" w:color="auto" w:fill="FFFFFF"/>
          <w:lang w:eastAsia="zh-CN"/>
        </w:rPr>
      </w:pPr>
      <w:r>
        <w:rPr>
          <w:rFonts w:hint="eastAsia" w:ascii="楷体" w:hAnsi="楷体" w:eastAsia="楷体" w:cs="楷体"/>
          <w:b/>
          <w:bCs/>
          <w:sz w:val="32"/>
          <w:szCs w:val="32"/>
          <w:shd w:val="clear" w:color="auto" w:fill="FFFFFF"/>
          <w:lang w:eastAsia="zh-CN"/>
        </w:rPr>
        <w:t>四、国有资本经营预算支出情况</w:t>
      </w:r>
    </w:p>
    <w:p w14:paraId="4E0BCC48">
      <w:pPr>
        <w:keepNext w:val="0"/>
        <w:keepLines w:val="0"/>
        <w:pageBreakBefore w:val="0"/>
        <w:shd w:val="clear" w:color="auto"/>
        <w:kinsoku/>
        <w:wordWrap/>
        <w:topLinePunct w:val="0"/>
        <w:autoSpaceDE/>
        <w:autoSpaceDN/>
        <w:bidi w:val="0"/>
        <w:adjustRightInd/>
        <w:spacing w:line="54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我单位无国有资本经营收入支出。</w:t>
      </w:r>
    </w:p>
    <w:p w14:paraId="4D1BA990">
      <w:pPr>
        <w:keepNext w:val="0"/>
        <w:keepLines w:val="0"/>
        <w:pageBreakBefore w:val="0"/>
        <w:shd w:val="clear" w:color="auto"/>
        <w:kinsoku/>
        <w:wordWrap/>
        <w:topLinePunct w:val="0"/>
        <w:autoSpaceDE/>
        <w:autoSpaceDN/>
        <w:bidi w:val="0"/>
        <w:adjustRightInd/>
        <w:spacing w:line="540" w:lineRule="exact"/>
        <w:ind w:firstLine="643" w:firstLineChars="200"/>
        <w:textAlignment w:val="auto"/>
        <w:rPr>
          <w:rFonts w:hint="eastAsia" w:ascii="仿宋" w:hAnsi="仿宋" w:eastAsia="仿宋" w:cs="仿宋"/>
          <w:b/>
          <w:bCs/>
          <w:sz w:val="32"/>
          <w:szCs w:val="32"/>
          <w:shd w:val="clear" w:color="auto" w:fill="FFFFFF"/>
        </w:rPr>
      </w:pPr>
      <w:r>
        <w:rPr>
          <w:rFonts w:hint="eastAsia" w:ascii="楷体" w:hAnsi="楷体" w:eastAsia="楷体" w:cs="楷体"/>
          <w:b/>
          <w:bCs/>
          <w:sz w:val="32"/>
          <w:szCs w:val="32"/>
          <w:shd w:val="clear" w:color="auto" w:fill="FFFFFF"/>
          <w:lang w:eastAsia="zh-CN"/>
        </w:rPr>
        <w:t>五、社会保险基金预算支出情况</w:t>
      </w:r>
    </w:p>
    <w:p w14:paraId="0DCE427D">
      <w:pPr>
        <w:keepNext w:val="0"/>
        <w:keepLines w:val="0"/>
        <w:pageBreakBefore w:val="0"/>
        <w:shd w:val="clear" w:color="auto"/>
        <w:kinsoku/>
        <w:wordWrap/>
        <w:topLinePunct w:val="0"/>
        <w:autoSpaceDE/>
        <w:autoSpaceDN/>
        <w:bidi w:val="0"/>
        <w:adjustRightInd/>
        <w:spacing w:line="540" w:lineRule="exact"/>
        <w:ind w:left="420" w:left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 xml:space="preserve"> 我单位无社会保险基金收入支出。</w:t>
      </w:r>
    </w:p>
    <w:p w14:paraId="0C663231">
      <w:pPr>
        <w:keepNext w:val="0"/>
        <w:keepLines w:val="0"/>
        <w:pageBreakBefore w:val="0"/>
        <w:shd w:val="clear" w:color="auto"/>
        <w:kinsoku/>
        <w:wordWrap/>
        <w:topLinePunct w:val="0"/>
        <w:autoSpaceDE/>
        <w:autoSpaceDN/>
        <w:bidi w:val="0"/>
        <w:adjustRightInd/>
        <w:spacing w:line="540" w:lineRule="exact"/>
        <w:ind w:firstLine="643" w:firstLineChars="200"/>
        <w:textAlignment w:val="auto"/>
        <w:rPr>
          <w:rFonts w:hint="eastAsia" w:ascii="楷体" w:hAnsi="楷体" w:eastAsia="楷体" w:cs="楷体"/>
          <w:b/>
          <w:bCs/>
          <w:sz w:val="32"/>
          <w:szCs w:val="32"/>
          <w:shd w:val="clear" w:color="auto" w:fill="FFFFFF"/>
          <w:lang w:eastAsia="zh-CN"/>
        </w:rPr>
      </w:pPr>
      <w:r>
        <w:rPr>
          <w:rFonts w:hint="eastAsia" w:ascii="楷体" w:hAnsi="楷体" w:eastAsia="楷体" w:cs="楷体"/>
          <w:b/>
          <w:bCs/>
          <w:sz w:val="32"/>
          <w:szCs w:val="32"/>
          <w:shd w:val="clear" w:color="auto" w:fill="FFFFFF"/>
          <w:lang w:eastAsia="zh-CN"/>
        </w:rPr>
        <w:t>六、资产管理情况</w:t>
      </w:r>
    </w:p>
    <w:p w14:paraId="04FA1DDF">
      <w:pPr>
        <w:keepNext w:val="0"/>
        <w:keepLines w:val="0"/>
        <w:pageBreakBefore w:val="0"/>
        <w:shd w:val="clear" w:color="auto"/>
        <w:kinsoku/>
        <w:wordWrap/>
        <w:topLinePunct w:val="0"/>
        <w:autoSpaceDE/>
        <w:autoSpaceDN/>
        <w:bidi w:val="0"/>
        <w:adjustRightInd/>
        <w:spacing w:line="54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截止</w:t>
      </w:r>
      <w:r>
        <w:rPr>
          <w:rFonts w:hint="eastAsia" w:ascii="仿宋" w:hAnsi="仿宋" w:eastAsia="仿宋" w:cs="仿宋"/>
          <w:color w:val="333333"/>
          <w:sz w:val="32"/>
          <w:szCs w:val="32"/>
        </w:rPr>
        <w:t>202</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年</w:t>
      </w:r>
      <w:r>
        <w:rPr>
          <w:rFonts w:hint="eastAsia" w:ascii="仿宋" w:hAnsi="仿宋" w:eastAsia="仿宋" w:cs="仿宋"/>
          <w:color w:val="333333"/>
          <w:sz w:val="32"/>
          <w:szCs w:val="32"/>
          <w:lang w:val="en-US" w:eastAsia="zh-CN"/>
        </w:rPr>
        <w:t>12月</w:t>
      </w:r>
      <w:r>
        <w:rPr>
          <w:rFonts w:hint="eastAsia" w:ascii="仿宋" w:hAnsi="仿宋" w:eastAsia="仿宋" w:cs="仿宋"/>
          <w:color w:val="333333"/>
          <w:sz w:val="32"/>
          <w:szCs w:val="32"/>
        </w:rPr>
        <w:t>，县</w:t>
      </w:r>
      <w:r>
        <w:rPr>
          <w:rFonts w:hint="eastAsia" w:ascii="仿宋" w:hAnsi="仿宋" w:eastAsia="仿宋" w:cs="仿宋"/>
          <w:color w:val="333333"/>
          <w:sz w:val="32"/>
          <w:szCs w:val="32"/>
          <w:lang w:eastAsia="zh-CN"/>
        </w:rPr>
        <w:t>工</w:t>
      </w:r>
      <w:r>
        <w:rPr>
          <w:rFonts w:hint="eastAsia" w:ascii="仿宋" w:hAnsi="仿宋" w:eastAsia="仿宋" w:cs="仿宋"/>
          <w:color w:val="333333"/>
          <w:sz w:val="32"/>
          <w:szCs w:val="32"/>
        </w:rPr>
        <w:t>信局固定资产1</w:t>
      </w:r>
      <w:r>
        <w:rPr>
          <w:rFonts w:hint="eastAsia" w:ascii="仿宋" w:hAnsi="仿宋" w:eastAsia="仿宋" w:cs="仿宋"/>
          <w:color w:val="333333"/>
          <w:sz w:val="32"/>
          <w:szCs w:val="32"/>
          <w:lang w:val="en-US" w:eastAsia="zh-CN"/>
        </w:rPr>
        <w:t>18.78</w:t>
      </w:r>
      <w:r>
        <w:rPr>
          <w:rFonts w:hint="eastAsia" w:ascii="仿宋" w:hAnsi="仿宋" w:eastAsia="仿宋" w:cs="仿宋"/>
          <w:color w:val="333333"/>
          <w:sz w:val="32"/>
          <w:szCs w:val="32"/>
        </w:rPr>
        <w:t>万元，全部为在用固定资产，固定资产使用率为100%。</w:t>
      </w:r>
      <w:r>
        <w:rPr>
          <w:rFonts w:hint="eastAsia" w:ascii="仿宋" w:hAnsi="仿宋" w:eastAsia="仿宋" w:cs="仿宋"/>
          <w:sz w:val="32"/>
          <w:szCs w:val="32"/>
          <w:shd w:val="clear" w:color="auto" w:fill="FFFFFF"/>
        </w:rPr>
        <w:t>固定资产严格按照《资产管理办法》和《政府采购预算》进行配置和处置，按计划购置办公用品。我单位建立健全各项管理制度，合理配备并节约、有效使用固定资产，提高固定资产使用效率，保障固定资产的安全和完整。固定资产的管理和使用应坚持统一政策、统一领导、分级管理、责任到人、物尽其用的原则。财务部门负责对行政事业单位固定资产管理进行指导和监督，对纳入政府采购范围的固定资产进行统一购置。办公室、技术部门负责固定资产的日常管理工作，包括资产的配置、登记、统计、维护、保管等，并对所管资产的安全完整负有责任。日常管理有台账、有制度、有专人。每年年初和年末对固定资产进行清查。</w:t>
      </w:r>
    </w:p>
    <w:p w14:paraId="37F3F37E">
      <w:pPr>
        <w:keepNext w:val="0"/>
        <w:keepLines w:val="0"/>
        <w:pageBreakBefore w:val="0"/>
        <w:numPr>
          <w:ilvl w:val="0"/>
          <w:numId w:val="0"/>
        </w:numPr>
        <w:shd w:val="clear" w:color="000000"/>
        <w:kinsoku/>
        <w:wordWrap/>
        <w:topLinePunct w:val="0"/>
        <w:autoSpaceDE/>
        <w:autoSpaceDN/>
        <w:bidi w:val="0"/>
        <w:adjustRightInd/>
        <w:spacing w:line="54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七、</w:t>
      </w:r>
      <w:r>
        <w:rPr>
          <w:rFonts w:hint="eastAsia" w:ascii="楷体" w:hAnsi="楷体" w:eastAsia="楷体" w:cs="楷体"/>
          <w:b/>
          <w:bCs/>
          <w:color w:val="000000"/>
          <w:sz w:val="32"/>
          <w:szCs w:val="32"/>
        </w:rPr>
        <w:t>部门整体支出绩效情况</w:t>
      </w:r>
    </w:p>
    <w:p w14:paraId="50693CDD">
      <w:pPr>
        <w:keepNext w:val="0"/>
        <w:keepLines w:val="0"/>
        <w:pageBreakBefore w:val="0"/>
        <w:shd w:val="clear"/>
        <w:kinsoku/>
        <w:wordWrap/>
        <w:overflowPunct w:val="0"/>
        <w:topLinePunct w:val="0"/>
        <w:autoSpaceDE/>
        <w:autoSpaceDN/>
        <w:bidi w:val="0"/>
        <w:adjustRightIn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lang w:eastAsia="zh-CN"/>
        </w:rPr>
        <w:t>我单位整体支出</w:t>
      </w:r>
      <w:r>
        <w:rPr>
          <w:rFonts w:hint="eastAsia" w:ascii="仿宋" w:hAnsi="仿宋" w:eastAsia="仿宋" w:cs="仿宋"/>
          <w:sz w:val="32"/>
          <w:szCs w:val="32"/>
          <w:shd w:val="clear" w:color="auto" w:fill="FFFFFF"/>
        </w:rPr>
        <w:t>主要</w:t>
      </w:r>
      <w:r>
        <w:rPr>
          <w:rFonts w:hint="eastAsia" w:ascii="仿宋" w:hAnsi="仿宋" w:eastAsia="仿宋" w:cs="仿宋"/>
          <w:sz w:val="32"/>
          <w:szCs w:val="32"/>
          <w:shd w:val="clear" w:color="auto" w:fill="FFFFFF"/>
          <w:lang w:eastAsia="zh-CN"/>
        </w:rPr>
        <w:t>是</w:t>
      </w:r>
      <w:r>
        <w:rPr>
          <w:rFonts w:hint="eastAsia" w:ascii="仿宋" w:hAnsi="仿宋" w:eastAsia="仿宋" w:cs="仿宋"/>
          <w:sz w:val="32"/>
          <w:szCs w:val="32"/>
          <w:shd w:val="clear" w:color="auto" w:fill="FFFFFF"/>
        </w:rPr>
        <w:t>保障部门机构正常运转、完成日常工作任务以及承担全县经济和信息化事业发展相关工作</w:t>
      </w:r>
      <w:r>
        <w:rPr>
          <w:rFonts w:hint="eastAsia" w:ascii="仿宋" w:hAnsi="仿宋" w:eastAsia="仿宋" w:cs="仿宋"/>
          <w:sz w:val="32"/>
          <w:szCs w:val="32"/>
          <w:shd w:val="clear" w:color="auto" w:fill="FFFFFF"/>
        </w:rPr>
        <w:t>。在整体资金使用上，严格执行预算管理和财政制度，严格按照规定的范围、用途和标准使用财政资金，资金拨付有完整的审批程序和手续，按照财经制度的有关要求，做到专款专用，专人保管,资金使用无截留、挤占、挪用、虚列支出等情况，相关发票由财务室审核后，由分</w:t>
      </w:r>
      <w:bookmarkStart w:id="1" w:name="_GoBack"/>
      <w:bookmarkEnd w:id="1"/>
      <w:r>
        <w:rPr>
          <w:rFonts w:hint="eastAsia" w:ascii="仿宋" w:hAnsi="仿宋" w:eastAsia="仿宋" w:cs="仿宋"/>
          <w:sz w:val="32"/>
          <w:szCs w:val="32"/>
          <w:shd w:val="clear" w:color="auto" w:fill="FFFFFF"/>
        </w:rPr>
        <w:t>管财务的领导签字</w:t>
      </w:r>
      <w:r>
        <w:rPr>
          <w:rFonts w:hint="eastAsia" w:ascii="仿宋" w:hAnsi="仿宋" w:eastAsia="仿宋" w:cs="仿宋"/>
          <w:sz w:val="32"/>
          <w:szCs w:val="32"/>
          <w:shd w:val="clear" w:color="auto" w:fill="FFFFFF"/>
          <w:lang w:eastAsia="zh-CN"/>
        </w:rPr>
        <w:t>、局长审核</w:t>
      </w:r>
      <w:r>
        <w:rPr>
          <w:rFonts w:hint="eastAsia" w:ascii="仿宋" w:hAnsi="仿宋" w:eastAsia="仿宋" w:cs="仿宋"/>
          <w:sz w:val="32"/>
          <w:szCs w:val="32"/>
          <w:shd w:val="clear" w:color="auto" w:fill="FFFFFF"/>
        </w:rPr>
        <w:t>同意报账后到财务室结算。确保财政资金依法依规使用、管理。厉行节约见成效，“三公”经费</w:t>
      </w:r>
      <w:r>
        <w:rPr>
          <w:rFonts w:hint="eastAsia" w:ascii="仿宋" w:hAnsi="仿宋" w:eastAsia="仿宋" w:cs="仿宋"/>
          <w:sz w:val="32"/>
          <w:szCs w:val="32"/>
          <w:shd w:val="clear" w:color="auto" w:fill="FFFFFF"/>
          <w:lang w:eastAsia="zh-CN"/>
        </w:rPr>
        <w:t>没有提高</w:t>
      </w:r>
      <w:r>
        <w:rPr>
          <w:rFonts w:hint="eastAsia" w:ascii="仿宋" w:hAnsi="仿宋" w:eastAsia="仿宋" w:cs="仿宋"/>
          <w:sz w:val="32"/>
          <w:szCs w:val="32"/>
          <w:shd w:val="clear" w:color="auto" w:fill="FFFFFF"/>
        </w:rPr>
        <w:t>，对照年初工作要点，圆满完成了各项工作。主要绩效如下：</w:t>
      </w:r>
    </w:p>
    <w:p w14:paraId="31ADDDC4">
      <w:pPr>
        <w:keepNext w:val="0"/>
        <w:keepLines w:val="0"/>
        <w:pageBreakBefore w:val="0"/>
        <w:widowControl w:val="0"/>
        <w:shd w:val="clear"/>
        <w:kinsoku/>
        <w:wordWrap/>
        <w:overflowPunct/>
        <w:topLinePunct w:val="0"/>
        <w:autoSpaceDE/>
        <w:autoSpaceDN/>
        <w:bidi w:val="0"/>
        <w:adjustRightInd/>
        <w:spacing w:line="540" w:lineRule="exact"/>
        <w:ind w:firstLine="643"/>
        <w:textAlignment w:val="auto"/>
        <w:rPr>
          <w:rFonts w:hint="eastAsia" w:ascii="仿宋" w:hAnsi="仿宋" w:eastAsia="仿宋" w:cs="仿宋"/>
          <w:b/>
          <w:sz w:val="32"/>
          <w:szCs w:val="32"/>
        </w:rPr>
      </w:pPr>
      <w:r>
        <w:rPr>
          <w:rFonts w:hint="eastAsia" w:ascii="仿宋" w:hAnsi="仿宋" w:eastAsia="仿宋" w:cs="仿宋"/>
          <w:b/>
          <w:sz w:val="32"/>
          <w:szCs w:val="32"/>
        </w:rPr>
        <w:t>（一）部门履职情况</w:t>
      </w:r>
    </w:p>
    <w:p w14:paraId="579DEF61">
      <w:pPr>
        <w:pStyle w:val="5"/>
        <w:keepNext w:val="0"/>
        <w:keepLines w:val="0"/>
        <w:pageBreakBefore w:val="0"/>
        <w:widowControl w:val="0"/>
        <w:numPr>
          <w:ilvl w:val="0"/>
          <w:numId w:val="0"/>
        </w:numPr>
        <w:shd w:val="clear"/>
        <w:kinsoku/>
        <w:wordWrap/>
        <w:overflowPunct/>
        <w:topLinePunct w:val="0"/>
        <w:autoSpaceDE/>
        <w:autoSpaceDN/>
        <w:bidi w:val="0"/>
        <w:adjustRightInd/>
        <w:spacing w:line="54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2023年来，工信局在县委县政府的坚强领导下，围绕“五新四城”目标，落实“四强四新”举措，取得了一定的成绩。</w:t>
      </w:r>
      <w:r>
        <w:rPr>
          <w:rFonts w:hint="eastAsia" w:ascii="仿宋" w:hAnsi="仿宋" w:eastAsia="仿宋" w:cs="仿宋"/>
          <w:b w:val="0"/>
          <w:bCs w:val="0"/>
          <w:color w:val="auto"/>
          <w:sz w:val="32"/>
          <w:szCs w:val="32"/>
          <w:lang w:val="en-US" w:eastAsia="zh-CN"/>
        </w:rPr>
        <w:t>溆浦县“促进工业高质量发展”被评为省政府真抓实干督查激励对象，“送解优”助企纾困、企业入规、推进新型工业化等工作先后在全市作典型发言。我局2023年被评为全市电力行政执法“先进单位”、全市反恐怖工作成绩突出基层单位。</w:t>
      </w:r>
    </w:p>
    <w:p w14:paraId="3429F440">
      <w:pPr>
        <w:keepNext w:val="0"/>
        <w:keepLines w:val="0"/>
        <w:pageBreakBefore w:val="0"/>
        <w:shd w:val="clear"/>
        <w:kinsoku/>
        <w:wordWrap/>
        <w:topLinePunct w:val="0"/>
        <w:autoSpaceDE/>
        <w:autoSpaceDN/>
        <w:bidi w:val="0"/>
        <w:adjustRightInd/>
        <w:spacing w:line="540" w:lineRule="exact"/>
        <w:ind w:firstLine="643"/>
        <w:textAlignment w:val="auto"/>
        <w:rPr>
          <w:rFonts w:hint="eastAsia" w:ascii="仿宋" w:hAnsi="仿宋" w:eastAsia="仿宋" w:cs="仿宋"/>
          <w:b/>
          <w:sz w:val="32"/>
          <w:szCs w:val="32"/>
        </w:rPr>
      </w:pPr>
      <w:r>
        <w:rPr>
          <w:rFonts w:hint="eastAsia" w:ascii="仿宋" w:hAnsi="仿宋" w:eastAsia="仿宋" w:cs="仿宋"/>
          <w:b/>
          <w:sz w:val="32"/>
          <w:szCs w:val="32"/>
        </w:rPr>
        <w:t>（二）其他工作情况</w:t>
      </w:r>
    </w:p>
    <w:p w14:paraId="4EE928B7">
      <w:pPr>
        <w:keepNext w:val="0"/>
        <w:keepLines w:val="0"/>
        <w:pageBreakBefore w:val="0"/>
        <w:widowControl w:val="0"/>
        <w:numPr>
          <w:ilvl w:val="0"/>
          <w:numId w:val="0"/>
        </w:numPr>
        <w:shd w:val="clear"/>
        <w:kinsoku/>
        <w:wordWrap/>
        <w:overflowPunct/>
        <w:topLinePunct w:val="0"/>
        <w:autoSpaceDE/>
        <w:autoSpaceDN/>
        <w:bidi w:val="0"/>
        <w:adjustRightInd/>
        <w:spacing w:line="54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val="0"/>
          <w:color w:val="auto"/>
          <w:sz w:val="32"/>
          <w:szCs w:val="32"/>
          <w:lang w:val="en-US" w:eastAsia="zh-CN"/>
        </w:rPr>
        <w:t>1、党建工作情况。</w:t>
      </w:r>
      <w:r>
        <w:rPr>
          <w:rFonts w:hint="eastAsia" w:ascii="仿宋" w:hAnsi="仿宋" w:eastAsia="仿宋" w:cs="仿宋"/>
          <w:color w:val="auto"/>
          <w:sz w:val="32"/>
          <w:szCs w:val="32"/>
          <w:lang w:val="en-US" w:eastAsia="zh-CN"/>
        </w:rPr>
        <w:t>制定了《溆浦县工业和信息化局2023年工作要点》，将党建列入全年工作要点。</w:t>
      </w:r>
      <w:r>
        <w:rPr>
          <w:rFonts w:hint="eastAsia" w:ascii="仿宋" w:hAnsi="仿宋" w:eastAsia="仿宋" w:cs="仿宋"/>
          <w:color w:val="auto"/>
          <w:kern w:val="0"/>
          <w:sz w:val="32"/>
          <w:szCs w:val="32"/>
          <w:lang w:val="en-US" w:eastAsia="zh-CN" w:bidi="ar-SA"/>
        </w:rPr>
        <w:t>全年研究部署党建工作17次，督查指导下辖党支部12次，开展主题党日活动12次，上党课3次，听取支部书记党建汇报2次，开展党建业务培训2次，圆满完成顶端陶瓷公司党支部换届，压实下辖支部党建主体责任、支部书记“第一责任”和领导班子“一岗双责”责任，层层传导压力，级级压实责任，形成一级抓一级、层层抓落实的机制。</w:t>
      </w:r>
      <w:r>
        <w:rPr>
          <w:rFonts w:hint="eastAsia" w:ascii="仿宋" w:hAnsi="仿宋" w:eastAsia="仿宋" w:cs="仿宋"/>
          <w:color w:val="auto"/>
          <w:sz w:val="32"/>
          <w:szCs w:val="32"/>
          <w:lang w:val="en-US" w:eastAsia="zh-CN"/>
        </w:rPr>
        <w:t>组织开展学习贯彻习近平新时代中国特色社会主义思想主题教育，围绕“以学铸魂、以学增智、以学正风、以学促干”四个专题开展学习研讨，结合基层党组织为群众“谋一策、办一事、解一难”活动，共为企业解难题65个和办实事41件。</w:t>
      </w:r>
      <w:r>
        <w:rPr>
          <w:rFonts w:hint="eastAsia" w:ascii="仿宋" w:hAnsi="仿宋" w:eastAsia="仿宋" w:cs="仿宋"/>
          <w:color w:val="auto"/>
          <w:kern w:val="0"/>
          <w:sz w:val="32"/>
          <w:szCs w:val="32"/>
          <w:lang w:val="en-US" w:eastAsia="zh-CN" w:bidi="ar-SA"/>
        </w:rPr>
        <w:t>坚持党管人才，班子成员联系服务专家5名，联系服务10人次，向县委人才组推进规模工业企业优秀企业管理人才4名。</w:t>
      </w:r>
    </w:p>
    <w:p w14:paraId="7B5A13BC">
      <w:pPr>
        <w:keepNext w:val="0"/>
        <w:keepLines w:val="0"/>
        <w:pageBreakBefore w:val="0"/>
        <w:widowControl w:val="0"/>
        <w:numPr>
          <w:ilvl w:val="0"/>
          <w:numId w:val="0"/>
        </w:numPr>
        <w:shd w:val="clear"/>
        <w:kinsoku/>
        <w:wordWrap/>
        <w:overflowPunct/>
        <w:topLinePunct w:val="0"/>
        <w:autoSpaceDE/>
        <w:autoSpaceDN/>
        <w:bidi w:val="0"/>
        <w:adjustRightInd/>
        <w:spacing w:line="540" w:lineRule="exact"/>
        <w:ind w:firstLine="643" w:firstLineChars="200"/>
        <w:jc w:val="both"/>
        <w:textAlignment w:val="auto"/>
        <w:rPr>
          <w:rFonts w:hint="eastAsia" w:ascii="仿宋" w:hAnsi="仿宋" w:eastAsia="仿宋" w:cs="仿宋"/>
          <w:b w:val="0"/>
          <w:bCs/>
          <w:color w:val="auto"/>
          <w:sz w:val="32"/>
          <w:szCs w:val="32"/>
          <w:lang w:val="en-US" w:eastAsia="zh-CN" w:bidi="hi-IN"/>
        </w:rPr>
      </w:pPr>
      <w:r>
        <w:rPr>
          <w:rFonts w:hint="eastAsia" w:ascii="仿宋" w:hAnsi="仿宋" w:eastAsia="仿宋" w:cs="仿宋"/>
          <w:b/>
          <w:bCs w:val="0"/>
          <w:color w:val="auto"/>
          <w:sz w:val="32"/>
          <w:szCs w:val="32"/>
          <w:lang w:val="en-US" w:eastAsia="zh-CN" w:bidi="hi-IN"/>
        </w:rPr>
        <w:t>2、意识形态工作情况。</w:t>
      </w:r>
      <w:r>
        <w:rPr>
          <w:rFonts w:hint="eastAsia" w:ascii="仿宋" w:hAnsi="仿宋" w:eastAsia="仿宋" w:cs="仿宋"/>
          <w:color w:val="auto"/>
          <w:kern w:val="0"/>
          <w:sz w:val="32"/>
          <w:szCs w:val="32"/>
          <w:lang w:val="en-US" w:eastAsia="zh-CN" w:bidi="ar-SA"/>
        </w:rPr>
        <w:t>严格履行意识形态工作责任制，不定期开展意识形态分析研判，全年召开党组理论学习中心组12次，落实“第一议题”政治学习19次。深入学习习近平总书记关于统一战线的重要论述，贯彻落实《中国共产党统一战线工作条例》，利用电子显示屏、横幅标语在工信系统开展民族团结宣传发挥部门职责，协助统战部门对18名民营经济人士经营情况进行审查，统一思想战线，筑牢意识形态思想防线。严守保密工作制度，组织观看保密宣传片，加大对微信泄密事件排查，开展保密宣传，筑牢意识形态阵地。</w:t>
      </w:r>
      <w:r>
        <w:rPr>
          <w:rFonts w:hint="eastAsia" w:ascii="仿宋" w:hAnsi="仿宋" w:eastAsia="仿宋" w:cs="仿宋"/>
          <w:color w:val="auto"/>
          <w:sz w:val="32"/>
          <w:szCs w:val="32"/>
          <w:lang w:val="en-US" w:eastAsia="zh-CN"/>
        </w:rPr>
        <w:t>建立健全意识形态工作制度，及时处理群众信访诉求，主动担当，不让问题过夜，不让矛盾发酵，全年</w:t>
      </w:r>
      <w:r>
        <w:rPr>
          <w:rFonts w:hint="eastAsia" w:ascii="仿宋" w:hAnsi="仿宋" w:eastAsia="仿宋" w:cs="仿宋"/>
          <w:color w:val="auto"/>
          <w:kern w:val="0"/>
          <w:sz w:val="32"/>
          <w:szCs w:val="32"/>
          <w:lang w:val="en-US" w:eastAsia="zh-CN" w:bidi="ar-SA"/>
        </w:rPr>
        <w:t>共受理办结12345市长热线300余件、</w:t>
      </w:r>
      <w:r>
        <w:rPr>
          <w:rFonts w:hint="eastAsia" w:ascii="仿宋" w:hAnsi="仿宋" w:eastAsia="仿宋" w:cs="仿宋"/>
          <w:b w:val="0"/>
          <w:bCs w:val="0"/>
          <w:color w:val="auto"/>
          <w:sz w:val="32"/>
          <w:szCs w:val="32"/>
          <w:lang w:val="en-US" w:eastAsia="zh-CN"/>
        </w:rPr>
        <w:t>在省市县级媒体刊发报道27篇。</w:t>
      </w:r>
    </w:p>
    <w:p w14:paraId="5E6B0B32">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540" w:lineRule="exact"/>
        <w:ind w:firstLine="643"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bCs w:val="0"/>
          <w:color w:val="auto"/>
          <w:sz w:val="32"/>
          <w:szCs w:val="32"/>
          <w:lang w:val="en-US" w:eastAsia="zh-CN" w:bidi="hi-IN"/>
        </w:rPr>
        <w:t>3、党风廉政建设工作。</w:t>
      </w:r>
      <w:r>
        <w:rPr>
          <w:rFonts w:hint="eastAsia" w:ascii="仿宋" w:hAnsi="仿宋" w:eastAsia="仿宋" w:cs="仿宋"/>
          <w:color w:val="auto"/>
          <w:kern w:val="0"/>
          <w:sz w:val="32"/>
          <w:szCs w:val="32"/>
          <w:lang w:val="en-US" w:eastAsia="zh-CN" w:bidi="ar-SA"/>
        </w:rPr>
        <w:t>严格落实从严治党主体责任，按照要求报送“三重一大”决策重点事项监督清单、决策事项议前抄送表，规范权力运行。邀请派驻纪检组对局机关以及下属企业纪律作风进行监督检查3次，开展廉政谈话16次，约谈4次，谈心谈话38次，组织干部职工开展党纪条规、廉政法规学习及廉洁文化宣传教育活动4次。以创建清廉机关为抓手，制定了《溆浦县工信局创建“清廉机关”实施方案》，组织全体干部党员干部和公职人员集中学习纪检部门下发的文件以及通报，进一步筑牢思想防线，不断加强党风廉政建设。全面自查全局领导干部利用职权或影响力为亲友牟利等问题，紧盯权力集中、资金密集、资源富集、资产聚集的重点领域开展廉政风险排查，共排查廉政风险点20个，明确风险防控领导和防控措施，并挂牌上墙。</w:t>
      </w:r>
    </w:p>
    <w:p w14:paraId="6CB65936">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54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val="0"/>
          <w:color w:val="auto"/>
          <w:sz w:val="32"/>
          <w:szCs w:val="32"/>
          <w:lang w:val="en-US" w:eastAsia="zh-CN" w:bidi="hi-IN"/>
        </w:rPr>
        <w:t>4、工业经济发展情况。</w:t>
      </w:r>
      <w:r>
        <w:rPr>
          <w:rFonts w:hint="eastAsia" w:ascii="仿宋" w:hAnsi="仿宋" w:eastAsia="仿宋" w:cs="仿宋"/>
          <w:color w:val="auto"/>
          <w:kern w:val="0"/>
          <w:sz w:val="32"/>
          <w:szCs w:val="32"/>
          <w:lang w:val="en-US" w:eastAsia="zh-CN" w:bidi="ar-SA"/>
        </w:rPr>
        <w:t>我县现有规模以上工业企业108家，1-12月完成规模工业增加值增速9.6%；工业投资完成38.78亿元，增幅为101.7%，其中技改投资完成11.06亿元，增幅为141.5%;制造业增加值占地区生产总值比重以及规模以上工业新产品销售收入占比排名全市第一。完成新增规模工业18家，净增14家，全面完成了各项经济指标任务。制定了《溆浦县“智赋百企”行动推进方案》，以“智赋百企”行动助力企业腾飞，加快互联网、大数据、云计算与制造业深度融合，实现“上云”的企业400余家、省级专精特新中小企业5家、市级“创新型”企业4家，获评省级企业技术中心2家，两化融合贯标平台诊断企业、制造业数字化转型“三化”重点项目实现破零倍增。加快推进“5+N”产业体系建设以来，化工园区申报取得进展，精细化工新材料产业链、矿物功能新材料产业链、工程机械产业链产值增速分别达到17%、11.3%、19.7%；税收分别达到692万元、2900万元、456.51万元。</w:t>
      </w:r>
    </w:p>
    <w:p w14:paraId="282E7DD1">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line="540" w:lineRule="exact"/>
        <w:ind w:firstLine="643"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bCs w:val="0"/>
          <w:color w:val="auto"/>
          <w:sz w:val="32"/>
          <w:szCs w:val="32"/>
          <w:lang w:val="en-US" w:eastAsia="zh-CN" w:bidi="hi-IN"/>
        </w:rPr>
        <w:t>5、通信电力建设情况。</w:t>
      </w:r>
      <w:r>
        <w:rPr>
          <w:rFonts w:hint="eastAsia" w:ascii="仿宋" w:hAnsi="仿宋" w:eastAsia="仿宋" w:cs="仿宋"/>
          <w:color w:val="auto"/>
          <w:kern w:val="0"/>
          <w:sz w:val="32"/>
          <w:szCs w:val="32"/>
          <w:lang w:val="en-US" w:eastAsia="zh-CN" w:bidi="ar-SA"/>
        </w:rPr>
        <w:t>积极推进农网建设项目落地，共协调电力设施建设矛盾纠纷20多起，目前500千伏、110千伏及35千伏电网建设施工和10千伏农网均已投入运营，极大程度提高了我县用电水平。多管齐下推进乡村通信基础设施建设，超额完成重点民生实事项目任务，新增千兆光纤设备端口15609个，农村基站167个，经验做法刊入溆浦县打好重点民生保障仗工作专报，排名全市第二。充分利用三大通信运营商“数字乡村”云平台，今年共为147个村搭建了数字乡村平台，有效增强了村委信息化乡村治理的能力，深得广大村民点赞。稳步推进配网建设项目，帮助国网供电公司协调电网建设，按下配网工程建设“加速键”，2023配网建设工程涉及90个批次工程，共计195个单项，进一步满足群众日益增长的用电需求，为县域经济发展提供更坚强的供电保障。</w:t>
      </w:r>
    </w:p>
    <w:p w14:paraId="4FCC0296">
      <w:pPr>
        <w:keepNext w:val="0"/>
        <w:keepLines w:val="0"/>
        <w:pageBreakBefore w:val="0"/>
        <w:widowControl w:val="0"/>
        <w:shd w:val="clea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bCs w:val="0"/>
          <w:color w:val="auto"/>
          <w:sz w:val="32"/>
          <w:szCs w:val="32"/>
          <w:lang w:val="en-US" w:eastAsia="zh-CN" w:bidi="hi-IN"/>
        </w:rPr>
        <w:t>6、助企纾困开展情况。</w:t>
      </w:r>
      <w:r>
        <w:rPr>
          <w:rFonts w:hint="eastAsia" w:ascii="仿宋" w:hAnsi="仿宋" w:eastAsia="仿宋" w:cs="仿宋"/>
          <w:color w:val="auto"/>
          <w:kern w:val="0"/>
          <w:sz w:val="32"/>
          <w:szCs w:val="32"/>
          <w:lang w:val="en-US" w:eastAsia="zh-CN" w:bidi="ar-SA"/>
        </w:rPr>
        <w:t>制定了《2023年溆浦县常态长效“送政策解难题优服务”助企纾困行动工作方案》，精心选派114名联企干部对124家企业开展调查研究，积极推广惠企通APP，通过惠企通APP共交办问题174个，已解决问题173个。为给园区企业提供优质服务，将原有中小企业服务平台搬迁至产业园区，更加高效精准服务园区企业。同时积极主动帮助石材企业矿山续证及复工复产，与县自然资源局对接帮助办理采矿许可证8个；与县林业局对接矿山红线图办理林地手续；督查县供电公司解决企业的用电扩容问题，做好复工复产的要素保障。9月上旬8家石材企业已全部实现复工复产，预计全年产值可达24亿元。帮助市重点项目鹏茂新材料废旧轮胎再利用项目解决了进场道路电力杆线迁移和厂区供电变压器安装验收等问题，不断优化营商环境。</w:t>
      </w:r>
    </w:p>
    <w:p w14:paraId="1EC34D30">
      <w:pPr>
        <w:keepNext w:val="0"/>
        <w:keepLines w:val="0"/>
        <w:pageBreakBefore w:val="0"/>
        <w:widowControl w:val="0"/>
        <w:shd w:val="clea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bCs w:val="0"/>
          <w:color w:val="auto"/>
          <w:sz w:val="32"/>
          <w:szCs w:val="32"/>
          <w:lang w:val="en-US" w:eastAsia="zh-CN" w:bidi="hi-IN"/>
        </w:rPr>
        <w:t>7、安全生产开展情况。</w:t>
      </w:r>
      <w:r>
        <w:rPr>
          <w:rFonts w:hint="eastAsia" w:ascii="仿宋" w:hAnsi="仿宋" w:eastAsia="仿宋" w:cs="仿宋"/>
          <w:color w:val="auto"/>
          <w:kern w:val="0"/>
          <w:sz w:val="32"/>
          <w:szCs w:val="32"/>
          <w:lang w:val="en-US" w:eastAsia="zh-CN" w:bidi="ar-SA"/>
        </w:rPr>
        <w:t>一是强化安全教育培训，4月、10月组织开展了消防安全知识培训会和安全生产培训会，会上邀请了消防、应急管理、交通运输、电力等相关专家及部门负责人进行现场授课，共计培训300余人，发放资料1000余份。二是组织开展专家查隐患服务，今年6月，与应急部门联合组织安全专家对全县30家重点工业企业开展隐患排查“专家会诊”，发现重大事故隐患32个、一般隐患200余个。三是开展安全隐患排查，通过电力、通信行业安全生产大排查，消除</w:t>
      </w:r>
      <w:r>
        <w:rPr>
          <w:rFonts w:hint="eastAsia" w:ascii="仿宋" w:hAnsi="仿宋" w:eastAsia="仿宋" w:cs="仿宋"/>
          <w:sz w:val="32"/>
          <w:szCs w:val="32"/>
          <w:lang w:eastAsia="zh-CN"/>
        </w:rPr>
        <w:t>电力、通信</w:t>
      </w:r>
      <w:r>
        <w:rPr>
          <w:rFonts w:hint="eastAsia" w:ascii="仿宋" w:hAnsi="仿宋" w:eastAsia="仿宋" w:cs="仿宋"/>
          <w:color w:val="auto"/>
          <w:kern w:val="0"/>
          <w:sz w:val="32"/>
          <w:szCs w:val="32"/>
          <w:lang w:val="en-US" w:eastAsia="zh-CN" w:bidi="ar-SA"/>
        </w:rPr>
        <w:t>安全隐患300余个。开展规模工业企业安全生产大排查，共检查企业300余家，发现重大事故隐患20个，一般隐患500余个，均已交办企业并跟踪督促整改到位。切实提高了部门安全监管人员的能力水平和企业的安全管理水平。</w:t>
      </w:r>
    </w:p>
    <w:p w14:paraId="4016441A">
      <w:pPr>
        <w:pStyle w:val="2"/>
        <w:keepNext w:val="0"/>
        <w:keepLines w:val="0"/>
        <w:pageBreakBefore w:val="0"/>
        <w:shd w:val="clear"/>
        <w:kinsoku/>
        <w:wordWrap/>
        <w:overflowPunct/>
        <w:topLinePunct w:val="0"/>
        <w:autoSpaceDE/>
        <w:autoSpaceDN/>
        <w:bidi w:val="0"/>
        <w:adjustRightInd/>
        <w:spacing w:after="0" w:line="540" w:lineRule="exact"/>
        <w:ind w:firstLine="643"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bCs w:val="0"/>
          <w:color w:val="auto"/>
          <w:sz w:val="32"/>
          <w:szCs w:val="32"/>
          <w:lang w:val="en-US" w:eastAsia="zh-CN" w:bidi="hi-IN"/>
        </w:rPr>
        <w:t>8、政治建设考察反馈问题、巡视反馈中尚未销号的问题整改落实情况。</w:t>
      </w:r>
      <w:r>
        <w:rPr>
          <w:rFonts w:hint="eastAsia" w:ascii="仿宋" w:hAnsi="仿宋" w:eastAsia="仿宋" w:cs="仿宋"/>
          <w:color w:val="auto"/>
          <w:kern w:val="0"/>
          <w:sz w:val="32"/>
          <w:szCs w:val="32"/>
          <w:lang w:val="en-US" w:eastAsia="zh-CN" w:bidi="ar-SA"/>
        </w:rPr>
        <w:t>政治建设考察未反馈问题。2022年4月6日至6月6日，县委第一巡察组对县工信局党组进行了巡察，交办的4个方面35个问题已整改到位。今年，省委第十二巡视组共交办我局信访件3件，按照要求均已办结。</w:t>
      </w:r>
    </w:p>
    <w:p w14:paraId="5F9D22CF">
      <w:pPr>
        <w:keepNext w:val="0"/>
        <w:keepLines w:val="0"/>
        <w:pageBreakBefore w:val="0"/>
        <w:shd w:val="clear" w:color="000000"/>
        <w:kinsoku/>
        <w:wordWrap/>
        <w:topLinePunct w:val="0"/>
        <w:autoSpaceDE/>
        <w:autoSpaceDN/>
        <w:bidi w:val="0"/>
        <w:adjustRightInd/>
        <w:spacing w:line="540" w:lineRule="exact"/>
        <w:ind w:firstLine="64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八</w:t>
      </w:r>
      <w:r>
        <w:rPr>
          <w:rFonts w:hint="eastAsia" w:ascii="楷体" w:hAnsi="楷体" w:eastAsia="楷体" w:cs="楷体"/>
          <w:b/>
          <w:bCs/>
          <w:color w:val="000000"/>
          <w:sz w:val="32"/>
          <w:szCs w:val="32"/>
        </w:rPr>
        <w:t>、存在的主要问题</w:t>
      </w:r>
    </w:p>
    <w:p w14:paraId="36A5FFD0">
      <w:pPr>
        <w:keepNext w:val="0"/>
        <w:keepLines w:val="0"/>
        <w:pageBreakBefore w:val="0"/>
        <w:shd w:val="clear" w:color="000000"/>
        <w:kinsoku/>
        <w:wordWrap/>
        <w:topLinePunct w:val="0"/>
        <w:autoSpaceDE/>
        <w:autoSpaceDN/>
        <w:bidi w:val="0"/>
        <w:adjustRightInd/>
        <w:spacing w:line="540" w:lineRule="exact"/>
        <w:ind w:firstLine="64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1、支出压力大，加强财政投入。</w:t>
      </w:r>
      <w:r>
        <w:rPr>
          <w:rFonts w:hint="eastAsia" w:ascii="仿宋" w:hAnsi="仿宋" w:eastAsia="仿宋" w:cs="仿宋"/>
          <w:color w:val="000000"/>
          <w:sz w:val="32"/>
          <w:szCs w:val="32"/>
        </w:rPr>
        <w:t>我局工作运转经费较少，为维持工作正常开展需要的经费较多，如专项整治、</w:t>
      </w:r>
      <w:r>
        <w:rPr>
          <w:rFonts w:hint="eastAsia" w:ascii="仿宋" w:hAnsi="仿宋" w:eastAsia="仿宋" w:cs="仿宋"/>
          <w:color w:val="000000"/>
          <w:sz w:val="32"/>
          <w:szCs w:val="32"/>
          <w:lang w:eastAsia="zh-CN"/>
        </w:rPr>
        <w:t>安全生产、企业统计联网直报</w:t>
      </w:r>
      <w:r>
        <w:rPr>
          <w:rFonts w:hint="eastAsia" w:ascii="仿宋" w:hAnsi="仿宋" w:eastAsia="仿宋" w:cs="仿宋"/>
          <w:color w:val="000000"/>
          <w:sz w:val="32"/>
          <w:szCs w:val="32"/>
        </w:rPr>
        <w:t>等属于县政府布置的工作任务，年初预</w:t>
      </w:r>
      <w:r>
        <w:rPr>
          <w:rFonts w:hint="eastAsia" w:ascii="仿宋" w:hAnsi="仿宋" w:eastAsia="仿宋" w:cs="仿宋"/>
          <w:color w:val="000000"/>
          <w:sz w:val="32"/>
          <w:szCs w:val="32"/>
          <w:lang w:eastAsia="zh-CN"/>
        </w:rPr>
        <w:t>算</w:t>
      </w:r>
      <w:r>
        <w:rPr>
          <w:rFonts w:hint="eastAsia" w:ascii="仿宋" w:hAnsi="仿宋" w:eastAsia="仿宋" w:cs="仿宋"/>
          <w:color w:val="000000"/>
          <w:sz w:val="32"/>
          <w:szCs w:val="32"/>
        </w:rPr>
        <w:t>不足，导致单位财政支出一直得不到应有的保障。</w:t>
      </w:r>
    </w:p>
    <w:p w14:paraId="5B9B8BF0">
      <w:pPr>
        <w:keepNext w:val="0"/>
        <w:keepLines w:val="0"/>
        <w:pageBreakBefore w:val="0"/>
        <w:shd w:val="clear"/>
        <w:kinsoku/>
        <w:wordWrap/>
        <w:topLinePunct w:val="0"/>
        <w:autoSpaceDE/>
        <w:autoSpaceDN/>
        <w:bidi w:val="0"/>
        <w:adjustRightIn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color w:val="000000"/>
          <w:sz w:val="32"/>
          <w:szCs w:val="32"/>
        </w:rPr>
        <w:t>2</w:t>
      </w:r>
      <w:r>
        <w:rPr>
          <w:rFonts w:hint="eastAsia" w:ascii="仿宋" w:hAnsi="仿宋" w:eastAsia="仿宋" w:cs="仿宋"/>
          <w:b/>
          <w:bCs/>
          <w:sz w:val="32"/>
          <w:szCs w:val="32"/>
        </w:rPr>
        <w:t>、履职时在经济效益和社会效益实现上还有进步空间。</w:t>
      </w:r>
    </w:p>
    <w:p w14:paraId="677B448C">
      <w:pPr>
        <w:pStyle w:val="8"/>
        <w:keepNext w:val="0"/>
        <w:keepLines w:val="0"/>
        <w:pageBreakBefore w:val="0"/>
        <w:shd w:val="clear"/>
        <w:kinsoku/>
        <w:wordWrap/>
        <w:topLinePunct w:val="0"/>
        <w:autoSpaceDE/>
        <w:autoSpaceDN/>
        <w:bidi w:val="0"/>
        <w:adjustRightInd/>
        <w:spacing w:after="0" w:line="540" w:lineRule="exact"/>
        <w:ind w:firstLine="560"/>
        <w:textAlignment w:val="auto"/>
        <w:rPr>
          <w:rFonts w:hint="eastAsia" w:ascii="仿宋" w:hAnsi="仿宋" w:eastAsia="仿宋" w:cs="仿宋"/>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财务制度建设尚不完整</w:t>
      </w:r>
      <w:r>
        <w:rPr>
          <w:rFonts w:hint="eastAsia" w:ascii="仿宋" w:hAnsi="仿宋" w:eastAsia="仿宋" w:cs="仿宋"/>
          <w:b/>
          <w:bCs/>
          <w:sz w:val="32"/>
          <w:szCs w:val="32"/>
          <w:lang w:eastAsia="zh-CN"/>
        </w:rPr>
        <w:t>。</w:t>
      </w:r>
      <w:r>
        <w:rPr>
          <w:rFonts w:hint="eastAsia" w:ascii="仿宋" w:hAnsi="仿宋" w:eastAsia="仿宋" w:cs="仿宋"/>
          <w:sz w:val="32"/>
          <w:szCs w:val="32"/>
        </w:rPr>
        <w:t>缺乏信息技术支持，</w:t>
      </w:r>
      <w:r>
        <w:rPr>
          <w:rFonts w:hint="eastAsia" w:ascii="仿宋" w:hAnsi="仿宋" w:eastAsia="仿宋" w:cs="仿宋"/>
          <w:bCs/>
          <w:sz w:val="32"/>
          <w:szCs w:val="32"/>
        </w:rPr>
        <w:t>现代财务管理离不开信息技术的支持，缺乏信息化建设和系统支持，容易导致数据不准确、报表不可靠等问题；缺乏培训和教育，财务管理需要专业的知识和技能。缺乏培训和教育机制，容易影响财务管理的质量；重人轻制度，对制度建设和执行不重视，过分依赖财务人员或领导，容易导致制度不健全，安全隐患增加。</w:t>
      </w:r>
    </w:p>
    <w:p w14:paraId="1583CA09">
      <w:pPr>
        <w:pStyle w:val="8"/>
        <w:keepNext w:val="0"/>
        <w:keepLines w:val="0"/>
        <w:pageBreakBefore w:val="0"/>
        <w:shd w:val="clear"/>
        <w:kinsoku/>
        <w:wordWrap/>
        <w:topLinePunct w:val="0"/>
        <w:autoSpaceDE/>
        <w:autoSpaceDN/>
        <w:bidi w:val="0"/>
        <w:adjustRightInd/>
        <w:spacing w:after="0" w:line="540" w:lineRule="exact"/>
        <w:ind w:firstLine="56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九</w:t>
      </w:r>
      <w:r>
        <w:rPr>
          <w:rFonts w:hint="eastAsia" w:ascii="仿宋" w:hAnsi="仿宋" w:eastAsia="仿宋" w:cs="仿宋"/>
          <w:bCs/>
          <w:sz w:val="32"/>
          <w:szCs w:val="32"/>
        </w:rPr>
        <w:t>、改进措施和有关建议</w:t>
      </w:r>
    </w:p>
    <w:p w14:paraId="30E92DAD">
      <w:pPr>
        <w:pStyle w:val="8"/>
        <w:keepNext w:val="0"/>
        <w:keepLines w:val="0"/>
        <w:pageBreakBefore w:val="0"/>
        <w:shd w:val="clear"/>
        <w:kinsoku/>
        <w:wordWrap/>
        <w:topLinePunct w:val="0"/>
        <w:autoSpaceDE/>
        <w:autoSpaceDN/>
        <w:bidi w:val="0"/>
        <w:adjustRightInd/>
        <w:spacing w:after="0" w:line="540" w:lineRule="exact"/>
        <w:ind w:firstLine="560"/>
        <w:textAlignment w:val="auto"/>
        <w:rPr>
          <w:rFonts w:hint="eastAsia" w:ascii="仿宋" w:hAnsi="仿宋" w:eastAsia="仿宋" w:cs="仿宋"/>
          <w:bCs/>
          <w:sz w:val="32"/>
          <w:szCs w:val="32"/>
        </w:rPr>
      </w:pPr>
      <w:r>
        <w:rPr>
          <w:rFonts w:hint="eastAsia" w:ascii="仿宋" w:hAnsi="仿宋" w:eastAsia="仿宋" w:cs="仿宋"/>
          <w:bCs/>
          <w:sz w:val="32"/>
          <w:szCs w:val="32"/>
        </w:rPr>
        <w:t>1、加强财务管理，提高资金使用率。继续完善相关财务管理制度，加强财务管理的透明和公开，保障专项资金专款专用，推动我局工作健康稳步发展。</w:t>
      </w:r>
    </w:p>
    <w:p w14:paraId="148B1097">
      <w:pPr>
        <w:pStyle w:val="8"/>
        <w:keepNext w:val="0"/>
        <w:keepLines w:val="0"/>
        <w:pageBreakBefore w:val="0"/>
        <w:shd w:val="clear"/>
        <w:kinsoku/>
        <w:wordWrap/>
        <w:topLinePunct w:val="0"/>
        <w:autoSpaceDE/>
        <w:autoSpaceDN/>
        <w:bidi w:val="0"/>
        <w:adjustRightInd/>
        <w:spacing w:after="0" w:line="540" w:lineRule="exact"/>
        <w:ind w:firstLine="560"/>
        <w:textAlignment w:val="auto"/>
        <w:rPr>
          <w:rFonts w:hint="eastAsia" w:ascii="仿宋" w:hAnsi="仿宋" w:eastAsia="仿宋" w:cs="仿宋"/>
          <w:sz w:val="32"/>
          <w:szCs w:val="32"/>
        </w:rPr>
      </w:pPr>
      <w:r>
        <w:rPr>
          <w:rFonts w:hint="eastAsia" w:ascii="仿宋" w:hAnsi="仿宋" w:eastAsia="仿宋" w:cs="仿宋"/>
          <w:bCs/>
          <w:sz w:val="32"/>
          <w:szCs w:val="32"/>
        </w:rPr>
        <w:t>2、细化预算编制工作，认真做好预算的编制。进一步加强各</w:t>
      </w:r>
      <w:r>
        <w:rPr>
          <w:rFonts w:hint="eastAsia" w:ascii="仿宋" w:hAnsi="仿宋" w:eastAsia="仿宋" w:cs="仿宋"/>
          <w:bCs/>
          <w:sz w:val="32"/>
          <w:szCs w:val="32"/>
          <w:lang w:eastAsia="zh-CN"/>
        </w:rPr>
        <w:t>股</w:t>
      </w:r>
      <w:r>
        <w:rPr>
          <w:rFonts w:hint="eastAsia" w:ascii="仿宋" w:hAnsi="仿宋" w:eastAsia="仿宋" w:cs="仿宋"/>
          <w:bCs/>
          <w:sz w:val="32"/>
          <w:szCs w:val="32"/>
        </w:rPr>
        <w:t>室的预算管理意识，严格按照预算编制的相关制度和要求，本着“勤俭节约、保障运转”的原则进行</w:t>
      </w:r>
      <w:r>
        <w:rPr>
          <w:rFonts w:hint="eastAsia" w:ascii="仿宋" w:hAnsi="仿宋" w:eastAsia="仿宋" w:cs="仿宋"/>
          <w:sz w:val="32"/>
          <w:szCs w:val="32"/>
        </w:rPr>
        <w:t>预算的编制；编制范围尽可能的全面，不漏项；进一步提高预算编制的科学性、合理性、严谨性和可控性。</w:t>
      </w:r>
    </w:p>
    <w:p w14:paraId="7BFB5283">
      <w:pPr>
        <w:keepNext w:val="0"/>
        <w:keepLines w:val="0"/>
        <w:pageBreakBefore w:val="0"/>
        <w:shd w:val="clear"/>
        <w:kinsoku/>
        <w:wordWrap/>
        <w:topLinePunct w:val="0"/>
        <w:autoSpaceDE/>
        <w:autoSpaceDN/>
        <w:bidi w:val="0"/>
        <w:adjustRightInd/>
        <w:spacing w:line="540" w:lineRule="exact"/>
        <w:ind w:firstLine="643" w:firstLineChars="200"/>
        <w:textAlignment w:val="auto"/>
        <w:rPr>
          <w:rFonts w:hint="eastAsia" w:ascii="仿宋" w:hAnsi="仿宋" w:eastAsia="仿宋" w:cs="仿宋"/>
          <w:b/>
          <w:bCs w:val="0"/>
          <w:sz w:val="32"/>
          <w:szCs w:val="32"/>
        </w:rPr>
      </w:pPr>
      <w:r>
        <w:rPr>
          <w:rFonts w:hint="eastAsia" w:ascii="楷体" w:hAnsi="楷体" w:eastAsia="楷体" w:cs="楷体"/>
          <w:b/>
          <w:bCs w:val="0"/>
          <w:sz w:val="32"/>
          <w:szCs w:val="32"/>
        </w:rPr>
        <w:t>十、部门整体支出绩效自评结果拟应用和公开情况</w:t>
      </w:r>
    </w:p>
    <w:p w14:paraId="53091C92">
      <w:pPr>
        <w:keepNext w:val="0"/>
        <w:keepLines w:val="0"/>
        <w:pageBreakBefore w:val="0"/>
        <w:shd w:val="clear" w:color="auto"/>
        <w:kinsoku/>
        <w:wordWrap/>
        <w:topLinePunct w:val="0"/>
        <w:autoSpaceDE/>
        <w:autoSpaceDN/>
        <w:bidi w:val="0"/>
        <w:adjustRightInd/>
        <w:spacing w:line="540" w:lineRule="exact"/>
        <w:ind w:firstLine="643"/>
        <w:textAlignment w:val="auto"/>
        <w:rPr>
          <w:rFonts w:hint="eastAsia" w:ascii="仿宋" w:hAnsi="仿宋" w:eastAsia="仿宋" w:cs="仿宋"/>
          <w:b/>
          <w:spacing w:val="-2"/>
          <w:kern w:val="0"/>
          <w:sz w:val="32"/>
          <w:szCs w:val="32"/>
        </w:rPr>
      </w:pPr>
      <w:r>
        <w:rPr>
          <w:rFonts w:hint="eastAsia" w:ascii="仿宋" w:hAnsi="仿宋" w:eastAsia="仿宋" w:cs="仿宋"/>
          <w:b/>
          <w:spacing w:val="-2"/>
          <w:kern w:val="0"/>
          <w:sz w:val="32"/>
          <w:szCs w:val="32"/>
        </w:rPr>
        <w:t>1、绩效自评结果拟应用情况</w:t>
      </w:r>
    </w:p>
    <w:p w14:paraId="1BFAECC0">
      <w:pPr>
        <w:pStyle w:val="9"/>
        <w:keepNext w:val="0"/>
        <w:keepLines w:val="0"/>
        <w:pageBreakBefore w:val="0"/>
        <w:widowControl/>
        <w:shd w:val="clear" w:color="auto"/>
        <w:kinsoku/>
        <w:wordWrap/>
        <w:topLinePunct w:val="0"/>
        <w:autoSpaceDE/>
        <w:autoSpaceDN/>
        <w:bidi w:val="0"/>
        <w:adjustRightInd/>
        <w:spacing w:before="0" w:beforeAutospacing="0" w:after="0" w:afterAutospacing="0"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自评结果：投入得分</w:t>
      </w:r>
      <w:r>
        <w:rPr>
          <w:rFonts w:hint="eastAsia" w:ascii="仿宋" w:hAnsi="仿宋" w:eastAsia="仿宋" w:cs="仿宋"/>
          <w:sz w:val="32"/>
          <w:szCs w:val="32"/>
          <w:shd w:val="clear" w:color="auto" w:fill="FFFFFF"/>
          <w:lang w:val="en-US" w:eastAsia="zh-CN"/>
        </w:rPr>
        <w:t>12</w:t>
      </w:r>
      <w:r>
        <w:rPr>
          <w:rFonts w:hint="eastAsia" w:ascii="仿宋" w:hAnsi="仿宋" w:eastAsia="仿宋" w:cs="仿宋"/>
          <w:sz w:val="32"/>
          <w:szCs w:val="32"/>
          <w:shd w:val="clear" w:color="auto" w:fill="FFFFFF"/>
        </w:rPr>
        <w:t>分，过程得分为</w:t>
      </w:r>
      <w:r>
        <w:rPr>
          <w:rFonts w:hint="eastAsia" w:ascii="仿宋" w:hAnsi="仿宋" w:eastAsia="仿宋" w:cs="仿宋"/>
          <w:sz w:val="32"/>
          <w:szCs w:val="32"/>
          <w:shd w:val="clear" w:color="auto" w:fill="FFFFFF"/>
          <w:lang w:val="en-US" w:eastAsia="zh-CN"/>
        </w:rPr>
        <w:t>60</w:t>
      </w:r>
      <w:r>
        <w:rPr>
          <w:rFonts w:hint="eastAsia" w:ascii="仿宋" w:hAnsi="仿宋" w:eastAsia="仿宋" w:cs="仿宋"/>
          <w:sz w:val="32"/>
          <w:szCs w:val="32"/>
          <w:shd w:val="clear" w:color="auto" w:fill="FFFFFF"/>
        </w:rPr>
        <w:t>分，产出及效率得分为</w:t>
      </w:r>
      <w:r>
        <w:rPr>
          <w:rFonts w:hint="eastAsia" w:ascii="仿宋" w:hAnsi="仿宋" w:eastAsia="仿宋" w:cs="仿宋"/>
          <w:sz w:val="32"/>
          <w:szCs w:val="32"/>
          <w:shd w:val="clear" w:color="auto" w:fill="FFFFFF"/>
          <w:lang w:val="en-US" w:eastAsia="zh-CN"/>
        </w:rPr>
        <w:t>22</w:t>
      </w:r>
      <w:r>
        <w:rPr>
          <w:rFonts w:hint="eastAsia" w:ascii="仿宋" w:hAnsi="仿宋" w:eastAsia="仿宋" w:cs="仿宋"/>
          <w:sz w:val="32"/>
          <w:szCs w:val="32"/>
          <w:shd w:val="clear" w:color="auto" w:fill="FFFFFF"/>
        </w:rPr>
        <w:t>分，合计得分为</w:t>
      </w:r>
      <w:r>
        <w:rPr>
          <w:rFonts w:hint="eastAsia" w:ascii="仿宋" w:hAnsi="仿宋" w:eastAsia="仿宋" w:cs="仿宋"/>
          <w:sz w:val="32"/>
          <w:szCs w:val="32"/>
          <w:shd w:val="clear" w:color="auto" w:fill="FFFFFF"/>
          <w:lang w:val="en-US" w:eastAsia="zh-CN"/>
        </w:rPr>
        <w:t>94</w:t>
      </w:r>
      <w:r>
        <w:rPr>
          <w:rFonts w:hint="eastAsia" w:ascii="仿宋" w:hAnsi="仿宋" w:eastAsia="仿宋" w:cs="仿宋"/>
          <w:sz w:val="32"/>
          <w:szCs w:val="32"/>
          <w:shd w:val="clear" w:color="auto" w:fill="FFFFFF"/>
        </w:rPr>
        <w:t>分。评价等级为优。</w:t>
      </w:r>
    </w:p>
    <w:p w14:paraId="028B8397">
      <w:pPr>
        <w:pStyle w:val="9"/>
        <w:keepNext w:val="0"/>
        <w:keepLines w:val="0"/>
        <w:pageBreakBefore w:val="0"/>
        <w:widowControl/>
        <w:shd w:val="clear" w:color="auto"/>
        <w:kinsoku/>
        <w:wordWrap/>
        <w:topLinePunct w:val="0"/>
        <w:autoSpaceDE/>
        <w:autoSpaceDN/>
        <w:bidi w:val="0"/>
        <w:adjustRightInd/>
        <w:spacing w:before="0" w:beforeAutospacing="0" w:after="0" w:afterAutospacing="0"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拟应用：</w:t>
      </w:r>
      <w:r>
        <w:rPr>
          <w:rFonts w:hint="eastAsia" w:ascii="仿宋" w:hAnsi="仿宋" w:eastAsia="仿宋" w:cs="仿宋"/>
          <w:sz w:val="32"/>
          <w:szCs w:val="32"/>
          <w:shd w:val="clear" w:color="auto" w:fill="FFFFFF"/>
        </w:rPr>
        <w:t>根据自评结果，拟将此次自评结果作为次年进一步优化绩效管理的依据，将在下年度基本支出和专项支出分配方案中体现绩效自评结果应用。</w:t>
      </w:r>
    </w:p>
    <w:p w14:paraId="165CA969">
      <w:pPr>
        <w:keepNext w:val="0"/>
        <w:keepLines w:val="0"/>
        <w:pageBreakBefore w:val="0"/>
        <w:shd w:val="clear" w:color="auto"/>
        <w:kinsoku/>
        <w:wordWrap/>
        <w:topLinePunct w:val="0"/>
        <w:autoSpaceDE/>
        <w:autoSpaceDN/>
        <w:bidi w:val="0"/>
        <w:adjustRightInd/>
        <w:spacing w:line="540" w:lineRule="exact"/>
        <w:ind w:firstLine="643"/>
        <w:textAlignment w:val="auto"/>
        <w:rPr>
          <w:rFonts w:hint="eastAsia" w:ascii="仿宋" w:hAnsi="仿宋" w:eastAsia="仿宋" w:cs="仿宋"/>
          <w:b/>
          <w:spacing w:val="-2"/>
          <w:kern w:val="0"/>
          <w:sz w:val="32"/>
          <w:szCs w:val="32"/>
        </w:rPr>
      </w:pPr>
      <w:r>
        <w:rPr>
          <w:rFonts w:hint="eastAsia" w:ascii="仿宋" w:hAnsi="仿宋" w:eastAsia="仿宋" w:cs="仿宋"/>
          <w:b/>
          <w:spacing w:val="-2"/>
          <w:kern w:val="0"/>
          <w:sz w:val="32"/>
          <w:szCs w:val="32"/>
        </w:rPr>
        <w:t>2、绩效自评公开情况</w:t>
      </w:r>
    </w:p>
    <w:p w14:paraId="32FB39E2">
      <w:pPr>
        <w:keepNext w:val="0"/>
        <w:keepLines w:val="0"/>
        <w:pageBreakBefore w:val="0"/>
        <w:shd w:val="clear"/>
        <w:kinsoku/>
        <w:wordWrap/>
        <w:topLinePunct w:val="0"/>
        <w:autoSpaceDE/>
        <w:autoSpaceDN/>
        <w:bidi w:val="0"/>
        <w:adjustRightIn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绩效自评报告待财政局审核通过后，按照要求由财政局绩效评价股统一在溆浦县政府门户网站进行公示，接受社会监督。</w:t>
      </w:r>
    </w:p>
    <w:p w14:paraId="2E4BA065">
      <w:pPr>
        <w:pStyle w:val="8"/>
        <w:keepNext w:val="0"/>
        <w:keepLines w:val="0"/>
        <w:pageBreakBefore w:val="0"/>
        <w:kinsoku/>
        <w:wordWrap/>
        <w:topLinePunct w:val="0"/>
        <w:autoSpaceDE/>
        <w:autoSpaceDN/>
        <w:bidi w:val="0"/>
        <w:adjustRightInd/>
        <w:spacing w:line="560" w:lineRule="exact"/>
        <w:textAlignment w:val="auto"/>
        <w:rPr>
          <w:rFonts w:hint="eastAsia" w:ascii="仿宋" w:hAnsi="仿宋" w:eastAsia="仿宋" w:cs="仿宋"/>
          <w:sz w:val="32"/>
          <w:szCs w:val="32"/>
        </w:rPr>
      </w:pPr>
    </w:p>
    <w:p w14:paraId="3CC6738D">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p>
    <w:p w14:paraId="23999F96">
      <w:pPr>
        <w:keepNext w:val="0"/>
        <w:keepLines w:val="0"/>
        <w:pageBreakBefore w:val="0"/>
        <w:kinsoku/>
        <w:wordWrap/>
        <w:topLinePunct w:val="0"/>
        <w:autoSpaceDE/>
        <w:autoSpaceDN/>
        <w:bidi w:val="0"/>
        <w:adjustRightInd/>
        <w:spacing w:line="560" w:lineRule="exact"/>
        <w:jc w:val="both"/>
        <w:textAlignment w:val="auto"/>
        <w:rPr>
          <w:rFonts w:hint="eastAsia" w:ascii="仿宋" w:hAnsi="仿宋" w:eastAsia="仿宋" w:cs="仿宋"/>
          <w:sz w:val="32"/>
        </w:rPr>
      </w:pPr>
    </w:p>
    <w:p w14:paraId="2664D470">
      <w:pPr>
        <w:pStyle w:val="14"/>
        <w:jc w:val="center"/>
        <w:rPr>
          <w:sz w:val="72"/>
          <w:szCs w:val="72"/>
        </w:rPr>
      </w:pPr>
    </w:p>
    <w:p w14:paraId="7F7790DD">
      <w:pPr>
        <w:pStyle w:val="14"/>
        <w:jc w:val="center"/>
        <w:rPr>
          <w:sz w:val="72"/>
          <w:szCs w:val="72"/>
        </w:rPr>
      </w:pPr>
    </w:p>
    <w:p w14:paraId="5A1F6BA9">
      <w:pPr>
        <w:jc w:val="left"/>
        <w:rPr>
          <w:rFonts w:cs="黑体" w:asciiTheme="minorEastAsia" w:hAnsiTheme="minorEastAsia"/>
          <w:color w:val="000000"/>
          <w:kern w:val="0"/>
          <w:sz w:val="32"/>
          <w:szCs w:val="32"/>
        </w:rPr>
      </w:pPr>
    </w:p>
    <w:sectPr>
      <w:pgSz w:w="11906" w:h="16838"/>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EFB77"/>
    <w:multiLevelType w:val="singleLevel"/>
    <w:tmpl w:val="A75EFB77"/>
    <w:lvl w:ilvl="0" w:tentative="0">
      <w:start w:val="1"/>
      <w:numFmt w:val="chineseCounting"/>
      <w:suff w:val="nothing"/>
      <w:lvlText w:val="（%1）"/>
      <w:lvlJc w:val="left"/>
      <w:rPr>
        <w:rFonts w:hint="eastAsia"/>
      </w:rPr>
    </w:lvl>
  </w:abstractNum>
  <w:abstractNum w:abstractNumId="1">
    <w:nsid w:val="06A127A1"/>
    <w:multiLevelType w:val="singleLevel"/>
    <w:tmpl w:val="06A127A1"/>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B81DC0"/>
    <w:rsid w:val="09034B9F"/>
    <w:rsid w:val="0C581D0F"/>
    <w:rsid w:val="0EE30268"/>
    <w:rsid w:val="10264A11"/>
    <w:rsid w:val="1BFC353F"/>
    <w:rsid w:val="1D97DEFF"/>
    <w:rsid w:val="1DBB2D8B"/>
    <w:rsid w:val="1DFF72E5"/>
    <w:rsid w:val="1EFC6F07"/>
    <w:rsid w:val="202C40EB"/>
    <w:rsid w:val="23454BF6"/>
    <w:rsid w:val="270368B1"/>
    <w:rsid w:val="29932A8C"/>
    <w:rsid w:val="2AC9646C"/>
    <w:rsid w:val="2B764F97"/>
    <w:rsid w:val="2D1500C9"/>
    <w:rsid w:val="2FDF85B8"/>
    <w:rsid w:val="2FFFEE04"/>
    <w:rsid w:val="31997154"/>
    <w:rsid w:val="34226A78"/>
    <w:rsid w:val="34DF85B0"/>
    <w:rsid w:val="381C63F3"/>
    <w:rsid w:val="3B8F36BC"/>
    <w:rsid w:val="46202199"/>
    <w:rsid w:val="483313C5"/>
    <w:rsid w:val="491FF225"/>
    <w:rsid w:val="4FFD214C"/>
    <w:rsid w:val="513C0FAF"/>
    <w:rsid w:val="5777D4F5"/>
    <w:rsid w:val="59DD8326"/>
    <w:rsid w:val="59FF27FD"/>
    <w:rsid w:val="5DEF592A"/>
    <w:rsid w:val="5FC6BB1E"/>
    <w:rsid w:val="5FF720F1"/>
    <w:rsid w:val="615E6BF1"/>
    <w:rsid w:val="616E214F"/>
    <w:rsid w:val="641A5B26"/>
    <w:rsid w:val="67FF5C0B"/>
    <w:rsid w:val="6A475D56"/>
    <w:rsid w:val="6B4B7031"/>
    <w:rsid w:val="6EBE1F8F"/>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after="120"/>
    </w:pPr>
  </w:style>
  <w:style w:type="paragraph" w:styleId="3">
    <w:name w:val="Body Text Indent"/>
    <w:basedOn w:val="1"/>
    <w:next w:val="1"/>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semiHidden/>
    <w:qFormat/>
    <w:uiPriority w:val="0"/>
    <w:pPr>
      <w:snapToGrid w:val="0"/>
      <w:jc w:val="left"/>
    </w:pPr>
    <w:rPr>
      <w:sz w:val="18"/>
      <w:szCs w:val="18"/>
    </w:rPr>
  </w:style>
  <w:style w:type="paragraph" w:styleId="8">
    <w:name w:val="Body Text First Indent 2"/>
    <w:basedOn w:val="3"/>
    <w:next w:val="1"/>
    <w:unhideWhenUsed/>
    <w:qFormat/>
    <w:uiPriority w:val="99"/>
    <w:pPr>
      <w:ind w:firstLine="420" w:firstLineChars="200"/>
    </w:pPr>
  </w:style>
  <w:style w:type="paragraph" w:styleId="9">
    <w:name w:val="Normal (Web)"/>
    <w:basedOn w:val="1"/>
    <w:unhideWhenUsed/>
    <w:qFormat/>
    <w:uiPriority w:val="99"/>
    <w:pPr>
      <w:spacing w:before="100" w:beforeAutospacing="1" w:after="100" w:afterAutospacing="1"/>
      <w:jc w:val="left"/>
    </w:pPr>
    <w:rPr>
      <w:rFonts w:ascii="宋体"/>
      <w:sz w:val="24"/>
      <w:szCs w:val="24"/>
    </w:r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4"/>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13467</Words>
  <Characters>14616</Characters>
  <Lines>63</Lines>
  <Paragraphs>18</Paragraphs>
  <TotalTime>2</TotalTime>
  <ScaleCrop>false</ScaleCrop>
  <LinksUpToDate>false</LinksUpToDate>
  <CharactersWithSpaces>14673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2024-09-20T07:51:00Z</cp:lastPrinted>
  <dcterms:modified xsi:type="dcterms:W3CDTF">2024-09-29T02:59:34Z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4E3EA8BCA1B6462097767601CC53D61D_13</vt:lpwstr>
  </property>
</Properties>
</file>