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sz w:val="32"/>
          <w:szCs w:val="32"/>
        </w:rPr>
      </w:pPr>
      <w:r>
        <w:rPr>
          <w:rFonts w:hint="eastAsia" w:ascii="仿宋_GB2312" w:eastAsia="仿宋_GB2312"/>
          <w:color w:val="000000"/>
          <w:sz w:val="32"/>
          <w:szCs w:val="32"/>
        </w:rPr>
        <w:t>附件1</w:t>
      </w:r>
    </w:p>
    <w:p>
      <w:pPr>
        <w:pStyle w:val="5"/>
        <w:adjustRightInd/>
        <w:spacing w:after="120" w:line="740" w:lineRule="exact"/>
        <w:jc w:val="center"/>
        <w:textAlignment w:val="auto"/>
        <w:rPr>
          <w:rFonts w:eastAsia="方正小标宋简体" w:cs="方正小标宋简体"/>
          <w:color w:val="000000"/>
          <w:kern w:val="0"/>
          <w:sz w:val="52"/>
          <w:szCs w:val="52"/>
        </w:rPr>
      </w:pPr>
      <w:r>
        <w:rPr>
          <w:rFonts w:hint="eastAsia" w:eastAsia="方正小标宋简体" w:cs="方正小标宋简体"/>
          <w:color w:val="000000"/>
          <w:kern w:val="0"/>
          <w:sz w:val="52"/>
          <w:szCs w:val="52"/>
        </w:rPr>
        <w:t>2022年行政事业单位</w:t>
      </w:r>
    </w:p>
    <w:p>
      <w:pPr>
        <w:pStyle w:val="5"/>
        <w:adjustRightInd/>
        <w:spacing w:after="120" w:line="740" w:lineRule="exact"/>
        <w:jc w:val="center"/>
        <w:textAlignment w:val="auto"/>
        <w:rPr>
          <w:rFonts w:eastAsia="方正小标宋简体" w:cs="方正小标宋简体"/>
          <w:color w:val="000000"/>
          <w:kern w:val="0"/>
          <w:sz w:val="52"/>
          <w:szCs w:val="52"/>
        </w:rPr>
      </w:pPr>
      <w:r>
        <w:rPr>
          <w:rFonts w:hint="eastAsia" w:eastAsia="方正小标宋简体" w:cs="方正小标宋简体"/>
          <w:color w:val="000000"/>
          <w:kern w:val="0"/>
          <w:sz w:val="52"/>
          <w:szCs w:val="52"/>
        </w:rPr>
        <w:t>内部控制报告</w:t>
      </w:r>
    </w:p>
    <w:p>
      <w:pPr>
        <w:jc w:val="center"/>
        <w:rPr>
          <w:rFonts w:ascii="黑体" w:eastAsia="黑体"/>
          <w:b/>
          <w:sz w:val="24"/>
        </w:rPr>
      </w:pPr>
    </w:p>
    <w:p>
      <w:pPr>
        <w:jc w:val="center"/>
        <w:rPr>
          <w:rFonts w:ascii="黑体" w:eastAsia="黑体"/>
          <w:b/>
          <w:sz w:val="24"/>
        </w:rPr>
      </w:pPr>
    </w:p>
    <w:p>
      <w:pPr>
        <w:spacing w:line="480" w:lineRule="exact"/>
        <w:jc w:val="center"/>
        <w:outlineLvl w:val="0"/>
        <w:rPr>
          <w:rFonts w:ascii="仿宋_GB2312" w:eastAsia="仿宋_GB2312"/>
          <w:sz w:val="32"/>
          <w:szCs w:val="32"/>
        </w:rPr>
      </w:pPr>
      <w:r>
        <w:rPr>
          <w:rFonts w:hint="eastAsia" w:ascii="仿宋_GB2312" w:eastAsia="仿宋_GB2312"/>
          <w:sz w:val="32"/>
          <w:szCs w:val="32"/>
        </w:rPr>
        <w:t>(单位公章)</w:t>
      </w:r>
    </w:p>
    <w:p>
      <w:pPr>
        <w:spacing w:line="480" w:lineRule="exact"/>
        <w:jc w:val="center"/>
        <w:outlineLvl w:val="0"/>
        <w:rPr>
          <w:rFonts w:ascii="仿宋_GB2312" w:eastAsia="仿宋_GB2312"/>
          <w:sz w:val="32"/>
          <w:szCs w:val="32"/>
        </w:rPr>
      </w:pPr>
    </w:p>
    <w:p>
      <w:pPr>
        <w:spacing w:line="480" w:lineRule="exact"/>
        <w:ind w:left="1680" w:firstLine="420"/>
        <w:jc w:val="left"/>
        <w:rPr>
          <w:rFonts w:ascii="仿宋" w:hAnsi="仿宋" w:eastAsia="仿宋"/>
          <w:sz w:val="32"/>
          <w:szCs w:val="32"/>
          <w:u w:val="single"/>
        </w:rPr>
      </w:pPr>
      <w:r>
        <w:rPr>
          <w:rFonts w:hint="eastAsia" w:ascii="仿宋" w:hAnsi="仿宋" w:eastAsia="仿宋"/>
          <w:sz w:val="32"/>
          <w:szCs w:val="32"/>
        </w:rPr>
        <w:t>单</w:t>
      </w:r>
      <w:r>
        <w:rPr>
          <w:rFonts w:ascii="仿宋" w:hAnsi="仿宋" w:eastAsia="仿宋"/>
          <w:sz w:val="32"/>
          <w:szCs w:val="32"/>
        </w:rPr>
        <w:t xml:space="preserve"> </w:t>
      </w:r>
      <w:r>
        <w:rPr>
          <w:rFonts w:hint="eastAsia" w:ascii="仿宋" w:hAnsi="仿宋" w:eastAsia="仿宋"/>
          <w:sz w:val="32"/>
          <w:szCs w:val="32"/>
        </w:rPr>
        <w:t>位</w:t>
      </w:r>
      <w:r>
        <w:rPr>
          <w:rFonts w:ascii="仿宋" w:hAnsi="仿宋" w:eastAsia="仿宋"/>
          <w:sz w:val="32"/>
          <w:szCs w:val="32"/>
        </w:rPr>
        <w:t xml:space="preserve"> </w:t>
      </w:r>
      <w:r>
        <w:rPr>
          <w:rFonts w:hint="eastAsia" w:ascii="仿宋" w:hAnsi="仿宋" w:eastAsia="仿宋"/>
          <w:sz w:val="32"/>
          <w:szCs w:val="32"/>
        </w:rPr>
        <w:t>名</w:t>
      </w:r>
      <w:r>
        <w:rPr>
          <w:rFonts w:ascii="仿宋" w:hAnsi="仿宋" w:eastAsia="仿宋"/>
          <w:sz w:val="32"/>
          <w:szCs w:val="32"/>
        </w:rPr>
        <w:t xml:space="preserve"> </w:t>
      </w:r>
      <w:r>
        <w:rPr>
          <w:rFonts w:hint="eastAsia" w:ascii="仿宋" w:hAnsi="仿宋" w:eastAsia="仿宋"/>
          <w:sz w:val="32"/>
          <w:szCs w:val="32"/>
        </w:rPr>
        <w:t>称</w:t>
      </w:r>
      <w:r>
        <w:rPr>
          <w:rFonts w:ascii="仿宋" w:hAnsi="仿宋" w:eastAsia="仿宋"/>
          <w:sz w:val="32"/>
          <w:szCs w:val="32"/>
        </w:rPr>
        <w:t>:</w:t>
      </w:r>
      <w:r>
        <w:rPr>
          <w:rFonts w:ascii="仿宋" w:hAnsi="仿宋" w:eastAsia="仿宋"/>
          <w:sz w:val="32"/>
          <w:szCs w:val="32"/>
          <w:u w:val="single"/>
        </w:rPr>
        <w:t xml:space="preserve"> </w:t>
      </w:r>
      <w:r>
        <w:rPr>
          <w:rFonts w:hint="eastAsia" w:ascii="仿宋" w:hAnsi="仿宋" w:eastAsia="仿宋" w:cs="仿宋"/>
          <w:color w:val="000000"/>
          <w:sz w:val="32"/>
          <w:szCs w:val="32"/>
          <w:u w:val="single"/>
        </w:rPr>
        <w:t>溆浦县工业和信息化局</w:t>
      </w:r>
    </w:p>
    <w:p>
      <w:pPr>
        <w:spacing w:line="480" w:lineRule="exact"/>
        <w:ind w:left="1680" w:firstLine="420"/>
        <w:jc w:val="left"/>
        <w:rPr>
          <w:rFonts w:ascii="仿宋" w:hAnsi="仿宋" w:eastAsia="仿宋"/>
          <w:sz w:val="32"/>
          <w:szCs w:val="32"/>
          <w:u w:val="single"/>
        </w:rPr>
      </w:pPr>
      <w:r>
        <w:rPr>
          <w:rFonts w:hint="eastAsia" w:ascii="仿宋" w:hAnsi="仿宋" w:eastAsia="仿宋"/>
          <w:sz w:val="32"/>
          <w:szCs w:val="32"/>
        </w:rPr>
        <w:t>单</w:t>
      </w:r>
      <w:r>
        <w:rPr>
          <w:rFonts w:ascii="仿宋" w:hAnsi="仿宋" w:eastAsia="仿宋"/>
          <w:sz w:val="32"/>
          <w:szCs w:val="32"/>
        </w:rPr>
        <w:t xml:space="preserve"> </w:t>
      </w:r>
      <w:r>
        <w:rPr>
          <w:rFonts w:hint="eastAsia" w:ascii="仿宋" w:hAnsi="仿宋" w:eastAsia="仿宋"/>
          <w:sz w:val="32"/>
          <w:szCs w:val="32"/>
        </w:rPr>
        <w:t>位</w:t>
      </w:r>
      <w:r>
        <w:rPr>
          <w:rFonts w:ascii="仿宋" w:hAnsi="仿宋" w:eastAsia="仿宋"/>
          <w:sz w:val="32"/>
          <w:szCs w:val="32"/>
        </w:rPr>
        <w:t xml:space="preserve"> </w:t>
      </w:r>
      <w:r>
        <w:rPr>
          <w:rFonts w:hint="eastAsia" w:ascii="仿宋" w:hAnsi="仿宋" w:eastAsia="仿宋"/>
          <w:sz w:val="32"/>
          <w:szCs w:val="32"/>
        </w:rPr>
        <w:t>负</w:t>
      </w:r>
      <w:r>
        <w:rPr>
          <w:rFonts w:ascii="仿宋" w:hAnsi="仿宋" w:eastAsia="仿宋"/>
          <w:sz w:val="32"/>
          <w:szCs w:val="32"/>
        </w:rPr>
        <w:t xml:space="preserve"> </w:t>
      </w:r>
      <w:r>
        <w:rPr>
          <w:rFonts w:hint="eastAsia" w:ascii="仿宋" w:hAnsi="仿宋" w:eastAsia="仿宋"/>
          <w:sz w:val="32"/>
          <w:szCs w:val="32"/>
        </w:rPr>
        <w:t>责</w:t>
      </w:r>
      <w:r>
        <w:rPr>
          <w:rFonts w:ascii="仿宋" w:hAnsi="仿宋" w:eastAsia="仿宋"/>
          <w:sz w:val="32"/>
          <w:szCs w:val="32"/>
        </w:rPr>
        <w:t xml:space="preserve"> </w:t>
      </w:r>
      <w:r>
        <w:rPr>
          <w:rFonts w:hint="eastAsia" w:ascii="仿宋" w:hAnsi="仿宋" w:eastAsia="仿宋"/>
          <w:sz w:val="32"/>
          <w:szCs w:val="32"/>
        </w:rPr>
        <w:t>人</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color w:val="000000"/>
          <w:sz w:val="32"/>
          <w:szCs w:val="32"/>
          <w:u w:val="single"/>
        </w:rPr>
        <w:t>周鹏</w:t>
      </w:r>
      <w:r>
        <w:rPr>
          <w:rFonts w:hint="eastAsia" w:ascii="仿宋_GB2312" w:eastAsia="仿宋_GB2312"/>
          <w:sz w:val="32"/>
          <w:szCs w:val="32"/>
          <w:u w:val="single"/>
        </w:rPr>
        <w:t>(签章)</w:t>
      </w:r>
    </w:p>
    <w:p>
      <w:pPr>
        <w:spacing w:line="480" w:lineRule="exact"/>
        <w:ind w:left="1680" w:firstLine="420"/>
        <w:jc w:val="left"/>
        <w:rPr>
          <w:rFonts w:ascii="仿宋" w:hAnsi="仿宋" w:eastAsia="仿宋"/>
          <w:sz w:val="32"/>
          <w:szCs w:val="32"/>
        </w:rPr>
      </w:pPr>
      <w:r>
        <w:rPr>
          <w:rFonts w:hint="eastAsia" w:ascii="仿宋" w:hAnsi="仿宋" w:eastAsia="仿宋"/>
          <w:sz w:val="32"/>
          <w:szCs w:val="32"/>
        </w:rPr>
        <w:t>分管内控负责人</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贺丽蓉</w:t>
      </w:r>
      <w:r>
        <w:rPr>
          <w:rFonts w:hint="eastAsia" w:ascii="仿宋_GB2312" w:eastAsia="仿宋_GB2312"/>
          <w:sz w:val="32"/>
          <w:szCs w:val="32"/>
          <w:u w:val="single"/>
        </w:rPr>
        <w:t>(签章)</w:t>
      </w:r>
    </w:p>
    <w:p>
      <w:pPr>
        <w:spacing w:line="480" w:lineRule="exact"/>
        <w:ind w:left="1680" w:firstLine="420"/>
        <w:jc w:val="left"/>
        <w:rPr>
          <w:rFonts w:ascii="仿宋" w:hAnsi="仿宋" w:eastAsia="仿宋"/>
          <w:sz w:val="32"/>
          <w:szCs w:val="32"/>
        </w:rPr>
      </w:pPr>
      <w:r>
        <w:rPr>
          <w:rFonts w:hint="eastAsia" w:ascii="仿宋" w:hAnsi="仿宋" w:eastAsia="仿宋"/>
          <w:sz w:val="32"/>
          <w:szCs w:val="32"/>
        </w:rPr>
        <w:t>牵头部门负责人</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贺丽蓉</w:t>
      </w:r>
      <w:r>
        <w:rPr>
          <w:rFonts w:hint="eastAsia" w:ascii="仿宋_GB2312" w:eastAsia="仿宋_GB2312"/>
          <w:sz w:val="32"/>
          <w:szCs w:val="32"/>
          <w:u w:val="single"/>
        </w:rPr>
        <w:t>(签章)</w:t>
      </w:r>
    </w:p>
    <w:p>
      <w:pPr>
        <w:spacing w:line="480" w:lineRule="exact"/>
        <w:ind w:left="1680" w:firstLine="420"/>
        <w:jc w:val="left"/>
        <w:rPr>
          <w:rFonts w:ascii="仿宋" w:hAnsi="仿宋" w:eastAsia="仿宋"/>
          <w:sz w:val="32"/>
          <w:szCs w:val="32"/>
        </w:rPr>
      </w:pPr>
      <w:r>
        <w:rPr>
          <w:rFonts w:hint="eastAsia" w:ascii="仿宋" w:hAnsi="仿宋" w:eastAsia="仿宋"/>
          <w:sz w:val="32"/>
          <w:szCs w:val="32"/>
        </w:rPr>
        <w:t>填</w:t>
      </w:r>
      <w:r>
        <w:rPr>
          <w:rFonts w:ascii="仿宋" w:hAnsi="仿宋" w:eastAsia="仿宋"/>
          <w:sz w:val="32"/>
          <w:szCs w:val="32"/>
        </w:rPr>
        <w:t xml:space="preserve">  </w:t>
      </w:r>
      <w:r>
        <w:rPr>
          <w:rFonts w:hint="eastAsia" w:ascii="仿宋" w:hAnsi="仿宋" w:eastAsia="仿宋"/>
          <w:sz w:val="32"/>
          <w:szCs w:val="32"/>
        </w:rPr>
        <w:t>表</w:t>
      </w:r>
      <w:r>
        <w:rPr>
          <w:rFonts w:ascii="仿宋" w:hAnsi="仿宋" w:eastAsia="仿宋"/>
          <w:sz w:val="32"/>
          <w:szCs w:val="32"/>
        </w:rPr>
        <w:t xml:space="preserve">  </w:t>
      </w:r>
      <w:r>
        <w:rPr>
          <w:rFonts w:hint="eastAsia" w:ascii="仿宋" w:hAnsi="仿宋" w:eastAsia="仿宋"/>
          <w:sz w:val="32"/>
          <w:szCs w:val="32"/>
        </w:rPr>
        <w:t>人</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贺丽蓉</w:t>
      </w:r>
      <w:r>
        <w:rPr>
          <w:rFonts w:hint="eastAsia" w:ascii="仿宋_GB2312" w:eastAsia="仿宋_GB2312"/>
          <w:sz w:val="32"/>
          <w:szCs w:val="32"/>
          <w:u w:val="single"/>
        </w:rPr>
        <w:t>(签章)</w:t>
      </w:r>
    </w:p>
    <w:p>
      <w:pPr>
        <w:spacing w:line="480" w:lineRule="exact"/>
        <w:ind w:left="1680" w:firstLine="420"/>
        <w:jc w:val="left"/>
        <w:rPr>
          <w:rFonts w:ascii="仿宋" w:hAnsi="仿宋" w:eastAsia="仿宋"/>
          <w:sz w:val="32"/>
          <w:szCs w:val="32"/>
          <w:u w:val="single"/>
        </w:rPr>
      </w:pPr>
      <w:r>
        <w:rPr>
          <w:rFonts w:hint="eastAsia" w:ascii="仿宋" w:hAnsi="仿宋" w:eastAsia="仿宋"/>
          <w:sz w:val="32"/>
          <w:szCs w:val="32"/>
        </w:rPr>
        <w:t>填</w:t>
      </w:r>
      <w:r>
        <w:rPr>
          <w:rFonts w:ascii="仿宋" w:hAnsi="仿宋" w:eastAsia="仿宋"/>
          <w:sz w:val="32"/>
          <w:szCs w:val="32"/>
        </w:rPr>
        <w:t xml:space="preserve"> </w:t>
      </w:r>
      <w:r>
        <w:rPr>
          <w:rFonts w:hint="eastAsia" w:ascii="仿宋" w:hAnsi="仿宋" w:eastAsia="仿宋"/>
          <w:sz w:val="32"/>
          <w:szCs w:val="32"/>
        </w:rPr>
        <w:t>表</w:t>
      </w:r>
      <w:r>
        <w:rPr>
          <w:rFonts w:ascii="仿宋" w:hAnsi="仿宋" w:eastAsia="仿宋"/>
          <w:sz w:val="32"/>
          <w:szCs w:val="32"/>
        </w:rPr>
        <w:t xml:space="preserve"> </w:t>
      </w:r>
      <w:r>
        <w:rPr>
          <w:rFonts w:hint="eastAsia" w:ascii="仿宋" w:hAnsi="仿宋" w:eastAsia="仿宋"/>
          <w:sz w:val="32"/>
          <w:szCs w:val="32"/>
        </w:rPr>
        <w:t>部</w:t>
      </w:r>
      <w:r>
        <w:rPr>
          <w:rFonts w:ascii="仿宋" w:hAnsi="仿宋" w:eastAsia="仿宋"/>
          <w:sz w:val="32"/>
          <w:szCs w:val="32"/>
        </w:rPr>
        <w:t xml:space="preserve"> </w:t>
      </w:r>
      <w:r>
        <w:rPr>
          <w:rFonts w:hint="eastAsia" w:ascii="仿宋" w:hAnsi="仿宋" w:eastAsia="仿宋"/>
          <w:sz w:val="32"/>
          <w:szCs w:val="32"/>
        </w:rPr>
        <w:t>门</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财务部门</w:t>
      </w:r>
    </w:p>
    <w:p>
      <w:pPr>
        <w:spacing w:line="480" w:lineRule="exact"/>
        <w:ind w:left="1680" w:firstLine="420"/>
        <w:jc w:val="left"/>
        <w:rPr>
          <w:rFonts w:ascii="仿宋" w:hAnsi="仿宋" w:eastAsia="仿宋"/>
          <w:sz w:val="32"/>
          <w:szCs w:val="32"/>
          <w:u w:val="single"/>
        </w:rPr>
      </w:pPr>
      <w:r>
        <w:rPr>
          <w:rFonts w:hint="eastAsia" w:ascii="仿宋" w:hAnsi="仿宋" w:eastAsia="仿宋"/>
          <w:sz w:val="32"/>
          <w:szCs w:val="32"/>
        </w:rPr>
        <w:t>电</w:t>
      </w:r>
      <w:r>
        <w:rPr>
          <w:rFonts w:ascii="仿宋" w:hAnsi="仿宋" w:eastAsia="仿宋"/>
          <w:sz w:val="32"/>
          <w:szCs w:val="32"/>
        </w:rPr>
        <w:t xml:space="preserve"> </w:t>
      </w:r>
      <w:r>
        <w:rPr>
          <w:rFonts w:hint="eastAsia" w:ascii="仿宋" w:hAnsi="仿宋" w:eastAsia="仿宋"/>
          <w:sz w:val="32"/>
          <w:szCs w:val="32"/>
        </w:rPr>
        <w:t>话</w:t>
      </w:r>
      <w:r>
        <w:rPr>
          <w:rFonts w:ascii="仿宋" w:hAnsi="仿宋" w:eastAsia="仿宋"/>
          <w:sz w:val="32"/>
          <w:szCs w:val="32"/>
        </w:rPr>
        <w:t xml:space="preserve"> </w:t>
      </w:r>
      <w:r>
        <w:rPr>
          <w:rFonts w:hint="eastAsia" w:ascii="仿宋" w:hAnsi="仿宋" w:eastAsia="仿宋"/>
          <w:sz w:val="32"/>
          <w:szCs w:val="32"/>
        </w:rPr>
        <w:t>号</w:t>
      </w:r>
      <w:r>
        <w:rPr>
          <w:rFonts w:ascii="仿宋" w:hAnsi="仿宋" w:eastAsia="仿宋"/>
          <w:sz w:val="32"/>
          <w:szCs w:val="32"/>
        </w:rPr>
        <w:t xml:space="preserve"> </w:t>
      </w:r>
      <w:r>
        <w:rPr>
          <w:rFonts w:hint="eastAsia" w:ascii="仿宋" w:hAnsi="仿宋" w:eastAsia="仿宋"/>
          <w:sz w:val="32"/>
          <w:szCs w:val="32"/>
        </w:rPr>
        <w:t>码</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13787580559</w:t>
      </w:r>
    </w:p>
    <w:p>
      <w:pPr>
        <w:spacing w:line="480" w:lineRule="exact"/>
        <w:ind w:left="1680" w:firstLine="420"/>
        <w:jc w:val="left"/>
        <w:rPr>
          <w:rFonts w:ascii="仿宋" w:hAnsi="仿宋" w:eastAsia="仿宋"/>
          <w:sz w:val="32"/>
          <w:szCs w:val="32"/>
          <w:u w:val="single"/>
        </w:rPr>
      </w:pPr>
      <w:r>
        <w:rPr>
          <w:rFonts w:hint="eastAsia" w:ascii="仿宋" w:hAnsi="仿宋" w:eastAsia="仿宋"/>
          <w:sz w:val="32"/>
          <w:szCs w:val="32"/>
        </w:rPr>
        <w:t>单</w:t>
      </w:r>
      <w:r>
        <w:rPr>
          <w:rFonts w:ascii="仿宋" w:hAnsi="仿宋" w:eastAsia="仿宋"/>
          <w:sz w:val="32"/>
          <w:szCs w:val="32"/>
        </w:rPr>
        <w:t xml:space="preserve"> </w:t>
      </w:r>
      <w:r>
        <w:rPr>
          <w:rFonts w:hint="eastAsia" w:ascii="仿宋" w:hAnsi="仿宋" w:eastAsia="仿宋"/>
          <w:sz w:val="32"/>
          <w:szCs w:val="32"/>
        </w:rPr>
        <w:t>位</w:t>
      </w:r>
      <w:r>
        <w:rPr>
          <w:rFonts w:ascii="仿宋" w:hAnsi="仿宋" w:eastAsia="仿宋"/>
          <w:sz w:val="32"/>
          <w:szCs w:val="32"/>
        </w:rPr>
        <w:t xml:space="preserve"> </w:t>
      </w:r>
      <w:r>
        <w:rPr>
          <w:rFonts w:hint="eastAsia" w:ascii="仿宋" w:hAnsi="仿宋" w:eastAsia="仿宋"/>
          <w:sz w:val="32"/>
          <w:szCs w:val="32"/>
        </w:rPr>
        <w:t>地</w:t>
      </w:r>
      <w:r>
        <w:rPr>
          <w:rFonts w:ascii="仿宋" w:hAnsi="仿宋" w:eastAsia="仿宋"/>
          <w:sz w:val="32"/>
          <w:szCs w:val="32"/>
        </w:rPr>
        <w:t xml:space="preserve"> </w:t>
      </w:r>
      <w:r>
        <w:rPr>
          <w:rFonts w:hint="eastAsia" w:ascii="仿宋" w:hAnsi="仿宋" w:eastAsia="仿宋"/>
          <w:sz w:val="32"/>
          <w:szCs w:val="32"/>
        </w:rPr>
        <w:t>址</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溆浦县卢峰镇解放街35号</w:t>
      </w:r>
    </w:p>
    <w:p>
      <w:pPr>
        <w:spacing w:line="480" w:lineRule="exact"/>
        <w:ind w:left="1680" w:firstLine="420"/>
        <w:jc w:val="left"/>
        <w:rPr>
          <w:rFonts w:ascii="仿宋" w:hAnsi="仿宋" w:eastAsia="仿宋"/>
          <w:b/>
          <w:sz w:val="32"/>
          <w:szCs w:val="32"/>
          <w:u w:val="single"/>
        </w:rPr>
      </w:pPr>
      <w:r>
        <w:rPr>
          <w:rFonts w:hint="eastAsia" w:ascii="仿宋" w:hAnsi="仿宋" w:eastAsia="仿宋"/>
          <w:sz w:val="32"/>
          <w:szCs w:val="32"/>
        </w:rPr>
        <w:t>邮</w:t>
      </w:r>
      <w:r>
        <w:rPr>
          <w:rFonts w:ascii="仿宋" w:hAnsi="仿宋" w:eastAsia="仿宋"/>
          <w:sz w:val="32"/>
          <w:szCs w:val="32"/>
        </w:rPr>
        <w:t xml:space="preserve"> </w:t>
      </w:r>
      <w:r>
        <w:rPr>
          <w:rFonts w:hint="eastAsia" w:ascii="仿宋" w:hAnsi="仿宋" w:eastAsia="仿宋"/>
          <w:sz w:val="32"/>
          <w:szCs w:val="32"/>
        </w:rPr>
        <w:t>政</w:t>
      </w:r>
      <w:r>
        <w:rPr>
          <w:rFonts w:ascii="仿宋" w:hAnsi="仿宋" w:eastAsia="仿宋"/>
          <w:sz w:val="32"/>
          <w:szCs w:val="32"/>
        </w:rPr>
        <w:t xml:space="preserve"> </w:t>
      </w:r>
      <w:r>
        <w:rPr>
          <w:rFonts w:hint="eastAsia" w:ascii="仿宋" w:hAnsi="仿宋" w:eastAsia="仿宋"/>
          <w:sz w:val="32"/>
          <w:szCs w:val="32"/>
        </w:rPr>
        <w:t>编</w:t>
      </w:r>
      <w:r>
        <w:rPr>
          <w:rFonts w:ascii="仿宋" w:hAnsi="仿宋" w:eastAsia="仿宋"/>
          <w:sz w:val="32"/>
          <w:szCs w:val="32"/>
        </w:rPr>
        <w:t xml:space="preserve"> </w:t>
      </w:r>
      <w:r>
        <w:rPr>
          <w:rFonts w:hint="eastAsia" w:ascii="仿宋" w:hAnsi="仿宋" w:eastAsia="仿宋"/>
          <w:sz w:val="32"/>
          <w:szCs w:val="32"/>
        </w:rPr>
        <w:t>码</w:t>
      </w:r>
      <w:r>
        <w:rPr>
          <w:rFonts w:ascii="仿宋" w:hAnsi="仿宋" w:eastAsia="仿宋"/>
          <w:sz w:val="32"/>
          <w:szCs w:val="32"/>
        </w:rPr>
        <w:t>:</w:t>
      </w:r>
      <w:r>
        <w:rPr>
          <w:rFonts w:ascii="仿宋" w:hAnsi="仿宋" w:eastAsia="仿宋"/>
          <w:sz w:val="32"/>
          <w:szCs w:val="32"/>
          <w:u w:val="single"/>
        </w:rPr>
        <w:t xml:space="preserve"> </w:t>
      </w:r>
      <w:r>
        <w:rPr>
          <w:rFonts w:ascii="仿宋_GB2312" w:eastAsia="仿宋_GB2312"/>
          <w:sz w:val="32"/>
          <w:szCs w:val="32"/>
          <w:u w:val="single"/>
        </w:rPr>
        <w:t>419300</w:t>
      </w:r>
    </w:p>
    <w:p>
      <w:pPr>
        <w:spacing w:line="480" w:lineRule="exact"/>
        <w:ind w:left="1680" w:firstLine="420"/>
        <w:jc w:val="left"/>
        <w:outlineLvl w:val="0"/>
        <w:rPr>
          <w:rFonts w:ascii="仿宋_GB2312" w:eastAsia="仿宋_GB2312"/>
          <w:sz w:val="32"/>
          <w:szCs w:val="32"/>
          <w:u w:val="single"/>
        </w:rPr>
      </w:pPr>
    </w:p>
    <w:p>
      <w:pPr>
        <w:spacing w:line="480" w:lineRule="exact"/>
        <w:ind w:left="1680" w:firstLine="420"/>
        <w:jc w:val="left"/>
        <w:outlineLvl w:val="0"/>
        <w:rPr>
          <w:rFonts w:ascii="仿宋_GB2312" w:eastAsia="仿宋_GB2312"/>
          <w:sz w:val="32"/>
          <w:szCs w:val="32"/>
          <w:u w:val="single"/>
        </w:rPr>
      </w:pPr>
    </w:p>
    <w:p>
      <w:pPr>
        <w:spacing w:line="480" w:lineRule="exact"/>
        <w:ind w:left="1680" w:firstLine="420"/>
        <w:jc w:val="left"/>
        <w:outlineLvl w:val="0"/>
        <w:rPr>
          <w:rFonts w:ascii="仿宋_GB2312" w:eastAsia="仿宋_GB2312"/>
          <w:sz w:val="32"/>
          <w:szCs w:val="32"/>
          <w:u w:val="single"/>
        </w:rPr>
      </w:pPr>
    </w:p>
    <w:p>
      <w:pPr>
        <w:spacing w:line="480" w:lineRule="exact"/>
        <w:ind w:left="1680" w:firstLine="420"/>
        <w:jc w:val="left"/>
        <w:outlineLvl w:val="0"/>
        <w:rPr>
          <w:rFonts w:ascii="仿宋_GB2312" w:eastAsia="仿宋_GB2312"/>
          <w:sz w:val="32"/>
          <w:szCs w:val="32"/>
          <w:u w:val="single"/>
        </w:rPr>
      </w:pPr>
    </w:p>
    <w:p>
      <w:pPr>
        <w:spacing w:line="480" w:lineRule="exact"/>
        <w:jc w:val="left"/>
        <w:outlineLvl w:val="0"/>
        <w:rPr>
          <w:rFonts w:ascii="仿宋_GB2312" w:eastAsia="仿宋_GB2312"/>
          <w:sz w:val="32"/>
          <w:szCs w:val="32"/>
          <w:u w:val="single"/>
        </w:rPr>
      </w:pPr>
    </w:p>
    <w:p>
      <w:pPr>
        <w:pStyle w:val="5"/>
        <w:adjustRightInd/>
        <w:spacing w:after="62" w:afterLines="20" w:line="520" w:lineRule="exact"/>
        <w:jc w:val="center"/>
        <w:textAlignment w:val="auto"/>
        <w:rPr>
          <w:rFonts w:ascii="楷体_GB2312" w:hAnsi="宋体" w:eastAsia="楷体_GB2312" w:cs="宋体"/>
          <w:color w:val="000000"/>
          <w:spacing w:val="-6"/>
          <w:kern w:val="0"/>
          <w:sz w:val="32"/>
          <w:szCs w:val="32"/>
        </w:rPr>
      </w:pPr>
      <w:r>
        <w:rPr>
          <w:rFonts w:hint="eastAsia" w:ascii="楷体_GB2312" w:hAnsi="宋体" w:eastAsia="楷体_GB2312" w:cs="宋体"/>
          <w:color w:val="000000"/>
          <w:spacing w:val="-6"/>
          <w:kern w:val="0"/>
          <w:sz w:val="32"/>
          <w:szCs w:val="32"/>
        </w:rPr>
        <w:t>财政部</w:t>
      </w:r>
    </w:p>
    <w:p>
      <w:pPr>
        <w:pStyle w:val="5"/>
        <w:adjustRightInd/>
        <w:spacing w:after="62" w:afterLines="20" w:line="520" w:lineRule="exact"/>
        <w:jc w:val="center"/>
        <w:textAlignment w:val="auto"/>
      </w:pPr>
      <w:r>
        <w:rPr>
          <w:rFonts w:hint="eastAsia" w:eastAsia="楷体_GB2312"/>
          <w:color w:val="000000"/>
          <w:spacing w:val="-6"/>
          <w:kern w:val="0"/>
          <w:sz w:val="32"/>
          <w:szCs w:val="32"/>
        </w:rPr>
        <w:t>2023</w:t>
      </w:r>
      <w:r>
        <w:rPr>
          <w:rFonts w:hint="eastAsia" w:ascii="楷体_GB2312" w:hAnsi="宋体" w:eastAsia="楷体_GB2312" w:cs="宋体"/>
          <w:color w:val="000000"/>
          <w:spacing w:val="-6"/>
          <w:kern w:val="0"/>
          <w:sz w:val="32"/>
          <w:szCs w:val="32"/>
        </w:rPr>
        <w:t>年 制</w:t>
      </w: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bookmarkStart w:id="0" w:name="_GoBack"/>
      <w:bookmarkEnd w:id="0"/>
    </w:p>
    <w:p>
      <w:pPr>
        <w:spacing w:line="560" w:lineRule="exact"/>
        <w:jc w:val="center"/>
        <w:rPr>
          <w:rFonts w:ascii="黑体" w:eastAsia="黑体"/>
          <w:color w:val="000000"/>
          <w:spacing w:val="-10"/>
          <w:sz w:val="44"/>
          <w:szCs w:val="44"/>
        </w:rPr>
      </w:pPr>
      <w:r>
        <w:rPr>
          <w:rFonts w:hint="eastAsia" w:ascii="黑体" w:eastAsia="黑体" w:cs="方正小标宋简体"/>
          <w:color w:val="000000"/>
          <w:spacing w:val="-10"/>
          <w:sz w:val="44"/>
          <w:szCs w:val="44"/>
        </w:rPr>
        <w:t>填 报 须 知</w:t>
      </w:r>
    </w:p>
    <w:p>
      <w:pPr>
        <w:spacing w:line="460" w:lineRule="exact"/>
        <w:ind w:firstLine="616" w:firstLineChars="200"/>
        <w:rPr>
          <w:rFonts w:eastAsia="仿宋_GB2312" w:cs="仿宋_GB2312"/>
          <w:color w:val="000000"/>
          <w:spacing w:val="4"/>
          <w:sz w:val="30"/>
          <w:szCs w:val="30"/>
        </w:rPr>
      </w:pP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1. 2022年行政事业单位内部控制报告分为正文和附表两个部分。</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2.各单位根据《行政事业单位内部控制规范（试行）》，在本报告中如实填写本单位经济活动所涉及的预算、收支、政府采购、资产、建设项目、合同等业务的内部控制建设情况，不包括人事、党建等领域的内部控制情况。</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3.各单位应在2022年行政事业单位内部控制报告系统中填报相关内容，系统自动生成“2022年行政事业单位内部控制报告”。</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4.单位名称填列单位的全称，各级主管部门填报本级报告时，应在单位名称后加“（本级）”。</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5.报告中的年、月、日一律用公历和阿拉伯数字表示。</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6.电话号码处填写填表人的联系电话号码。</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7.报送日期填写单位负责人审批通过内部控制报告的时间。</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8.填写前请认真阅读填报须知和附表内每一事项表格下方的填写说明。</w:t>
      </w:r>
    </w:p>
    <w:p>
      <w:pPr>
        <w:spacing w:line="360" w:lineRule="auto"/>
        <w:ind w:firstLine="616" w:firstLineChars="200"/>
        <w:rPr>
          <w:rFonts w:eastAsia="仿宋_GB2312" w:cs="仿宋_GB2312"/>
          <w:color w:val="000000"/>
          <w:spacing w:val="4"/>
          <w:sz w:val="30"/>
          <w:szCs w:val="30"/>
        </w:rPr>
      </w:pPr>
      <w:r>
        <w:rPr>
          <w:rFonts w:hint="eastAsia" w:eastAsia="仿宋_GB2312" w:cs="仿宋_GB2312"/>
          <w:color w:val="000000"/>
          <w:spacing w:val="4"/>
          <w:sz w:val="30"/>
          <w:szCs w:val="30"/>
        </w:rPr>
        <w:t>9.本报告应当按照规定进行脱敏脱密处理，严禁报送涉密信息，敏感信息通过光盘报送。</w:t>
      </w:r>
    </w:p>
    <w:p>
      <w:pPr>
        <w:autoSpaceDE w:val="0"/>
        <w:autoSpaceDN w:val="0"/>
        <w:ind w:firstLine="616" w:firstLineChars="200"/>
        <w:textAlignment w:val="baseline"/>
        <w:rPr>
          <w:rFonts w:ascii="仿宋_GB2312" w:eastAsia="仿宋_GB2312"/>
          <w:sz w:val="28"/>
          <w:szCs w:val="28"/>
        </w:rPr>
      </w:pPr>
      <w:r>
        <w:rPr>
          <w:rFonts w:eastAsia="仿宋_GB2312" w:cs="仿宋_GB2312"/>
          <w:color w:val="000000"/>
          <w:spacing w:val="4"/>
          <w:sz w:val="30"/>
          <w:szCs w:val="30"/>
        </w:rPr>
        <w:br w:type="page"/>
      </w:r>
      <w:r>
        <w:rPr>
          <w:rFonts w:hint="eastAsia" w:ascii="仿宋_GB2312" w:eastAsia="仿宋_GB2312"/>
          <w:sz w:val="28"/>
          <w:szCs w:val="28"/>
        </w:rPr>
        <w:t>为贯彻落实《财政部关于全面推进行政事业单位内部控制建设的指导意见》（财会〔</w:t>
      </w:r>
      <w:r>
        <w:rPr>
          <w:rFonts w:ascii="仿宋_GB2312" w:eastAsia="仿宋_GB2312"/>
          <w:sz w:val="28"/>
          <w:szCs w:val="28"/>
        </w:rPr>
        <w:t>2015</w:t>
      </w:r>
      <w:r>
        <w:rPr>
          <w:rFonts w:hint="eastAsia" w:ascii="仿宋_GB2312" w:eastAsia="仿宋_GB2312"/>
          <w:sz w:val="28"/>
          <w:szCs w:val="28"/>
        </w:rPr>
        <w:t>〕</w:t>
      </w:r>
      <w:r>
        <w:rPr>
          <w:rFonts w:ascii="仿宋_GB2312" w:eastAsia="仿宋_GB2312"/>
          <w:sz w:val="28"/>
          <w:szCs w:val="28"/>
        </w:rPr>
        <w:t>24</w:t>
      </w:r>
      <w:r>
        <w:rPr>
          <w:rFonts w:hint="eastAsia" w:ascii="仿宋_GB2312" w:eastAsia="仿宋_GB2312"/>
          <w:sz w:val="28"/>
          <w:szCs w:val="28"/>
        </w:rPr>
        <w:t>号）的有关精神，依据《行政事业单位内部控制规范（试行）》（财会〔</w:t>
      </w:r>
      <w:r>
        <w:rPr>
          <w:rFonts w:ascii="仿宋_GB2312" w:eastAsia="仿宋_GB2312"/>
          <w:sz w:val="28"/>
          <w:szCs w:val="28"/>
        </w:rPr>
        <w:t>2012</w:t>
      </w:r>
      <w:r>
        <w:rPr>
          <w:rFonts w:hint="eastAsia" w:ascii="仿宋_GB2312" w:eastAsia="仿宋_GB2312"/>
          <w:sz w:val="28"/>
          <w:szCs w:val="28"/>
        </w:rPr>
        <w:t>〕</w:t>
      </w:r>
      <w:r>
        <w:rPr>
          <w:rFonts w:ascii="仿宋_GB2312" w:eastAsia="仿宋_GB2312"/>
          <w:sz w:val="28"/>
          <w:szCs w:val="28"/>
        </w:rPr>
        <w:t>21</w:t>
      </w:r>
      <w:r>
        <w:rPr>
          <w:rFonts w:hint="eastAsia" w:ascii="仿宋_GB2312" w:eastAsia="仿宋_GB2312"/>
          <w:sz w:val="28"/>
          <w:szCs w:val="28"/>
        </w:rPr>
        <w:t>号）和《行政事业单位内部控制报告管理制度（试行）》（财会〔</w:t>
      </w:r>
      <w:r>
        <w:rPr>
          <w:rFonts w:ascii="仿宋_GB2312" w:eastAsia="仿宋_GB2312"/>
          <w:sz w:val="28"/>
          <w:szCs w:val="28"/>
        </w:rPr>
        <w:t>2017</w:t>
      </w: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号）的有关规定，现将本单位</w:t>
      </w:r>
      <w:r>
        <w:rPr>
          <w:rFonts w:ascii="仿宋_GB2312" w:eastAsia="仿宋_GB2312"/>
          <w:sz w:val="28"/>
          <w:szCs w:val="28"/>
        </w:rPr>
        <w:t>20</w:t>
      </w:r>
      <w:r>
        <w:rPr>
          <w:rFonts w:hint="eastAsia" w:ascii="仿宋_GB2312" w:eastAsia="仿宋_GB2312"/>
          <w:sz w:val="28"/>
          <w:szCs w:val="28"/>
        </w:rPr>
        <w:t>22年行政事业单位内部控制工作情况报告如下：</w:t>
      </w:r>
    </w:p>
    <w:p>
      <w:pPr>
        <w:autoSpaceDE w:val="0"/>
        <w:autoSpaceDN w:val="0"/>
        <w:ind w:firstLine="565" w:firstLineChars="202"/>
        <w:textAlignment w:val="baseline"/>
        <w:rPr>
          <w:rFonts w:ascii="黑体" w:hAnsi="黑体" w:eastAsia="黑体"/>
          <w:color w:val="000000"/>
          <w:sz w:val="28"/>
          <w:szCs w:val="28"/>
        </w:rPr>
      </w:pPr>
      <w:r>
        <w:rPr>
          <w:rFonts w:hint="eastAsia" w:ascii="黑体" w:hAnsi="黑体" w:eastAsia="黑体"/>
          <w:color w:val="000000"/>
          <w:sz w:val="28"/>
          <w:szCs w:val="28"/>
        </w:rPr>
        <w:t>一、单位内部控制工作的基本情况</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（一）内部控制机构设置与运行情况。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本单位是行政单位，内设行政业务机构8个，二级机构2个，分别是：电力执法大队、中小企业服务中心。核定编制41名，实有行政人员14人，事业人员22人。离退休人员48人。单位及时调整了内控领导小组和工作小组成员，落实好内部控制制度。</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（二）内部控制工作的组织实施情况。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内部控制领导小组负责全局内部控制建设，制定内部控制工作方案，完善内部控制工作机制。领导小组办公室具体负责全局内部控制日常事务管理工作。</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（三）内部控制制度建设与执行情况。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建立操作性强的内部控制制度，确保决策权、执行权、监督权相互制约又相互协调。</w:t>
      </w:r>
    </w:p>
    <w:p>
      <w:pPr>
        <w:autoSpaceDE w:val="0"/>
        <w:autoSpaceDN w:val="0"/>
        <w:ind w:firstLine="567"/>
        <w:textAlignment w:val="baseline"/>
        <w:rPr>
          <w:rFonts w:ascii="仿宋_GB2312" w:hAnsi="仿宋_GB2312" w:eastAsia="仿宋_GB2312"/>
          <w:color w:val="000000"/>
          <w:sz w:val="28"/>
          <w:szCs w:val="28"/>
        </w:rPr>
      </w:pPr>
      <w:r>
        <w:rPr>
          <w:rFonts w:hint="eastAsia" w:ascii="仿宋_GB2312" w:hAnsi="仿宋_GB2312" w:eastAsia="仿宋_GB2312"/>
          <w:color w:val="000000"/>
          <w:sz w:val="28"/>
          <w:szCs w:val="28"/>
        </w:rPr>
        <w:t>（四）内部控制评价与监督情况。</w:t>
      </w:r>
    </w:p>
    <w:p>
      <w:pPr>
        <w:autoSpaceDE w:val="0"/>
        <w:autoSpaceDN w:val="0"/>
        <w:ind w:firstLine="567"/>
        <w:textAlignment w:val="baseline"/>
        <w:rPr>
          <w:rFonts w:ascii="仿宋_GB2312" w:hAnsi="仿宋_GB2312" w:eastAsia="仿宋_GB2312"/>
          <w:color w:val="000000"/>
          <w:sz w:val="28"/>
          <w:szCs w:val="28"/>
        </w:rPr>
      </w:pPr>
      <w:r>
        <w:rPr>
          <w:rFonts w:ascii="仿宋_GB2312" w:hAnsi="仿宋_GB2312" w:eastAsia="仿宋_GB2312"/>
          <w:color w:val="000000"/>
          <w:sz w:val="28"/>
          <w:szCs w:val="28"/>
        </w:rPr>
        <w:t>单位制定了内部控制评价制度，明确了内部监督中的职责权限，规定了内部监督的程序和要求，对内部控制建立与实施情况进行内部监督检查和自我评价。</w:t>
      </w:r>
    </w:p>
    <w:p>
      <w:pPr>
        <w:autoSpaceDE w:val="0"/>
        <w:autoSpaceDN w:val="0"/>
        <w:ind w:left="147" w:firstLine="420"/>
        <w:textAlignment w:val="baseline"/>
        <w:rPr>
          <w:rFonts w:ascii="黑体" w:hAnsi="黑体" w:eastAsia="黑体"/>
          <w:color w:val="000000"/>
          <w:sz w:val="28"/>
          <w:szCs w:val="28"/>
        </w:rPr>
      </w:pPr>
      <w:r>
        <w:rPr>
          <w:rFonts w:hint="eastAsia" w:ascii="黑体" w:hAnsi="黑体" w:eastAsia="黑体"/>
          <w:color w:val="000000"/>
          <w:sz w:val="28"/>
          <w:szCs w:val="28"/>
        </w:rPr>
        <w:t>二、单位存在的内部控制问题及其整改情况</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（一）2022年度单位内部控制评价发现问题及其整改情况。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发现的问题：对金额小、不经常发生的业务未能完全落实内控程序。整改情况：对上述问题整改到位。</w:t>
      </w:r>
    </w:p>
    <w:p>
      <w:pPr>
        <w:autoSpaceDE w:val="0"/>
        <w:autoSpaceDN w:val="0"/>
        <w:ind w:firstLine="567"/>
        <w:textAlignment w:val="baseline"/>
        <w:rPr>
          <w:rFonts w:ascii="仿宋_GB2312" w:hAnsi="黑体" w:eastAsia="仿宋_GB2312"/>
          <w:color w:val="000000"/>
          <w:sz w:val="28"/>
          <w:szCs w:val="28"/>
        </w:rPr>
      </w:pPr>
      <w:r>
        <w:rPr>
          <w:rFonts w:hint="eastAsia" w:ascii="仿宋_GB2312" w:hAnsi="黑体" w:eastAsia="仿宋_GB2312"/>
          <w:color w:val="000000"/>
          <w:sz w:val="28"/>
          <w:szCs w:val="28"/>
        </w:rPr>
        <w:t>（二）2022年度单位巡视、纪检监察、审计等工作发现的与内部控制相关问题及其整改情况。</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无</w:t>
      </w:r>
    </w:p>
    <w:p>
      <w:pPr>
        <w:autoSpaceDE w:val="0"/>
        <w:autoSpaceDN w:val="0"/>
        <w:ind w:left="147" w:firstLine="420"/>
        <w:textAlignment w:val="baseline"/>
        <w:rPr>
          <w:rFonts w:ascii="黑体" w:hAnsi="黑体" w:eastAsia="黑体"/>
          <w:color w:val="000000"/>
          <w:sz w:val="28"/>
          <w:szCs w:val="28"/>
        </w:rPr>
      </w:pPr>
      <w:r>
        <w:rPr>
          <w:rFonts w:hint="eastAsia" w:ascii="黑体" w:hAnsi="黑体" w:eastAsia="黑体"/>
          <w:color w:val="000000"/>
          <w:sz w:val="28"/>
          <w:szCs w:val="28"/>
        </w:rPr>
        <w:t>三、单位内部控制报告审核情况</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（一）报告材料的规范性。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报告材料完整，数据填列齐全。</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（二）上下年数据变动合理性。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上下年度内控报告报送数据衔接一致。</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（三）业务数据的准确性。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2022年内控报告数据已与2022年预、决算、国有资产报表已核对一致。</w:t>
      </w:r>
    </w:p>
    <w:p>
      <w:pPr>
        <w:pStyle w:val="28"/>
        <w:tabs>
          <w:tab w:val="left" w:pos="851"/>
        </w:tabs>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（四）数值型指标的合理性。</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本年单位所有数值型数据不存在不合理的异常值。</w:t>
      </w:r>
    </w:p>
    <w:p>
      <w:pPr>
        <w:autoSpaceDE w:val="0"/>
        <w:autoSpaceDN w:val="0"/>
        <w:ind w:firstLine="565" w:firstLineChars="202"/>
        <w:textAlignment w:val="baseline"/>
        <w:rPr>
          <w:rFonts w:ascii="黑体" w:hAnsi="黑体" w:eastAsia="黑体"/>
          <w:color w:val="000000"/>
          <w:sz w:val="28"/>
          <w:szCs w:val="28"/>
        </w:rPr>
      </w:pPr>
      <w:r>
        <w:rPr>
          <w:rFonts w:hint="eastAsia" w:ascii="黑体" w:hAnsi="黑体" w:eastAsia="黑体"/>
          <w:color w:val="000000"/>
          <w:sz w:val="28"/>
          <w:szCs w:val="28"/>
        </w:rPr>
        <w:t>四、单位内部控制工作的经验做法和取得的成效</w:t>
      </w:r>
    </w:p>
    <w:p>
      <w:pPr>
        <w:autoSpaceDE w:val="0"/>
        <w:autoSpaceDN w:val="0"/>
        <w:ind w:firstLine="567"/>
        <w:textAlignment w:val="baseline"/>
        <w:rPr>
          <w:rFonts w:ascii="仿宋" w:hAnsi="仿宋" w:eastAsia="仿宋"/>
          <w:color w:val="000000"/>
          <w:sz w:val="28"/>
          <w:szCs w:val="28"/>
        </w:rPr>
      </w:pPr>
      <w:r>
        <w:rPr>
          <w:rFonts w:hint="eastAsia" w:ascii="仿宋" w:hAnsi="仿宋" w:eastAsia="仿宋"/>
          <w:color w:val="000000"/>
          <w:sz w:val="28"/>
          <w:szCs w:val="28"/>
        </w:rPr>
        <w:t>（一）单位在推动内部控制工作中总结出的有关经验做法。</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1、领导重视，全员参与；2、每年开展内控制度培训。</w:t>
      </w:r>
    </w:p>
    <w:p>
      <w:pPr>
        <w:autoSpaceDE w:val="0"/>
        <w:autoSpaceDN w:val="0"/>
        <w:ind w:firstLine="567"/>
        <w:textAlignment w:val="baseline"/>
        <w:rPr>
          <w:rFonts w:ascii="仿宋" w:hAnsi="仿宋" w:eastAsia="仿宋"/>
          <w:color w:val="000000"/>
          <w:sz w:val="28"/>
          <w:szCs w:val="28"/>
        </w:rPr>
      </w:pPr>
      <w:r>
        <w:rPr>
          <w:rFonts w:hint="eastAsia" w:ascii="仿宋" w:hAnsi="仿宋" w:eastAsia="仿宋"/>
          <w:color w:val="000000"/>
          <w:sz w:val="28"/>
          <w:szCs w:val="28"/>
        </w:rPr>
        <w:t>（二）单位建立与实施内部控制后取得的有关成效。</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内部控制手续和流程得到了规范。</w:t>
      </w:r>
    </w:p>
    <w:p>
      <w:pPr>
        <w:autoSpaceDE w:val="0"/>
        <w:autoSpaceDN w:val="0"/>
        <w:ind w:firstLine="565" w:firstLineChars="202"/>
        <w:textAlignment w:val="baseline"/>
        <w:rPr>
          <w:rFonts w:ascii="黑体" w:hAnsi="黑体" w:eastAsia="黑体"/>
          <w:color w:val="000000"/>
          <w:sz w:val="28"/>
          <w:szCs w:val="28"/>
        </w:rPr>
      </w:pPr>
      <w:r>
        <w:rPr>
          <w:rFonts w:hint="eastAsia" w:ascii="黑体" w:hAnsi="黑体" w:eastAsia="黑体"/>
          <w:color w:val="000000"/>
          <w:sz w:val="28"/>
          <w:szCs w:val="28"/>
        </w:rPr>
        <w:t>五、有关意见建议</w:t>
      </w:r>
    </w:p>
    <w:p>
      <w:pPr>
        <w:autoSpaceDE w:val="0"/>
        <w:autoSpaceDN w:val="0"/>
        <w:ind w:firstLine="567"/>
        <w:textAlignment w:val="baseline"/>
        <w:rPr>
          <w:rFonts w:ascii="仿宋_GB2312" w:hAnsi="黑体" w:eastAsia="仿宋_GB2312"/>
          <w:color w:val="000000"/>
          <w:sz w:val="28"/>
          <w:szCs w:val="28"/>
        </w:rPr>
      </w:pPr>
      <w:r>
        <w:rPr>
          <w:rFonts w:ascii="仿宋_GB2312" w:hAnsi="黑体" w:eastAsia="仿宋_GB2312"/>
          <w:color w:val="000000"/>
          <w:sz w:val="28"/>
          <w:szCs w:val="28"/>
        </w:rPr>
        <w:t>建议财政加大资金投入，加强财务人员业务培训。</w:t>
      </w:r>
    </w:p>
    <w:p>
      <w:pPr>
        <w:rPr>
          <w:rFonts w:ascii="黑体" w:eastAsia="黑体"/>
          <w:sz w:val="24"/>
        </w:rPr>
      </w:pPr>
      <w:r>
        <w:rPr>
          <w:rFonts w:hint="eastAsia" w:eastAsia="仿宋_GB2312" w:cs="仿宋_GB2312"/>
          <w:color w:val="000000"/>
          <w:spacing w:val="4"/>
          <w:sz w:val="30"/>
          <w:szCs w:val="30"/>
        </w:rPr>
        <w:br w:type="page"/>
      </w:r>
      <w:r>
        <w:rPr>
          <w:rFonts w:hint="eastAsia" w:eastAsia="仿宋_GB2312" w:cs="仿宋_GB2312"/>
          <w:color w:val="000000"/>
          <w:spacing w:val="4"/>
          <w:sz w:val="30"/>
          <w:szCs w:val="30"/>
        </w:rPr>
        <w:t>附表</w:t>
      </w:r>
    </w:p>
    <w:p>
      <w:pPr>
        <w:tabs>
          <w:tab w:val="left" w:pos="851"/>
        </w:tabs>
        <w:spacing w:after="156" w:afterLines="50" w:line="360" w:lineRule="auto"/>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一、单位基本情况</w:t>
      </w:r>
    </w:p>
    <w:tbl>
      <w:tblPr>
        <w:tblStyle w:val="1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411"/>
        <w:gridCol w:w="1658"/>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组织机构代码</w:t>
            </w:r>
          </w:p>
        </w:tc>
        <w:tc>
          <w:tcPr>
            <w:tcW w:w="2411" w:type="dxa"/>
            <w:vAlign w:val="center"/>
          </w:tcPr>
          <w:p>
            <w:pPr>
              <w:spacing w:line="280" w:lineRule="exact"/>
              <w:jc w:val="center"/>
              <w:rPr>
                <w:rFonts w:ascii="楷体_GB2312" w:eastAsia="楷体_GB2312"/>
                <w:color w:val="000000"/>
                <w:sz w:val="24"/>
              </w:rPr>
            </w:pPr>
            <w:r>
              <w:rPr>
                <w:rFonts w:hint="eastAsia" w:ascii="仿宋_GB2312" w:eastAsia="仿宋_GB2312"/>
                <w:color w:val="000000"/>
                <w:sz w:val="24"/>
              </w:rPr>
              <w:t>006658241</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基本性质</w:t>
            </w:r>
          </w:p>
        </w:tc>
        <w:tc>
          <w:tcPr>
            <w:tcW w:w="2573" w:type="dxa"/>
            <w:vAlign w:val="center"/>
          </w:tcPr>
          <w:p>
            <w:pPr>
              <w:spacing w:line="280" w:lineRule="exact"/>
              <w:jc w:val="left"/>
              <w:rPr>
                <w:rFonts w:ascii="楷体_GB2312" w:eastAsia="楷体_GB2312"/>
                <w:color w:val="000000"/>
                <w:sz w:val="24"/>
              </w:rPr>
            </w:pPr>
            <w:r>
              <w:rPr>
                <w:rFonts w:hint="eastAsia" w:ascii="仿宋_GB2312" w:hAnsi="宋体" w:eastAsia="仿宋_GB2312"/>
                <w:sz w:val="24"/>
              </w:rPr>
              <w:t>10行政单位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预算级次</w:t>
            </w:r>
          </w:p>
        </w:tc>
        <w:tc>
          <w:tcPr>
            <w:tcW w:w="2411" w:type="dxa"/>
            <w:vAlign w:val="center"/>
          </w:tcPr>
          <w:p>
            <w:pPr>
              <w:spacing w:line="280" w:lineRule="exact"/>
              <w:jc w:val="left"/>
              <w:rPr>
                <w:rFonts w:ascii="楷体_GB2312" w:eastAsia="楷体_GB2312"/>
                <w:color w:val="000000"/>
                <w:sz w:val="24"/>
              </w:rPr>
            </w:pPr>
            <w:r>
              <w:rPr>
                <w:rFonts w:hint="eastAsia" w:ascii="仿宋_GB2312" w:hAnsi="宋体" w:eastAsia="仿宋_GB2312"/>
                <w:sz w:val="24"/>
              </w:rPr>
              <w:t>1一级预算单位</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预算管理级次</w:t>
            </w:r>
          </w:p>
        </w:tc>
        <w:tc>
          <w:tcPr>
            <w:tcW w:w="2573" w:type="dxa"/>
            <w:vAlign w:val="center"/>
          </w:tcPr>
          <w:p>
            <w:pPr>
              <w:spacing w:line="280" w:lineRule="exact"/>
              <w:jc w:val="left"/>
              <w:rPr>
                <w:rFonts w:ascii="楷体_GB2312" w:eastAsia="楷体_GB2312"/>
                <w:color w:val="000000"/>
                <w:sz w:val="24"/>
              </w:rPr>
            </w:pPr>
            <w:r>
              <w:rPr>
                <w:rFonts w:hint="eastAsia" w:ascii="仿宋_GB2312" w:hAnsi="宋体" w:eastAsia="仿宋_GB2312"/>
                <w:sz w:val="24"/>
              </w:rPr>
              <w:t>40</w:t>
            </w:r>
            <w:r>
              <w:rPr>
                <w:rFonts w:ascii="仿宋_GB2312" w:hAnsi="宋体" w:eastAsia="仿宋_GB2312"/>
                <w:sz w:val="24"/>
              </w:rPr>
              <w:t xml:space="preserve"> </w:t>
            </w:r>
            <w:r>
              <w:rPr>
                <w:rFonts w:hint="eastAsia" w:ascii="仿宋_GB2312" w:hAnsi="宋体" w:eastAsia="仿宋_GB2312"/>
                <w:sz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支出功能分类</w:t>
            </w:r>
          </w:p>
        </w:tc>
        <w:tc>
          <w:tcPr>
            <w:tcW w:w="2411" w:type="dxa"/>
            <w:vAlign w:val="center"/>
          </w:tcPr>
          <w:p>
            <w:pPr>
              <w:spacing w:line="280" w:lineRule="exact"/>
              <w:jc w:val="left"/>
              <w:rPr>
                <w:rFonts w:eastAsia="仿宋_GB2312"/>
                <w:color w:val="000000"/>
                <w:sz w:val="24"/>
              </w:rPr>
            </w:pPr>
            <w:r>
              <w:rPr>
                <w:rFonts w:hint="eastAsia" w:ascii="仿宋_GB2312" w:eastAsia="仿宋_GB2312"/>
                <w:color w:val="000000"/>
                <w:sz w:val="24"/>
              </w:rPr>
              <w:t>工业和信息产业监管</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年末在职人数</w:t>
            </w:r>
          </w:p>
        </w:tc>
        <w:tc>
          <w:tcPr>
            <w:tcW w:w="2573" w:type="dxa"/>
            <w:vAlign w:val="center"/>
          </w:tcPr>
          <w:p>
            <w:pPr>
              <w:spacing w:line="280" w:lineRule="exact"/>
              <w:jc w:val="center"/>
              <w:rPr>
                <w:rFonts w:eastAsia="仿宋_GB2312"/>
                <w:color w:val="000000"/>
                <w:sz w:val="24"/>
              </w:rPr>
            </w:pPr>
            <w:r>
              <w:rPr>
                <w:rFonts w:hint="eastAsia" w:ascii="仿宋_GB2312" w:eastAsia="仿宋_GB2312"/>
                <w:color w:val="00000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所在地区</w:t>
            </w:r>
          </w:p>
        </w:tc>
        <w:tc>
          <w:tcPr>
            <w:tcW w:w="2411" w:type="dxa"/>
            <w:vAlign w:val="center"/>
          </w:tcPr>
          <w:p>
            <w:pPr>
              <w:spacing w:line="280" w:lineRule="exact"/>
              <w:jc w:val="left"/>
              <w:rPr>
                <w:rFonts w:ascii="楷体_GB2312" w:eastAsia="楷体_GB2312"/>
                <w:color w:val="000000"/>
                <w:sz w:val="24"/>
              </w:rPr>
            </w:pPr>
            <w:r>
              <w:rPr>
                <w:rFonts w:hint="eastAsia" w:ascii="仿宋_GB2312" w:eastAsia="仿宋_GB2312" w:cs="仿宋_GB2312"/>
                <w:color w:val="000000"/>
                <w:spacing w:val="-12"/>
                <w:sz w:val="24"/>
              </w:rPr>
              <w:t>溆浦县</w:t>
            </w:r>
          </w:p>
        </w:tc>
        <w:tc>
          <w:tcPr>
            <w:tcW w:w="1658" w:type="dxa"/>
            <w:vAlign w:val="center"/>
          </w:tcPr>
          <w:p>
            <w:pPr>
              <w:spacing w:line="280" w:lineRule="exact"/>
              <w:jc w:val="center"/>
              <w:rPr>
                <w:rFonts w:eastAsia="仿宋_GB2312"/>
                <w:color w:val="000000"/>
                <w:sz w:val="24"/>
              </w:rPr>
            </w:pPr>
            <w:r>
              <w:rPr>
                <w:rFonts w:hint="eastAsia" w:ascii="仿宋" w:hAnsi="仿宋" w:eastAsia="仿宋"/>
                <w:color w:val="000000"/>
                <w:sz w:val="24"/>
              </w:rPr>
              <w:t>隶属关系</w:t>
            </w:r>
          </w:p>
        </w:tc>
        <w:tc>
          <w:tcPr>
            <w:tcW w:w="2573" w:type="dxa"/>
            <w:vAlign w:val="center"/>
          </w:tcPr>
          <w:p>
            <w:pPr>
              <w:spacing w:line="280" w:lineRule="exact"/>
              <w:jc w:val="center"/>
              <w:rPr>
                <w:rFonts w:ascii="楷体_GB2312" w:eastAsia="楷体_GB2312"/>
                <w:color w:val="000000"/>
                <w:sz w:val="24"/>
              </w:rPr>
            </w:pPr>
            <w:r>
              <w:rPr>
                <w:rFonts w:hint="eastAsia" w:ascii="仿宋_GB2312" w:hAnsi="宋体" w:eastAsia="仿宋_GB2312"/>
                <w:sz w:val="24"/>
              </w:rPr>
              <w:t>溆浦县</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中华人民共和国工业和信息化部（国家航天局、国家原子能机构）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97" w:type="dxa"/>
            <w:vAlign w:val="center"/>
          </w:tcPr>
          <w:p>
            <w:pPr>
              <w:spacing w:line="280" w:lineRule="exact"/>
              <w:jc w:val="center"/>
              <w:rPr>
                <w:rFonts w:eastAsia="仿宋_GB2312"/>
                <w:color w:val="000000"/>
                <w:sz w:val="24"/>
              </w:rPr>
            </w:pPr>
            <w:r>
              <w:rPr>
                <w:rFonts w:hint="eastAsia" w:ascii="仿宋" w:hAnsi="仿宋" w:eastAsia="仿宋"/>
                <w:color w:val="000000"/>
                <w:sz w:val="24"/>
              </w:rPr>
              <w:t>财政预算代码</w:t>
            </w:r>
          </w:p>
        </w:tc>
        <w:tc>
          <w:tcPr>
            <w:tcW w:w="6642" w:type="dxa"/>
            <w:gridSpan w:val="3"/>
            <w:vAlign w:val="center"/>
          </w:tcPr>
          <w:p>
            <w:pPr>
              <w:pStyle w:val="28"/>
              <w:tabs>
                <w:tab w:val="left" w:pos="851"/>
              </w:tabs>
              <w:spacing w:line="360" w:lineRule="auto"/>
              <w:ind w:firstLine="0" w:firstLineChars="0"/>
              <w:rPr>
                <w:rFonts w:eastAsia="仿宋_GB2312"/>
                <w:color w:val="000000"/>
                <w:sz w:val="24"/>
              </w:rPr>
            </w:pPr>
            <w:r>
              <w:rPr>
                <w:rFonts w:hint="eastAsia" w:ascii="仿宋_GB2312" w:eastAsia="仿宋_GB2312" w:cs="楷体_GB2312"/>
                <w:color w:val="000000"/>
                <w:sz w:val="24"/>
              </w:rPr>
              <w:t>339</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说明：组织机构代码根据各级技术监督部门核发的机关、团体、事业单位代码证书规定的9位码填列。单位如已取得统一社会信用代码，需按统一社会信用代码第9－17位信息填列。</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单位预算级次填列部门和单位按照预算管理权限和经费领拨关系所确定的预算级次，与部门决算封面上预算级次一致。非预算单位此项填报“无”。</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预算管理级次按单位预算分级管理的级次选择填列。非预算单位填报“90.非预算单位”。</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支出功能分类填列部门决算《支出决算表》（财决04表）中涉及金额最多的支出功能分类科目。</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年末在职人数填列在政府编制管理部门核定的编制内、由单位人事部门管理的实有年末在职人数，与部门决算《基本数字表》（财决附02表）第4栏合计数一致，即“年末实有人数”中“人员总计”的“在职人员”合计数。</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所在地区以6位代码表示，根据国家标准《中华人民共和国行政区划代码》（GB/T 2260-2007）填列。</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隶属关系以9位代码表示，前6位中央单位均填零，地方单位填行政区划代码。后3位为部门标识码，根据国家标准《</w:t>
      </w:r>
      <w:r>
        <w:rPr>
          <w:rFonts w:eastAsia="楷体_GB2312" w:cs="楷体_GB2312"/>
          <w:color w:val="000000"/>
          <w:sz w:val="24"/>
        </w:rPr>
        <w:t>中央党政机关</w:t>
      </w:r>
      <w:r>
        <w:rPr>
          <w:rFonts w:hint="eastAsia" w:eastAsia="楷体_GB2312" w:cs="楷体_GB2312"/>
          <w:color w:val="000000"/>
          <w:sz w:val="24"/>
        </w:rPr>
        <w:t>、</w:t>
      </w:r>
      <w:r>
        <w:rPr>
          <w:rFonts w:eastAsia="楷体_GB2312" w:cs="楷体_GB2312"/>
          <w:color w:val="000000"/>
          <w:sz w:val="24"/>
        </w:rPr>
        <w:t>人民团体及其他机构名称代码</w:t>
      </w:r>
      <w:r>
        <w:rPr>
          <w:rFonts w:hint="eastAsia" w:eastAsia="楷体_GB2312" w:cs="楷体_GB2312"/>
          <w:color w:val="000000"/>
          <w:sz w:val="24"/>
        </w:rPr>
        <w:t>》（GB/T 4657-2009）填列。</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单位财政预算代码即预算管理一体化系统中的单位代码，中央一级预算单位按财政部编制的三位代码填列，二级预算单位为六位代码，前三位填列其一级预算单位编码，后三位由一级预算单位从001－799依次自行编制，三级及以下预算单位以此类推。地方单位的财政预算代码应与部门预算代码一致。非预算单位此项不需填报。</w:t>
      </w:r>
    </w:p>
    <w:p>
      <w:pPr>
        <w:tabs>
          <w:tab w:val="left" w:pos="851"/>
        </w:tabs>
        <w:spacing w:after="156" w:afterLines="50" w:line="360" w:lineRule="auto"/>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二、单位层面内部控制情况</w:t>
      </w:r>
    </w:p>
    <w:p>
      <w:pPr>
        <w:widowControl/>
        <w:tabs>
          <w:tab w:val="left" w:pos="851"/>
        </w:tabs>
        <w:spacing w:line="360" w:lineRule="auto"/>
        <w:rPr>
          <w:rFonts w:ascii="黑体" w:eastAsia="黑体" w:cs="方正小标宋简体"/>
          <w:color w:val="000000"/>
          <w:spacing w:val="8"/>
          <w:sz w:val="40"/>
          <w:szCs w:val="40"/>
        </w:rPr>
      </w:pPr>
      <w:r>
        <w:rPr>
          <w:rFonts w:hint="eastAsia" w:eastAsia="仿宋_GB2312" w:cs="仿宋_GB2312"/>
          <w:color w:val="000000"/>
          <w:spacing w:val="-12"/>
          <w:sz w:val="28"/>
          <w:szCs w:val="28"/>
        </w:rPr>
        <w:t>（一）内部控制机构组成情况</w:t>
      </w:r>
    </w:p>
    <w:tbl>
      <w:tblPr>
        <w:tblStyle w:val="11"/>
        <w:tblpPr w:leftFromText="180" w:rightFromText="180" w:vertAnchor="text" w:tblpXSpec="center" w:tblpY="1"/>
        <w:tblOverlap w:val="never"/>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38"/>
        <w:gridCol w:w="1644"/>
        <w:gridCol w:w="184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trPr>
        <w:tc>
          <w:tcPr>
            <w:tcW w:w="3138" w:type="dxa"/>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单位是否成立内部控制领导小组</w:t>
            </w:r>
          </w:p>
        </w:tc>
        <w:tc>
          <w:tcPr>
            <w:tcW w:w="1644" w:type="dxa"/>
            <w:vAlign w:val="center"/>
          </w:tcPr>
          <w:p>
            <w:pPr>
              <w:spacing w:line="320" w:lineRule="exact"/>
              <w:rPr>
                <w:rFonts w:ascii="仿宋" w:hAnsi="仿宋" w:eastAsia="仿宋" w:cs="楷体_GB2312"/>
                <w:color w:val="000000"/>
                <w:sz w:val="24"/>
              </w:rPr>
            </w:pPr>
            <w:r>
              <w:rPr>
                <w:rFonts w:hint="eastAsia" w:ascii="仿宋_GB2312" w:eastAsia="仿宋_GB2312" w:cs="楷体_GB2312"/>
                <w:color w:val="000000"/>
                <w:sz w:val="24"/>
              </w:rPr>
              <w:t>是</w:t>
            </w:r>
          </w:p>
        </w:tc>
        <w:tc>
          <w:tcPr>
            <w:tcW w:w="1848" w:type="dxa"/>
            <w:vAlign w:val="center"/>
          </w:tcPr>
          <w:p>
            <w:pPr>
              <w:spacing w:line="320" w:lineRule="exact"/>
              <w:jc w:val="center"/>
              <w:rPr>
                <w:rFonts w:ascii="仿宋" w:hAnsi="仿宋" w:eastAsia="仿宋" w:cs="楷体_GB2312"/>
                <w:color w:val="000000"/>
                <w:sz w:val="24"/>
              </w:rPr>
            </w:pPr>
            <w:r>
              <w:rPr>
                <w:rFonts w:hint="eastAsia" w:ascii="仿宋" w:hAnsi="仿宋" w:eastAsia="仿宋"/>
                <w:sz w:val="24"/>
              </w:rPr>
              <w:t>单位是否成立内部控制工作小组</w:t>
            </w:r>
          </w:p>
        </w:tc>
        <w:tc>
          <w:tcPr>
            <w:tcW w:w="2082" w:type="dxa"/>
            <w:vAlign w:val="center"/>
          </w:tcPr>
          <w:p>
            <w:pPr>
              <w:spacing w:line="320" w:lineRule="exact"/>
              <w:rPr>
                <w:rFonts w:ascii="仿宋" w:hAnsi="仿宋" w:eastAsia="仿宋"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trPr>
        <w:tc>
          <w:tcPr>
            <w:tcW w:w="3138" w:type="dxa"/>
            <w:tcBorders>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单位内部控制领导小组负责人为</w:t>
            </w:r>
          </w:p>
        </w:tc>
        <w:tc>
          <w:tcPr>
            <w:tcW w:w="5574" w:type="dxa"/>
            <w:gridSpan w:val="3"/>
            <w:tcBorders>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sz w:val="24"/>
              </w:rPr>
            </w:pPr>
            <w:r>
              <w:rPr>
                <w:rFonts w:hint="eastAsia" w:ascii="仿宋" w:hAnsi="仿宋" w:eastAsia="仿宋" w:cs="仿宋"/>
                <w:color w:val="000000"/>
                <w:sz w:val="24"/>
              </w:rPr>
              <w:t>单位主要负责人</w:t>
            </w:r>
          </w:p>
          <w:p>
            <w:pPr>
              <w:spacing w:line="320" w:lineRule="exact"/>
              <w:jc w:val="left"/>
              <w:rPr>
                <w:rFonts w:ascii="仿宋" w:hAnsi="仿宋" w:eastAsia="仿宋" w:cs="仿宋"/>
                <w:color w:val="000000"/>
                <w:spacing w:val="-12"/>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周鹏</w:t>
            </w:r>
            <w:r>
              <w:rPr>
                <w:rFonts w:hint="eastAsia" w:ascii="仿宋" w:hAnsi="仿宋" w:eastAsia="仿宋" w:cs="仿宋"/>
                <w:color w:val="000000"/>
                <w:sz w:val="24"/>
              </w:rPr>
              <w:t xml:space="preserve"> 职务：</w:t>
            </w:r>
            <w:r>
              <w:rPr>
                <w:rFonts w:hint="eastAsia" w:ascii="仿宋" w:hAnsi="仿宋" w:eastAsia="仿宋" w:cs="仿宋"/>
                <w:color w:val="000000"/>
                <w:sz w:val="24"/>
                <w:u w:val="single"/>
              </w:rPr>
              <w:t>局长</w:t>
            </w:r>
            <w:r>
              <w:rPr>
                <w:rFonts w:hint="eastAsia" w:ascii="仿宋" w:hAnsi="仿宋" w:eastAsia="仿宋" w:cs="仿宋"/>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trPr>
        <w:tc>
          <w:tcPr>
            <w:tcW w:w="313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内部控制建设牵头部门设在</w:t>
            </w:r>
          </w:p>
        </w:tc>
        <w:tc>
          <w:tcPr>
            <w:tcW w:w="55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sz w:val="24"/>
              </w:rPr>
            </w:pPr>
            <w:r>
              <w:rPr>
                <w:rFonts w:hint="eastAsia" w:ascii="仿宋" w:hAnsi="仿宋" w:eastAsia="仿宋" w:cs="仿宋"/>
                <w:color w:val="000000"/>
                <w:sz w:val="24"/>
              </w:rPr>
              <w:t>财务部门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trPr>
        <w:tc>
          <w:tcPr>
            <w:tcW w:w="313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 w:hAnsi="仿宋" w:eastAsia="仿宋" w:cs="仿宋_GB2312"/>
                <w:color w:val="000000"/>
                <w:spacing w:val="-12"/>
                <w:sz w:val="24"/>
              </w:rPr>
            </w:pPr>
            <w:r>
              <w:rPr>
                <w:rFonts w:hint="eastAsia" w:ascii="仿宋" w:hAnsi="仿宋" w:eastAsia="仿宋" w:cs="仿宋_GB2312"/>
                <w:color w:val="000000"/>
                <w:spacing w:val="-12"/>
                <w:sz w:val="24"/>
              </w:rPr>
              <w:t>内部控制评价与监督部门设在</w:t>
            </w:r>
          </w:p>
        </w:tc>
        <w:tc>
          <w:tcPr>
            <w:tcW w:w="557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sz w:val="24"/>
              </w:rPr>
            </w:pPr>
            <w:r>
              <w:rPr>
                <w:rFonts w:hint="eastAsia" w:ascii="仿宋" w:hAnsi="仿宋" w:eastAsia="仿宋" w:cs="仿宋"/>
                <w:color w:val="000000"/>
                <w:sz w:val="24"/>
              </w:rPr>
              <w:t>内审部门</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说明：需上传成立内部控制相关机构的制度文件作为佐证材料。</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（二）内部控制机构运行情况</w:t>
      </w:r>
    </w:p>
    <w:tbl>
      <w:tblPr>
        <w:tblStyle w:val="11"/>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35"/>
        <w:gridCol w:w="1044"/>
        <w:gridCol w:w="1326"/>
        <w:gridCol w:w="589"/>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4" w:hRule="atLeast"/>
          <w:jc w:val="center"/>
        </w:trPr>
        <w:tc>
          <w:tcPr>
            <w:tcW w:w="4505" w:type="dxa"/>
            <w:gridSpan w:val="3"/>
            <w:noWrap/>
            <w:vAlign w:val="center"/>
          </w:tcPr>
          <w:p>
            <w:pPr>
              <w:spacing w:line="320" w:lineRule="exact"/>
              <w:jc w:val="left"/>
              <w:rPr>
                <w:rFonts w:ascii="仿宋" w:hAnsi="仿宋" w:eastAsia="仿宋" w:cs="仿宋_GB2312"/>
                <w:color w:val="000000"/>
                <w:spacing w:val="-12"/>
                <w:sz w:val="24"/>
                <w:u w:val="single"/>
              </w:rPr>
            </w:pPr>
            <w:r>
              <w:rPr>
                <w:rFonts w:hint="eastAsia" w:ascii="仿宋" w:hAnsi="仿宋" w:eastAsia="仿宋" w:cs="仿宋_GB2312"/>
                <w:color w:val="000000"/>
                <w:spacing w:val="-12"/>
                <w:sz w:val="24"/>
              </w:rPr>
              <w:t>2022年度单位召开内部控制领导小组会议次数：</w:t>
            </w:r>
            <w:r>
              <w:rPr>
                <w:rFonts w:hint="eastAsia" w:ascii="仿宋_GB2312" w:eastAsia="仿宋_GB2312" w:cs="仿宋_GB2312"/>
                <w:color w:val="000000"/>
                <w:spacing w:val="-12"/>
                <w:sz w:val="24"/>
                <w:u w:val="single"/>
              </w:rPr>
              <w:t>1</w:t>
            </w:r>
          </w:p>
        </w:tc>
        <w:tc>
          <w:tcPr>
            <w:tcW w:w="4150" w:type="dxa"/>
            <w:gridSpan w:val="2"/>
            <w:vAlign w:val="center"/>
          </w:tcPr>
          <w:p>
            <w:pPr>
              <w:spacing w:line="320" w:lineRule="exact"/>
              <w:jc w:val="left"/>
              <w:rPr>
                <w:rFonts w:ascii="仿宋" w:hAnsi="仿宋" w:eastAsia="仿宋" w:cs="仿宋_GB2312"/>
                <w:color w:val="000000"/>
                <w:spacing w:val="-12"/>
                <w:sz w:val="24"/>
                <w:u w:val="single"/>
              </w:rPr>
            </w:pPr>
            <w:r>
              <w:rPr>
                <w:rFonts w:hint="eastAsia" w:ascii="仿宋" w:hAnsi="仿宋" w:eastAsia="仿宋" w:cs="仿宋_GB2312"/>
                <w:color w:val="000000"/>
                <w:spacing w:val="-12"/>
                <w:sz w:val="24"/>
              </w:rPr>
              <w:t>2022年度单位开展内部控制相关培训次数：</w:t>
            </w:r>
            <w:r>
              <w:rPr>
                <w:rFonts w:hint="eastAsia" w:ascii="仿宋_GB2312" w:eastAsia="仿宋_GB2312" w:cs="仿宋_GB2312"/>
                <w:color w:val="000000"/>
                <w:spacing w:val="-12"/>
                <w:sz w:val="24"/>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7" w:hRule="atLeast"/>
          <w:jc w:val="center"/>
        </w:trPr>
        <w:tc>
          <w:tcPr>
            <w:tcW w:w="213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2022年度单位层面内部控制风险评估覆盖情况</w:t>
            </w:r>
          </w:p>
        </w:tc>
        <w:tc>
          <w:tcPr>
            <w:tcW w:w="6520" w:type="dxa"/>
            <w:gridSpan w:val="4"/>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运行机制;组织架构;关键岗位;制度体系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1" w:hRule="atLeast"/>
          <w:jc w:val="center"/>
        </w:trPr>
        <w:tc>
          <w:tcPr>
            <w:tcW w:w="213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2022年度单位是否开展内部控制评价</w:t>
            </w:r>
          </w:p>
        </w:tc>
        <w:tc>
          <w:tcPr>
            <w:tcW w:w="1044" w:type="dxa"/>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c>
          <w:tcPr>
            <w:tcW w:w="1915" w:type="dxa"/>
            <w:gridSpan w:val="2"/>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2022年度单位内部控制评价结果应用领域</w:t>
            </w:r>
          </w:p>
        </w:tc>
        <w:tc>
          <w:tcPr>
            <w:tcW w:w="3561" w:type="dxa"/>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作为完善内部管理制度的依据;作为绩效管理的依据;作为监督问责的参考依据;作为领导干部选拔任用的参考</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说明：内部控制领导小组会议包括内部控制专题会议或与内部控制工作相关的会议。需上传内部控制领导小组会议纪要作为佐证材料。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内部控制相关培训包括内部控制专题培训或将内部控制作为议题之一的相关培训。需上传内部控制培训通知或纪要等作为佐证材料。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层面内部控制风险评估覆盖情况根据2022年度单位组织开展或委托第三方开展单位层面风险评估工作以及出具的风险评估报告或其他文件，逐项勾选已进行内部控制风险评估的方面。需上传风险评估报告等材料作为佐证材料。</w:t>
      </w:r>
    </w:p>
    <w:p>
      <w:pPr>
        <w:pStyle w:val="28"/>
        <w:ind w:firstLine="480"/>
        <w:rPr>
          <w:rFonts w:eastAsia="楷体_GB2312" w:cs="楷体_GB2312"/>
          <w:color w:val="000000"/>
          <w:sz w:val="24"/>
        </w:rPr>
      </w:pPr>
      <w:r>
        <w:rPr>
          <w:rFonts w:hint="eastAsia" w:eastAsia="楷体_GB2312" w:cs="楷体_GB2312"/>
          <w:color w:val="000000"/>
          <w:sz w:val="24"/>
        </w:rPr>
        <w:t>内部控制评价是指单位自行或者委托第三方对单位内部控制体系建立与实施情况评价并出具评价报告。需上传内部控制评价报告作为佐证材料。</w:t>
      </w:r>
    </w:p>
    <w:p>
      <w:pPr>
        <w:pStyle w:val="28"/>
        <w:ind w:firstLine="0" w:firstLineChars="0"/>
        <w:rPr>
          <w:rFonts w:eastAsia="仿宋_GB2312" w:cs="仿宋_GB2312"/>
          <w:color w:val="000000"/>
          <w:spacing w:val="-12"/>
          <w:sz w:val="28"/>
          <w:szCs w:val="28"/>
        </w:rPr>
      </w:pPr>
      <w:r>
        <w:rPr>
          <w:rFonts w:hint="eastAsia" w:eastAsia="仿宋_GB2312" w:cs="仿宋_GB2312"/>
          <w:color w:val="000000"/>
          <w:spacing w:val="-12"/>
          <w:sz w:val="28"/>
          <w:szCs w:val="28"/>
        </w:rPr>
        <w:t>（三）规范权力运行情况</w:t>
      </w:r>
    </w:p>
    <w:tbl>
      <w:tblPr>
        <w:tblStyle w:val="11"/>
        <w:tblW w:w="7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4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4" w:hRule="atLeast"/>
          <w:jc w:val="center"/>
        </w:trPr>
        <w:tc>
          <w:tcPr>
            <w:tcW w:w="5741"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单位是否建立健全分事行权、分岗设权、分级授权机制</w:t>
            </w:r>
          </w:p>
        </w:tc>
        <w:tc>
          <w:tcPr>
            <w:tcW w:w="2015" w:type="dxa"/>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5741"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单位是否建立关键岗位干部交流或定期轮岗机制，并明确不具备条件轮岗的实行专项审计。</w:t>
            </w:r>
          </w:p>
        </w:tc>
        <w:tc>
          <w:tcPr>
            <w:tcW w:w="2015" w:type="dxa"/>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3" w:hRule="atLeast"/>
          <w:jc w:val="center"/>
        </w:trPr>
        <w:tc>
          <w:tcPr>
            <w:tcW w:w="5741"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单位是否针对“三重一大”事项建立集体议事决策机制</w:t>
            </w:r>
          </w:p>
        </w:tc>
        <w:tc>
          <w:tcPr>
            <w:tcW w:w="2015" w:type="dxa"/>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分事行权是指对单位经济活动和业务活动的决策、执行、监督，应当明确分工、相互分离、分别行权；分岗设权是指对涉及经济活动、业务活动的相关岗位，应当依职定岗、分岗定权、权责明确；分级授权是指对单位各管理层级和相关岗位，应当明确授权范围、授权对象、授权期限、授权与行权责任、一般授权与特殊授权界限。</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单位应当按照有关规定对关键岗位人员实行轮岗交流，明确轮岗范围、轮岗周期与轮岗方式，不具备轮岗条件的可以采用专项审计等替代措施。需上传定期轮岗（或专项审计）相关制度。</w:t>
      </w:r>
    </w:p>
    <w:p>
      <w:pPr>
        <w:pStyle w:val="28"/>
        <w:tabs>
          <w:tab w:val="left" w:pos="851"/>
        </w:tabs>
        <w:spacing w:line="360" w:lineRule="auto"/>
        <w:ind w:firstLine="480"/>
        <w:rPr>
          <w:rFonts w:ascii="楷体_GB2312" w:eastAsia="楷体_GB2312"/>
          <w:sz w:val="24"/>
        </w:rPr>
      </w:pPr>
      <w:r>
        <w:rPr>
          <w:rFonts w:hint="eastAsia" w:eastAsia="楷体_GB2312" w:cs="楷体_GB2312"/>
          <w:color w:val="000000"/>
          <w:sz w:val="24"/>
        </w:rPr>
        <w:t>“三重一大”是指重大事项决策、重要干部任免、重要项目安排、大额度资金的使用。</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（四）内部控制相关问题整改情况</w:t>
      </w:r>
    </w:p>
    <w:tbl>
      <w:tblPr>
        <w:tblStyle w:val="11"/>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55"/>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2022年度单位内部控制评价发现问题整改情况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1</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1</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2022年度单位巡视发现与内部控制相关问题整改情况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2022年度单位纪检监察发现与内部控制相关问题整改情况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atLeast"/>
          <w:jc w:val="center"/>
        </w:trPr>
        <w:tc>
          <w:tcPr>
            <w:tcW w:w="285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2022年度单位审计发现与内部控制相关问题整改情况</w:t>
            </w:r>
          </w:p>
        </w:tc>
        <w:tc>
          <w:tcPr>
            <w:tcW w:w="5637" w:type="dxa"/>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问题总数：</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已完成整改问题数量：</w:t>
            </w:r>
            <w:r>
              <w:rPr>
                <w:rFonts w:hint="eastAsia" w:ascii="仿宋_GB2312" w:eastAsia="仿宋_GB2312" w:cs="楷体_GB2312"/>
                <w:color w:val="000000"/>
                <w:sz w:val="24"/>
                <w:u w:val="single"/>
              </w:rPr>
              <w:t>0</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正在进行整改问题数量：</w:t>
            </w:r>
            <w:r>
              <w:rPr>
                <w:rFonts w:hint="eastAsia" w:ascii="仿宋_GB2312" w:eastAsia="仿宋_GB2312" w:cs="楷体_GB2312"/>
                <w:color w:val="000000"/>
                <w:sz w:val="24"/>
                <w:u w:val="single"/>
              </w:rPr>
              <w:t>0</w:t>
            </w:r>
          </w:p>
          <w:p>
            <w:pPr>
              <w:spacing w:line="320" w:lineRule="exact"/>
              <w:jc w:val="left"/>
              <w:rPr>
                <w:rFonts w:eastAsia="楷体_GB2312" w:cs="楷体_GB2312"/>
                <w:color w:val="000000"/>
                <w:sz w:val="24"/>
              </w:rPr>
            </w:pPr>
            <w:r>
              <w:rPr>
                <w:rFonts w:hint="eastAsia" w:ascii="仿宋" w:hAnsi="仿宋" w:eastAsia="仿宋" w:cs="楷体_GB2312"/>
                <w:color w:val="000000"/>
                <w:sz w:val="24"/>
              </w:rPr>
              <w:t>未整改问题数量：</w:t>
            </w:r>
            <w:r>
              <w:rPr>
                <w:rFonts w:hint="eastAsia" w:ascii="仿宋_GB2312" w:eastAsia="仿宋_GB2312" w:cs="楷体_GB2312"/>
                <w:color w:val="000000"/>
                <w:sz w:val="24"/>
                <w:u w:val="single"/>
              </w:rPr>
              <w:t>0</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说明：2022年度单位内部控制评价发现问题整改情况根据内部控制评价报告以及整改文件及成果等内容填写。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2022年度单位巡视发现与内部控制相关问题整改情况根据各类巡视报告及巡视整改工作报告等内容填写，仅填列与内部控制相关的问题。</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2022年度单位纪检监察发现与内部控制相关问题整改情况根据单位纪检监察报告及整改工作报告等内容填写，仅填列与内部控制相关的问题。</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2022年度单位审计发现与内部控制相关问题整改情况根据各类审计报告及整改工作报告等内容填写，仅填列与内部控制相关的问题。</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（五）政府会计改革</w:t>
      </w:r>
    </w:p>
    <w:tbl>
      <w:tblPr>
        <w:tblStyle w:val="11"/>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48"/>
        <w:gridCol w:w="951"/>
        <w:gridCol w:w="327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0" w:hRule="atLeast"/>
          <w:jc w:val="center"/>
        </w:trPr>
        <w:tc>
          <w:tcPr>
            <w:tcW w:w="3148" w:type="dxa"/>
            <w:noWrap/>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单位是否执行政府会计准则制度</w:t>
            </w:r>
          </w:p>
        </w:tc>
        <w:tc>
          <w:tcPr>
            <w:tcW w:w="951" w:type="dxa"/>
            <w:noWrap/>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c>
          <w:tcPr>
            <w:tcW w:w="32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2022年度单位是否按照政府会计准则制度要求开展预算会计核算和财务会计核算</w:t>
            </w:r>
          </w:p>
        </w:tc>
        <w:tc>
          <w:tcPr>
            <w:tcW w:w="1140" w:type="dxa"/>
            <w:noWrap/>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3148"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2022年度单位是否对固定资产和无形资产计提折旧或摊销</w:t>
            </w:r>
          </w:p>
        </w:tc>
        <w:tc>
          <w:tcPr>
            <w:tcW w:w="951" w:type="dxa"/>
            <w:noWrap/>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c>
          <w:tcPr>
            <w:tcW w:w="32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2022年度编制政府部门财务报告时，部门及所属单位之间发生的经济业务或事项是否在抵销前进行确认</w:t>
            </w:r>
          </w:p>
        </w:tc>
        <w:tc>
          <w:tcPr>
            <w:tcW w:w="1140" w:type="dxa"/>
            <w:noWrap/>
            <w:vAlign w:val="center"/>
          </w:tcPr>
          <w:p>
            <w:pPr>
              <w:spacing w:line="320" w:lineRule="exact"/>
              <w:jc w:val="center"/>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5" w:hRule="atLeast"/>
          <w:jc w:val="center"/>
        </w:trPr>
        <w:tc>
          <w:tcPr>
            <w:tcW w:w="3148"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单位是否将基本建设投资、公共基础设施、保障性住房、政府储备物资、国有文物文化资产等纳入统一账簿进行会计核算</w:t>
            </w:r>
          </w:p>
        </w:tc>
        <w:tc>
          <w:tcPr>
            <w:tcW w:w="5361" w:type="dxa"/>
            <w:gridSpan w:val="3"/>
            <w:noWrap/>
            <w:vAlign w:val="center"/>
          </w:tcPr>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基本建设投资：</w:t>
            </w:r>
            <w:r>
              <w:rPr>
                <w:rFonts w:hint="eastAsia" w:ascii="仿宋_GB2312" w:eastAsia="仿宋_GB2312" w:cs="楷体_GB2312"/>
                <w:color w:val="000000"/>
                <w:sz w:val="24"/>
              </w:rPr>
              <w:t>是</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公共基础设施：</w:t>
            </w:r>
            <w:r>
              <w:rPr>
                <w:rFonts w:hint="eastAsia" w:ascii="仿宋_GB2312" w:eastAsia="仿宋_GB2312" w:cs="楷体_GB2312"/>
                <w:color w:val="000000"/>
                <w:sz w:val="24"/>
              </w:rPr>
              <w:t>不适用</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保障性住房：</w:t>
            </w:r>
            <w:r>
              <w:rPr>
                <w:rFonts w:hint="eastAsia" w:ascii="仿宋_GB2312" w:eastAsia="仿宋_GB2312" w:cs="楷体_GB2312"/>
                <w:color w:val="000000"/>
                <w:sz w:val="24"/>
              </w:rPr>
              <w:t>不适用</w:t>
            </w:r>
          </w:p>
          <w:p>
            <w:pPr>
              <w:spacing w:line="320" w:lineRule="exact"/>
              <w:jc w:val="left"/>
              <w:rPr>
                <w:rFonts w:ascii="仿宋" w:hAnsi="仿宋" w:eastAsia="仿宋" w:cs="楷体_GB2312"/>
                <w:color w:val="000000"/>
                <w:sz w:val="24"/>
              </w:rPr>
            </w:pPr>
            <w:r>
              <w:rPr>
                <w:rFonts w:hint="eastAsia" w:ascii="仿宋" w:hAnsi="仿宋" w:eastAsia="仿宋" w:cs="楷体_GB2312"/>
                <w:color w:val="000000"/>
                <w:sz w:val="24"/>
              </w:rPr>
              <w:t>政府储备物资：</w:t>
            </w:r>
            <w:r>
              <w:rPr>
                <w:rFonts w:hint="eastAsia" w:ascii="仿宋_GB2312" w:eastAsia="仿宋_GB2312" w:cs="楷体_GB2312"/>
                <w:color w:val="000000"/>
                <w:sz w:val="24"/>
              </w:rPr>
              <w:t>不适用</w:t>
            </w:r>
          </w:p>
          <w:p>
            <w:pPr>
              <w:spacing w:line="320" w:lineRule="exact"/>
              <w:jc w:val="left"/>
              <w:rPr>
                <w:rFonts w:eastAsia="仿宋_GB2312" w:cs="仿宋_GB2312"/>
                <w:color w:val="000000"/>
                <w:spacing w:val="-12"/>
                <w:sz w:val="24"/>
              </w:rPr>
            </w:pPr>
            <w:r>
              <w:rPr>
                <w:rFonts w:hint="eastAsia" w:ascii="仿宋" w:hAnsi="仿宋" w:eastAsia="仿宋" w:cs="楷体_GB2312"/>
                <w:color w:val="000000"/>
                <w:sz w:val="24"/>
              </w:rPr>
              <w:t>国有文物文化资产：</w:t>
            </w:r>
            <w:r>
              <w:rPr>
                <w:rFonts w:hint="eastAsia" w:ascii="仿宋_GB2312" w:eastAsia="仿宋_GB2312" w:cs="楷体_GB2312"/>
                <w:color w:val="000000"/>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4" w:hRule="atLeast"/>
          <w:jc w:val="center"/>
        </w:trPr>
        <w:tc>
          <w:tcPr>
            <w:tcW w:w="3148"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单位是否开展财务报告数据的分析与应用</w:t>
            </w:r>
          </w:p>
        </w:tc>
        <w:tc>
          <w:tcPr>
            <w:tcW w:w="5361" w:type="dxa"/>
            <w:gridSpan w:val="3"/>
            <w:noWrap/>
            <w:vAlign w:val="center"/>
          </w:tcPr>
          <w:p>
            <w:pPr>
              <w:spacing w:line="320" w:lineRule="exact"/>
              <w:jc w:val="center"/>
              <w:rPr>
                <w:rFonts w:eastAsia="仿宋_GB2312" w:cs="仿宋_GB2312"/>
                <w:color w:val="000000"/>
                <w:spacing w:val="-12"/>
                <w:sz w:val="24"/>
              </w:rPr>
            </w:pPr>
            <w:r>
              <w:rPr>
                <w:rFonts w:hint="eastAsia" w:ascii="仿宋_GB2312" w:eastAsia="仿宋_GB2312" w:cs="楷体_GB2312"/>
                <w:color w:val="000000"/>
                <w:sz w:val="24"/>
              </w:rPr>
              <w:t>是</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说明：单位应当按照国家统一的会计准则制度进行账务处理，编制会计报表，并建立健全会计核算过程和财务报告编制环节的内部控制制度。</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2022年度单位是否按照政府会计准则制度要求开展预算会计核算和财务会计核算根据单位年度预算会计核算和财务会计核算情况勾选。</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编制政府部门财务报告时，部门及所属单位之间发生的经济业务或事项是否在抵销前进行确认根据2022年度政府部门财务报告编制过程中的内部抵销情况勾选。若单位不存在内部抵销事项，则勾选“不适用”。</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单位是否将基本建设投资、公共基础设施、保障性住房、政府储备物资、国有文物文化资产等纳入统一账簿进行会计核算根据单位基本建设投资、公共基础设施、保障性住房、政府储备物资、国有文物文化资产核算实际情况勾选。若单位不存在相关业务，则勾选“不适用”。</w:t>
      </w:r>
    </w:p>
    <w:p>
      <w:pPr>
        <w:pStyle w:val="28"/>
        <w:tabs>
          <w:tab w:val="left" w:pos="851"/>
        </w:tabs>
        <w:spacing w:line="360" w:lineRule="auto"/>
        <w:ind w:firstLine="0" w:firstLineChars="0"/>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三、业务层面内部控制情况</w:t>
      </w:r>
    </w:p>
    <w:p>
      <w:pPr>
        <w:widowControl/>
        <w:tabs>
          <w:tab w:val="left" w:pos="851"/>
        </w:tabs>
        <w:spacing w:line="360" w:lineRule="auto"/>
        <w:rPr>
          <w:rFonts w:eastAsia="楷体_GB2312" w:cs="楷体_GB2312"/>
          <w:color w:val="000000"/>
          <w:sz w:val="24"/>
        </w:rPr>
      </w:pPr>
      <w:r>
        <w:rPr>
          <w:rFonts w:hint="eastAsia" w:eastAsia="仿宋_GB2312" w:cs="仿宋_GB2312"/>
          <w:color w:val="000000"/>
          <w:spacing w:val="-12"/>
          <w:sz w:val="28"/>
          <w:szCs w:val="28"/>
        </w:rPr>
        <w:t>（一）内部控制适用的六大经济业务领域</w:t>
      </w:r>
    </w:p>
    <w:tbl>
      <w:tblPr>
        <w:tblStyle w:val="11"/>
        <w:tblW w:w="8647"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410"/>
        <w:gridCol w:w="184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w:t>
            </w:r>
          </w:p>
        </w:tc>
        <w:tc>
          <w:tcPr>
            <w:tcW w:w="2410"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收支业务</w:t>
            </w:r>
          </w:p>
        </w:tc>
        <w:tc>
          <w:tcPr>
            <w:tcW w:w="2551"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w:t>
            </w:r>
          </w:p>
        </w:tc>
        <w:tc>
          <w:tcPr>
            <w:tcW w:w="2410"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资产管理</w:t>
            </w:r>
          </w:p>
        </w:tc>
        <w:tc>
          <w:tcPr>
            <w:tcW w:w="2551"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w:t>
            </w:r>
          </w:p>
        </w:tc>
        <w:tc>
          <w:tcPr>
            <w:tcW w:w="2410"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合同管理</w:t>
            </w:r>
          </w:p>
        </w:tc>
        <w:tc>
          <w:tcPr>
            <w:tcW w:w="2551"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内部控制适用的其他业务领域</w:t>
            </w:r>
          </w:p>
        </w:tc>
        <w:tc>
          <w:tcPr>
            <w:tcW w:w="6804" w:type="dxa"/>
            <w:gridSpan w:val="3"/>
            <w:vAlign w:val="center"/>
          </w:tcPr>
          <w:p>
            <w:pPr>
              <w:spacing w:line="320" w:lineRule="exact"/>
              <w:rPr>
                <w:rFonts w:eastAsia="楷体_GB2312" w:cs="楷体_GB2312"/>
                <w:color w:val="000000"/>
                <w:sz w:val="24"/>
              </w:rPr>
            </w:pP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说明：如单位适用某项经济业务，但2022年度该业务实际未发生，也应勾选“适用”。对于不适用的业务领域，应在佐证材料中加以说明或提供支撑材料，如加盖单位公章的说明材料等。</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政府采购是指各级国家机关、事业单位和团体组织，使用财政性资金采购依法制定的集中采购目录以内的或者采购限额标准以上的货物、工程和服务的行为。单位使用财政性资金采购的集中采购目录以外和采购限额标准以下的货物、工程和服务，即自行采购业务也应当比照政府采购业务控制程序执行。</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建设项目是指单位自行或委托其他单位进行的建造、安装活动。建造活动主要是指各种建筑的新建、改建、扩建及修缮活动，安装主要是指设备的安装工程。</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若内部控制建设覆盖六大业务领域以外的其他业务，可填写具体业务名称。</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（二）职责分离情况</w:t>
      </w:r>
    </w:p>
    <w:tbl>
      <w:tblPr>
        <w:tblStyle w:val="1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38"/>
        <w:gridCol w:w="1531"/>
        <w:gridCol w:w="1593"/>
        <w:gridCol w:w="1482"/>
        <w:gridCol w:w="157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7" w:hRule="atLeast"/>
          <w:jc w:val="center"/>
        </w:trPr>
        <w:tc>
          <w:tcPr>
            <w:tcW w:w="1438" w:type="dxa"/>
            <w:vAlign w:val="center"/>
          </w:tcPr>
          <w:p>
            <w:pPr>
              <w:widowControl/>
              <w:jc w:val="center"/>
              <w:rPr>
                <w:b/>
                <w:color w:val="000000"/>
                <w:sz w:val="24"/>
              </w:rPr>
            </w:pPr>
            <w:r>
              <w:rPr>
                <w:rFonts w:hint="eastAsia"/>
                <w:b/>
                <w:color w:val="000000"/>
                <w:sz w:val="24"/>
              </w:rPr>
              <w:t>预算业务</w:t>
            </w:r>
          </w:p>
        </w:tc>
        <w:tc>
          <w:tcPr>
            <w:tcW w:w="1531" w:type="dxa"/>
            <w:vAlign w:val="center"/>
          </w:tcPr>
          <w:p>
            <w:pPr>
              <w:widowControl/>
              <w:jc w:val="center"/>
              <w:rPr>
                <w:b/>
                <w:color w:val="000000"/>
                <w:sz w:val="24"/>
              </w:rPr>
            </w:pPr>
            <w:r>
              <w:rPr>
                <w:rFonts w:hint="eastAsia"/>
                <w:b/>
                <w:color w:val="000000"/>
                <w:sz w:val="24"/>
              </w:rPr>
              <w:t>收支业务</w:t>
            </w:r>
          </w:p>
        </w:tc>
        <w:tc>
          <w:tcPr>
            <w:tcW w:w="1593" w:type="dxa"/>
            <w:vAlign w:val="center"/>
          </w:tcPr>
          <w:p>
            <w:pPr>
              <w:widowControl/>
              <w:jc w:val="center"/>
              <w:rPr>
                <w:b/>
                <w:color w:val="000000"/>
                <w:sz w:val="24"/>
              </w:rPr>
            </w:pPr>
            <w:r>
              <w:rPr>
                <w:rFonts w:hint="eastAsia"/>
                <w:b/>
                <w:color w:val="000000"/>
                <w:sz w:val="24"/>
              </w:rPr>
              <w:t>政府采购业务</w:t>
            </w:r>
          </w:p>
        </w:tc>
        <w:tc>
          <w:tcPr>
            <w:tcW w:w="1482" w:type="dxa"/>
            <w:vAlign w:val="center"/>
          </w:tcPr>
          <w:p>
            <w:pPr>
              <w:widowControl/>
              <w:jc w:val="center"/>
              <w:rPr>
                <w:b/>
                <w:color w:val="000000"/>
                <w:sz w:val="24"/>
              </w:rPr>
            </w:pPr>
            <w:r>
              <w:rPr>
                <w:rFonts w:hint="eastAsia"/>
                <w:b/>
                <w:color w:val="000000"/>
                <w:sz w:val="24"/>
              </w:rPr>
              <w:t>资产管理</w:t>
            </w:r>
          </w:p>
        </w:tc>
        <w:tc>
          <w:tcPr>
            <w:tcW w:w="1576" w:type="dxa"/>
            <w:vAlign w:val="center"/>
          </w:tcPr>
          <w:p>
            <w:pPr>
              <w:widowControl/>
              <w:jc w:val="center"/>
              <w:rPr>
                <w:b/>
                <w:color w:val="000000"/>
                <w:sz w:val="24"/>
              </w:rPr>
            </w:pPr>
            <w:r>
              <w:rPr>
                <w:rFonts w:hint="eastAsia"/>
                <w:b/>
                <w:color w:val="000000"/>
                <w:sz w:val="24"/>
              </w:rPr>
              <w:t>建设项目管理</w:t>
            </w:r>
          </w:p>
        </w:tc>
        <w:tc>
          <w:tcPr>
            <w:tcW w:w="1485" w:type="dxa"/>
            <w:vAlign w:val="center"/>
          </w:tcPr>
          <w:p>
            <w:pPr>
              <w:widowControl/>
              <w:jc w:val="center"/>
              <w:rPr>
                <w:b/>
                <w:color w:val="000000"/>
                <w:sz w:val="24"/>
              </w:rPr>
            </w:pPr>
            <w:r>
              <w:rPr>
                <w:rFonts w:hint="eastAsia"/>
                <w:b/>
                <w:color w:val="000000"/>
                <w:sz w:val="24"/>
              </w:rPr>
              <w:t>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center"/>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是否制定岗位职责说明书</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03"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预算编制与审核分离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收款与会计核算分离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采购需求提出与审核分离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货币资金保管、稽核与账目登记分离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项目立项申请与审核分离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合同拟订与审核分离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3"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预算审批与执行分离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支出申请与审批分离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采购方式确定与审核分离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资产财务账与实物账分离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概预算编制与审核分离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合同订立与合同章管理分离</w:t>
            </w:r>
          </w:p>
          <w:p>
            <w:pPr>
              <w:widowControl/>
              <w:rPr>
                <w:rFonts w:ascii="仿宋" w:hAnsi="仿宋" w:eastAsia="仿宋" w:cs="仿宋"/>
                <w:color w:val="000000"/>
                <w:spacing w:val="-12"/>
                <w:sz w:val="24"/>
              </w:rPr>
            </w:pPr>
            <w:r>
              <w:rPr>
                <w:rFonts w:hint="eastAsia" w:ascii="仿宋" w:hAnsi="仿宋" w:eastAsia="仿宋" w:cs="仿宋"/>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8"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预算执行与分析分离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支出审批与付款分离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采购执行与验收分离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资产保管与清查分离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项目实施与价款支付分离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合同订立与登记台账分离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3" w:hRule="atLeast"/>
          <w:jc w:val="center"/>
        </w:trPr>
        <w:tc>
          <w:tcPr>
            <w:tcW w:w="1438"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决算编制与审核分离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31"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业务经办与会计核算分离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593"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采购验收与登记分离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2"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对外投资立项申报与审核分离</w:t>
            </w:r>
          </w:p>
          <w:p>
            <w:pPr>
              <w:widowControl/>
              <w:jc w:val="left"/>
              <w:rPr>
                <w:rFonts w:ascii="仿宋" w:hAnsi="仿宋" w:eastAsia="仿宋" w:cs="仿宋"/>
                <w:color w:val="000000"/>
                <w:sz w:val="24"/>
              </w:rPr>
            </w:pPr>
            <w:r>
              <w:rPr>
                <w:rFonts w:hint="eastAsia" w:ascii="仿宋" w:hAnsi="仿宋" w:eastAsia="仿宋" w:cs="仿宋"/>
                <w:color w:val="000000"/>
                <w:sz w:val="24"/>
              </w:rPr>
              <w:t>不适用</w:t>
            </w:r>
          </w:p>
        </w:tc>
        <w:tc>
          <w:tcPr>
            <w:tcW w:w="1576"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竣工决算与审计分离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c>
          <w:tcPr>
            <w:tcW w:w="1485" w:type="dxa"/>
            <w:vAlign w:val="center"/>
          </w:tcPr>
          <w:p>
            <w:pPr>
              <w:widowControl/>
              <w:rPr>
                <w:rFonts w:ascii="仿宋" w:hAnsi="仿宋" w:eastAsia="仿宋" w:cs="仿宋"/>
                <w:color w:val="000000"/>
                <w:spacing w:val="-12"/>
                <w:sz w:val="24"/>
              </w:rPr>
            </w:pPr>
            <w:r>
              <w:rPr>
                <w:rFonts w:hint="eastAsia" w:ascii="仿宋" w:hAnsi="仿宋" w:eastAsia="仿宋" w:cs="仿宋"/>
                <w:color w:val="000000"/>
                <w:spacing w:val="-12"/>
                <w:sz w:val="24"/>
              </w:rPr>
              <w:t>合同执行与监督分离</w:t>
            </w:r>
          </w:p>
          <w:p>
            <w:pPr>
              <w:widowControl/>
              <w:jc w:val="left"/>
              <w:rPr>
                <w:rFonts w:ascii="仿宋" w:hAnsi="仿宋" w:eastAsia="仿宋" w:cs="仿宋"/>
                <w:color w:val="000000"/>
                <w:sz w:val="24"/>
              </w:rPr>
            </w:pPr>
            <w:r>
              <w:rPr>
                <w:rFonts w:hint="eastAsia" w:ascii="仿宋" w:hAnsi="仿宋" w:eastAsia="仿宋" w:cs="仿宋"/>
                <w:color w:val="000000"/>
                <w:sz w:val="24"/>
              </w:rPr>
              <w:t>是</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职责分离是指对于各业务环节中的不相容职责，不得由同一人员承担。需上传岗位职责说明书等作为佐证材料。使用网络版填报的单位，若以前年度已经上传过相应佐证材料，则无需再次上传；若以前年度未上传或第一年使用网络版填报，则需上传相应佐证材料。使用单机版填报的单位，需上传相应佐证材料。</w:t>
      </w:r>
    </w:p>
    <w:p>
      <w:pPr>
        <w:widowControl/>
        <w:tabs>
          <w:tab w:val="left" w:pos="851"/>
        </w:tabs>
        <w:spacing w:line="360" w:lineRule="auto"/>
        <w:rPr>
          <w:rFonts w:ascii="楷体" w:hAnsi="楷体" w:eastAsia="楷体" w:cs="楷体"/>
          <w:sz w:val="28"/>
          <w:szCs w:val="28"/>
        </w:rPr>
      </w:pPr>
      <w:r>
        <w:rPr>
          <w:rFonts w:hint="eastAsia" w:eastAsia="仿宋_GB2312" w:cs="仿宋_GB2312"/>
          <w:color w:val="000000"/>
          <w:spacing w:val="-12"/>
          <w:sz w:val="28"/>
          <w:szCs w:val="28"/>
        </w:rPr>
        <w:t>（三）关键岗位轮岗情况</w:t>
      </w:r>
    </w:p>
    <w:tbl>
      <w:tblPr>
        <w:tblStyle w:val="11"/>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77"/>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轮岗周期内所有关键岗位已轮岗或开展专项审计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收支业务</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轮岗周期内所有关键岗位已轮岗或开展专项审计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轮岗周期内所有关键岗位已轮岗或开展专项审计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5"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资产管理</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轮岗周期内所有关键岗位已轮岗或开展专项审计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轮岗周期内所有关键岗位已轮岗或开展专项审计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atLeast"/>
          <w:jc w:val="center"/>
        </w:trPr>
        <w:tc>
          <w:tcPr>
            <w:tcW w:w="2077"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合同管理</w:t>
            </w:r>
          </w:p>
        </w:tc>
        <w:tc>
          <w:tcPr>
            <w:tcW w:w="6711" w:type="dxa"/>
            <w:vAlign w:val="center"/>
          </w:tcPr>
          <w:p>
            <w:pPr>
              <w:spacing w:line="320" w:lineRule="exact"/>
              <w:jc w:val="left"/>
              <w:rPr>
                <w:rFonts w:ascii="仿宋" w:hAnsi="仿宋" w:eastAsia="仿宋"/>
                <w:color w:val="000000"/>
                <w:kern w:val="0"/>
                <w:sz w:val="24"/>
              </w:rPr>
            </w:pPr>
            <w:r>
              <w:rPr>
                <w:rFonts w:hint="eastAsia" w:ascii="仿宋_GB2312" w:eastAsia="仿宋_GB2312" w:cs="楷体_GB2312"/>
                <w:color w:val="000000"/>
                <w:sz w:val="24"/>
              </w:rPr>
              <w:t>轮岗周期内所有关键岗位已轮岗或开展专项审计</w:t>
            </w:r>
          </w:p>
        </w:tc>
      </w:tr>
    </w:tbl>
    <w:p>
      <w:pPr>
        <w:widowControl/>
        <w:tabs>
          <w:tab w:val="left" w:pos="851"/>
        </w:tabs>
        <w:spacing w:line="360" w:lineRule="auto"/>
        <w:rPr>
          <w:rFonts w:eastAsia="楷体_GB2312" w:cs="楷体_GB2312"/>
          <w:color w:val="000000"/>
          <w:sz w:val="24"/>
        </w:rPr>
      </w:pPr>
      <w:r>
        <w:rPr>
          <w:rFonts w:hint="eastAsia" w:eastAsia="楷体_GB2312" w:cs="楷体_GB2312"/>
          <w:color w:val="000000"/>
          <w:sz w:val="24"/>
        </w:rPr>
        <w:t xml:space="preserve">    说明：单位应当按照有关规定对关键岗位人员实行轮岗交流，明确轮岗范围、轮岗周期与轮岗方式，不具备轮岗条件的可以采用专项审计等替代措施。需上传定期轮岗（或专项审计）轮岗记录、专项审计报告等文件作为佐证材料。</w:t>
      </w:r>
    </w:p>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（四）2022年度业务层面风险评估覆盖情况</w:t>
      </w:r>
    </w:p>
    <w:tbl>
      <w:tblPr>
        <w:tblStyle w:val="11"/>
        <w:tblW w:w="8647"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276"/>
        <w:gridCol w:w="283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261"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预算业务是否开展风险评估</w:t>
            </w:r>
          </w:p>
        </w:tc>
        <w:tc>
          <w:tcPr>
            <w:tcW w:w="1276"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c>
          <w:tcPr>
            <w:tcW w:w="2835" w:type="dxa"/>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收支业务是否开展风险评估</w:t>
            </w:r>
          </w:p>
        </w:tc>
        <w:tc>
          <w:tcPr>
            <w:tcW w:w="1275"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1"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政府采购业务是否开展风险评估</w:t>
            </w:r>
          </w:p>
        </w:tc>
        <w:tc>
          <w:tcPr>
            <w:tcW w:w="1276"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c>
          <w:tcPr>
            <w:tcW w:w="2835" w:type="dxa"/>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资产管理是否开展风险评估</w:t>
            </w:r>
          </w:p>
        </w:tc>
        <w:tc>
          <w:tcPr>
            <w:tcW w:w="1275"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261"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建设项目管理是否开展风险评估</w:t>
            </w:r>
          </w:p>
        </w:tc>
        <w:tc>
          <w:tcPr>
            <w:tcW w:w="1276"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c>
          <w:tcPr>
            <w:tcW w:w="2835" w:type="dxa"/>
            <w:vAlign w:val="center"/>
          </w:tcPr>
          <w:p>
            <w:pPr>
              <w:spacing w:line="320" w:lineRule="exact"/>
              <w:rPr>
                <w:rFonts w:eastAsia="仿宋_GB2312" w:cs="仿宋_GB2312"/>
                <w:color w:val="000000"/>
                <w:spacing w:val="-12"/>
                <w:sz w:val="24"/>
              </w:rPr>
            </w:pPr>
            <w:r>
              <w:rPr>
                <w:rFonts w:hint="eastAsia" w:eastAsia="仿宋_GB2312" w:cs="仿宋_GB2312"/>
                <w:color w:val="000000"/>
                <w:spacing w:val="-12"/>
                <w:sz w:val="24"/>
              </w:rPr>
              <w:t>合同管理是否开展风险评估</w:t>
            </w:r>
          </w:p>
        </w:tc>
        <w:tc>
          <w:tcPr>
            <w:tcW w:w="1275" w:type="dxa"/>
            <w:vAlign w:val="center"/>
          </w:tcPr>
          <w:p>
            <w:pPr>
              <w:spacing w:line="320" w:lineRule="exact"/>
              <w:rPr>
                <w:rFonts w:eastAsia="楷体_GB2312" w:cs="楷体_GB2312"/>
                <w:color w:val="000000"/>
                <w:sz w:val="24"/>
              </w:rPr>
            </w:pPr>
            <w:r>
              <w:rPr>
                <w:rFonts w:hint="eastAsia" w:ascii="仿宋_GB2312" w:eastAsia="仿宋_GB2312" w:cs="楷体_GB2312"/>
                <w:color w:val="000000"/>
                <w:sz w:val="24"/>
              </w:rPr>
              <w:t>是</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业务层面内部控制风险评估覆盖情况根据2022年度单位组织开展业务层面风险评估工作以及出具的风险评估报告或其他文件，逐项勾选已进行内部控制风险评估的方面。需上传风险评估报告等材料作为佐证材料。</w:t>
      </w:r>
    </w:p>
    <w:p>
      <w:pPr>
        <w:widowControl/>
        <w:tabs>
          <w:tab w:val="left" w:pos="851"/>
        </w:tabs>
        <w:spacing w:line="360" w:lineRule="auto"/>
        <w:rPr>
          <w:rFonts w:eastAsia="仿宋_GB2312" w:cs="仿宋_GB2312"/>
          <w:color w:val="000000"/>
          <w:spacing w:val="-12"/>
          <w:sz w:val="28"/>
          <w:szCs w:val="28"/>
          <w:highlight w:val="yellow"/>
        </w:rPr>
      </w:pPr>
      <w:r>
        <w:rPr>
          <w:rFonts w:hint="eastAsia" w:eastAsia="仿宋_GB2312" w:cs="仿宋_GB2312"/>
          <w:color w:val="000000"/>
          <w:spacing w:val="-12"/>
          <w:sz w:val="28"/>
          <w:szCs w:val="28"/>
        </w:rPr>
        <w:t>（五）建立健全内部控制制度情况</w:t>
      </w:r>
    </w:p>
    <w:tbl>
      <w:tblPr>
        <w:tblStyle w:val="11"/>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9"/>
        <w:gridCol w:w="925"/>
        <w:gridCol w:w="1530"/>
        <w:gridCol w:w="1227"/>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739"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业务类型</w:t>
            </w: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环节</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（类别）</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是否已建立制度和流程图</w:t>
            </w:r>
          </w:p>
        </w:tc>
        <w:tc>
          <w:tcPr>
            <w:tcW w:w="1227"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2022年度是否更新</w:t>
            </w: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内控制度覆盖关键管控点情况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739"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预算业务</w:t>
            </w: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预算编制与审核</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27"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更新流程图：否</w:t>
            </w:r>
          </w:p>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单位预算项目库入库标准与动态管理;单位预算编制主体、程序及标准;单位预算分解及下达;预决算公开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atLeast"/>
          <w:jc w:val="center"/>
        </w:trPr>
        <w:tc>
          <w:tcPr>
            <w:tcW w:w="739" w:type="dxa"/>
            <w:vMerge w:val="continue"/>
            <w:noWrap/>
            <w:vAlign w:val="center"/>
          </w:tcPr>
          <w:p>
            <w:pPr>
              <w:spacing w:line="320" w:lineRule="exact"/>
              <w:jc w:val="center"/>
              <w:rPr>
                <w:rFonts w:eastAsia="仿宋_GB2312" w:cs="仿宋_GB2312"/>
                <w:color w:val="000000"/>
                <w:spacing w:val="-12"/>
                <w:sz w:val="24"/>
              </w:rPr>
            </w:pP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预算执行与调整</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27" w:type="dxa"/>
            <w:vMerge w:val="continue"/>
            <w:vAlign w:val="center"/>
          </w:tcPr>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单位预算执行分析次数、内容及结果应用;单位预算调整主体、程序及标准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jc w:val="center"/>
        </w:trPr>
        <w:tc>
          <w:tcPr>
            <w:tcW w:w="739" w:type="dxa"/>
            <w:vMerge w:val="continue"/>
            <w:noWrap/>
            <w:vAlign w:val="center"/>
          </w:tcPr>
          <w:p>
            <w:pPr>
              <w:spacing w:line="320" w:lineRule="exact"/>
              <w:jc w:val="center"/>
              <w:rPr>
                <w:rFonts w:eastAsia="仿宋_GB2312" w:cs="仿宋_GB2312"/>
                <w:color w:val="000000"/>
                <w:spacing w:val="-12"/>
                <w:sz w:val="24"/>
              </w:rPr>
            </w:pP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决算管理</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27" w:type="dxa"/>
            <w:vMerge w:val="continue"/>
            <w:vAlign w:val="center"/>
          </w:tcPr>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单位决算分析报告内容与应用机制;单位决算编制主体、程序及标准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0" w:hRule="atLeast"/>
          <w:jc w:val="center"/>
        </w:trPr>
        <w:tc>
          <w:tcPr>
            <w:tcW w:w="739" w:type="dxa"/>
            <w:vMerge w:val="continue"/>
            <w:noWrap/>
            <w:vAlign w:val="center"/>
          </w:tcPr>
          <w:p>
            <w:pPr>
              <w:spacing w:line="320" w:lineRule="exact"/>
              <w:jc w:val="center"/>
              <w:rPr>
                <w:rFonts w:eastAsia="仿宋_GB2312" w:cs="仿宋_GB2312"/>
                <w:color w:val="000000"/>
                <w:spacing w:val="-12"/>
                <w:sz w:val="24"/>
              </w:rPr>
            </w:pPr>
          </w:p>
        </w:tc>
        <w:tc>
          <w:tcPr>
            <w:tcW w:w="92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绩效管理</w:t>
            </w:r>
          </w:p>
        </w:tc>
        <w:tc>
          <w:tcPr>
            <w:tcW w:w="15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27" w:type="dxa"/>
            <w:vMerge w:val="continue"/>
            <w:vAlign w:val="center"/>
          </w:tcPr>
          <w:p>
            <w:pPr>
              <w:spacing w:line="320" w:lineRule="exact"/>
              <w:jc w:val="center"/>
              <w:rPr>
                <w:rFonts w:eastAsia="仿宋_GB2312" w:cs="仿宋_GB2312"/>
                <w:color w:val="000000"/>
                <w:spacing w:val="-12"/>
                <w:sz w:val="24"/>
              </w:rPr>
            </w:pPr>
          </w:p>
        </w:tc>
        <w:tc>
          <w:tcPr>
            <w:tcW w:w="421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单位新增重大预算项目事前评估程序;单位整体绩效目标设定与审核;单位项目绩效目标设定与审核;单位项目绩效运行监控;单位项目绩效评价主体、程序及结果应用;单位整体绩效评价主体、程序及结果应用</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是否已建立制度和流程图根据单位内部控制制度和流程图建立情况勾选。截至2022年底单位已经建立对应业务环节（类别）的制度或流程图，勾选“是”；若单位尚未建立对应业务环节（类别）的制度或流程图，勾选“否”。</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2022年度是否更新根据单位2022年度内部控制制度和流程图更新情况勾选。若单位在以前年度已经建立对应业务的制度或流程图且2022年度进行过更新，或者单位2022年度首次建立对应制度或流程图，勾选“是”，否则勾选“否”。</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使用网络版填报的单位，若以前年度已经上传过相应业务的内部控制制度和流程图，则只需上传进行过更新或首次建立的制度或流程图作为佐证材料；若以前年度未上传过相应业务的内部控制制度和流程图，或第一年使用网络版填报，则需上传相应业务的内部控制制度和流程图作为佐证材料。使用单机版填报的单位，需上传相应业务的内部控制制度和流程图作为佐证材料。</w:t>
      </w:r>
    </w:p>
    <w:p>
      <w:pPr>
        <w:pStyle w:val="28"/>
        <w:tabs>
          <w:tab w:val="left" w:pos="851"/>
        </w:tabs>
        <w:spacing w:line="360" w:lineRule="auto"/>
        <w:ind w:firstLine="480"/>
        <w:rPr>
          <w:rFonts w:ascii="楷体" w:hAnsi="楷体" w:eastAsia="楷体" w:cs="楷体"/>
          <w:sz w:val="24"/>
        </w:rPr>
        <w:sectPr>
          <w:footerReference r:id="rId3" w:type="default"/>
          <w:pgSz w:w="11906" w:h="16838"/>
          <w:pgMar w:top="1440" w:right="1800" w:bottom="1440" w:left="1800" w:header="851" w:footer="499" w:gutter="0"/>
          <w:cols w:space="720" w:num="1"/>
          <w:docGrid w:type="lines" w:linePitch="312" w:charSpace="0"/>
        </w:sectPr>
      </w:pPr>
    </w:p>
    <w:tbl>
      <w:tblPr>
        <w:tblStyle w:val="11"/>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5"/>
        <w:gridCol w:w="930"/>
        <w:gridCol w:w="1549"/>
        <w:gridCol w:w="1244"/>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atLeast"/>
          <w:tblHeader/>
          <w:jc w:val="center"/>
        </w:trPr>
        <w:tc>
          <w:tcPr>
            <w:tcW w:w="695" w:type="dxa"/>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业务类型</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环节</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（类别）</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是否已建立制度和流程图</w:t>
            </w:r>
          </w:p>
        </w:tc>
        <w:tc>
          <w:tcPr>
            <w:tcW w:w="1244"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2022年度是否更新</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内控制度覆盖关键管控点情况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0"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收支业务</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收入管理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更新制度：否</w:t>
            </w:r>
          </w:p>
          <w:p>
            <w:pPr>
              <w:autoSpaceDE w:val="0"/>
              <w:autoSpaceDN w:val="0"/>
              <w:adjustRightInd w:val="0"/>
              <w:jc w:val="center"/>
              <w:rPr>
                <w:rFonts w:eastAsia="仿宋_GB2312" w:cs="仿宋_GB2312"/>
                <w:color w:val="000000"/>
                <w:spacing w:val="-12"/>
                <w:sz w:val="24"/>
              </w:rPr>
            </w:pPr>
            <w:r>
              <w:rPr>
                <w:rFonts w:hint="eastAsia" w:eastAsia="仿宋_GB2312" w:cs="仿宋_GB2312"/>
                <w:color w:val="000000"/>
                <w:spacing w:val="-12"/>
                <w:sz w:val="24"/>
              </w:rPr>
              <w:t>更新流程图：否</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单位财政收入种类与收缴管理;单位非财政收入种类与收缴管理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票据管理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单位财政票据申领、使用保管及核销;单位发票申领、使用保管及核销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支出管理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单位支出范围与标准;单位各类支出审批权限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公务卡管理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单位公务卡结算范围及报销程序;单位公务卡办卡及销卡管理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7"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政府采购业务</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 xml:space="preserve">采购需求管理 </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更新制度：否</w:t>
            </w:r>
          </w:p>
          <w:p>
            <w:pPr>
              <w:autoSpaceDE w:val="0"/>
              <w:autoSpaceDN w:val="0"/>
              <w:adjustRightInd w:val="0"/>
              <w:jc w:val="center"/>
              <w:rPr>
                <w:rFonts w:eastAsia="仿宋_GB2312" w:cs="仿宋_GB2312"/>
                <w:color w:val="000000"/>
                <w:spacing w:val="-12"/>
                <w:sz w:val="24"/>
              </w:rPr>
            </w:pPr>
            <w:r>
              <w:rPr>
                <w:rFonts w:hint="eastAsia" w:eastAsia="仿宋_GB2312" w:cs="仿宋_GB2312"/>
                <w:color w:val="000000"/>
                <w:spacing w:val="-12"/>
                <w:sz w:val="24"/>
              </w:rPr>
              <w:t>更新流程图：否</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采购需求的内容、合规性、合理性;采购需求调查的主体、范围、内容、形式、存档;采购实施计划（包括采购项目预算、采购组织形式、采购方式等）的内容、存档;采购需求审查的范围、内容、成员、存档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2"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变更采购方式</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申请变更采购方式的主体、程序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采购进口产品</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履约验收</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履约验收的主体、时间、方式、程序、内容、验收标准等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信息公开</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信息公开的主体、范围、时间、内容、程序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资产管理</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货币资金管理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更新流程图：否</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单位银行账户类型，开立、变更、撤销程序及年检;单位财务印章、银行密钥管理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固定资产管理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单位固定资产类别与配置标准;单位固定资产清查范围及程序;单位资产处置标准与审批权限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无形资产管理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单位无形资产类别、登记确认、价值评估及处置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对外投资管理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建设项目管理</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项目立项、设计与概预算</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restart"/>
            <w:vAlign w:val="center"/>
          </w:tcPr>
          <w:p>
            <w:pPr>
              <w:autoSpaceDE w:val="0"/>
              <w:autoSpaceDN w:val="0"/>
              <w:adjustRightInd w:val="0"/>
              <w:jc w:val="center"/>
              <w:rPr>
                <w:rFonts w:eastAsia="仿宋_GB2312" w:cs="仿宋_GB2312"/>
                <w:color w:val="000000"/>
                <w:spacing w:val="-12"/>
                <w:sz w:val="24"/>
              </w:rPr>
            </w:pPr>
            <w:r>
              <w:rPr>
                <w:rFonts w:hint="eastAsia" w:eastAsia="仿宋_GB2312" w:cs="仿宋_GB2312"/>
                <w:color w:val="000000"/>
                <w:spacing w:val="-12"/>
                <w:sz w:val="24"/>
              </w:rPr>
              <w:t>更新制度：否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更新流程图：否</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单位项目投资评审、立项依据与审批程序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5"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项目采购管理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单位项目采购范围、方式及程序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1"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项目施工、变更与资金支付</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单位项目分包控制;单位项目变更审批权限及程序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9"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项目验收管理与绩效评价</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单位项目验收主体、内容及程序;单位项目绩效评价形式与内容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8" w:hRule="atLeast"/>
          <w:jc w:val="center"/>
        </w:trPr>
        <w:tc>
          <w:tcPr>
            <w:tcW w:w="695" w:type="dxa"/>
            <w:vMerge w:val="restart"/>
            <w:noWrap/>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合同管理</w:t>
            </w: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合同拟订与审批</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restart"/>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更新制度：否</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更新流程图：否</w:t>
            </w: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单位合同审核主体、内容及程序;单位法务或外聘法律顾问介入条件与环节;单位合同章种类、使用权限及使用范围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合同履行与监督</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单位合同台账设置及管理要求;单位合同执行监督机制;单位合同变更、转让或解除机制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695" w:type="dxa"/>
            <w:vMerge w:val="continue"/>
            <w:noWrap/>
            <w:vAlign w:val="center"/>
          </w:tcPr>
          <w:p>
            <w:pPr>
              <w:spacing w:line="320" w:lineRule="exact"/>
              <w:jc w:val="center"/>
              <w:rPr>
                <w:rFonts w:eastAsia="仿宋_GB2312" w:cs="仿宋_GB2312"/>
                <w:color w:val="000000"/>
                <w:spacing w:val="-12"/>
                <w:sz w:val="24"/>
              </w:rPr>
            </w:pPr>
          </w:p>
        </w:tc>
        <w:tc>
          <w:tcPr>
            <w:tcW w:w="930"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合同档案与纠纷管理</w:t>
            </w:r>
          </w:p>
        </w:tc>
        <w:tc>
          <w:tcPr>
            <w:tcW w:w="1549"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建立制度 ：是</w:t>
            </w:r>
          </w:p>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建立流程图 ：是</w:t>
            </w:r>
          </w:p>
        </w:tc>
        <w:tc>
          <w:tcPr>
            <w:tcW w:w="1244" w:type="dxa"/>
            <w:vMerge w:val="continue"/>
            <w:vAlign w:val="center"/>
          </w:tcPr>
          <w:p>
            <w:pPr>
              <w:spacing w:line="320" w:lineRule="exact"/>
              <w:jc w:val="center"/>
              <w:rPr>
                <w:rFonts w:eastAsia="仿宋_GB2312" w:cs="仿宋_GB2312"/>
                <w:color w:val="000000"/>
                <w:spacing w:val="-12"/>
                <w:sz w:val="24"/>
              </w:rPr>
            </w:pPr>
          </w:p>
        </w:tc>
        <w:tc>
          <w:tcPr>
            <w:tcW w:w="4035" w:type="dxa"/>
            <w:vAlign w:val="center"/>
          </w:tcPr>
          <w:p>
            <w:pPr>
              <w:spacing w:line="320" w:lineRule="exact"/>
              <w:jc w:val="center"/>
              <w:rPr>
                <w:rFonts w:eastAsia="仿宋_GB2312" w:cs="仿宋_GB2312"/>
                <w:color w:val="000000"/>
                <w:spacing w:val="-12"/>
                <w:sz w:val="24"/>
              </w:rPr>
            </w:pPr>
            <w:r>
              <w:rPr>
                <w:rFonts w:hint="eastAsia" w:eastAsia="仿宋_GB2312" w:cs="仿宋_GB2312"/>
                <w:color w:val="000000"/>
                <w:spacing w:val="-12"/>
                <w:sz w:val="24"/>
              </w:rPr>
              <w:t>单位合同执行归档制度;单位合同纠纷处理程序</w:t>
            </w:r>
          </w:p>
        </w:tc>
      </w:tr>
    </w:tbl>
    <w:p>
      <w:pPr>
        <w:widowControl/>
        <w:tabs>
          <w:tab w:val="left" w:pos="851"/>
        </w:tabs>
        <w:spacing w:line="360" w:lineRule="auto"/>
        <w:rPr>
          <w:rFonts w:eastAsia="仿宋_GB2312" w:cs="仿宋_GB2312"/>
          <w:color w:val="000000"/>
          <w:spacing w:val="-12"/>
          <w:sz w:val="28"/>
          <w:szCs w:val="28"/>
        </w:rPr>
      </w:pPr>
      <w:r>
        <w:rPr>
          <w:rFonts w:hint="eastAsia" w:eastAsia="仿宋_GB2312" w:cs="仿宋_GB2312"/>
          <w:color w:val="000000"/>
          <w:spacing w:val="-12"/>
          <w:sz w:val="28"/>
          <w:szCs w:val="28"/>
        </w:rPr>
        <w:t>（六）内部控制制度执行情况</w:t>
      </w:r>
    </w:p>
    <w:tbl>
      <w:tblPr>
        <w:tblStyle w:val="11"/>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43"/>
        <w:gridCol w:w="5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2843" w:type="dxa"/>
            <w:tcBorders>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事前绩效评估执行情况</w:t>
            </w:r>
          </w:p>
        </w:tc>
        <w:tc>
          <w:tcPr>
            <w:tcW w:w="5572" w:type="dxa"/>
            <w:tcBorders>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hint="eastAsia" w:eastAsia="楷体_GB2312" w:cs="楷体_GB2312"/>
                <w:color w:val="000000"/>
                <w:sz w:val="24"/>
              </w:rPr>
              <w:t>2022年度新增重大项目数量</w:t>
            </w:r>
            <w:r>
              <w:rPr>
                <w:rFonts w:hint="eastAsia" w:ascii="仿宋_GB2312" w:eastAsia="仿宋_GB2312" w:cs="楷体_GB2312"/>
                <w:color w:val="000000"/>
                <w:sz w:val="24"/>
              </w:rPr>
              <w:t>：</w:t>
            </w:r>
            <w:r>
              <w:rPr>
                <w:rFonts w:hint="eastAsia" w:ascii="仿宋_GB2312" w:eastAsia="仿宋_GB2312" w:cs="楷体_GB2312"/>
                <w:color w:val="000000"/>
                <w:sz w:val="24"/>
                <w:u w:val="single"/>
              </w:rPr>
              <w:t>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年度已开展事前绩效评估的新增重大项目数量</w:t>
            </w:r>
            <w:r>
              <w:rPr>
                <w:rFonts w:hint="eastAsia" w:ascii="仿宋_GB2312" w:eastAsia="仿宋_GB2312" w:cs="楷体_GB2312"/>
                <w:color w:val="000000"/>
                <w:sz w:val="24"/>
              </w:rPr>
              <w:t>：</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项目支出绩效目标管理情况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年度项目总数：</w:t>
            </w:r>
            <w:r>
              <w:rPr>
                <w:rFonts w:hint="eastAsia" w:ascii="仿宋_GB2312" w:eastAsia="仿宋_GB2312" w:cs="楷体_GB2312"/>
                <w:color w:val="000000"/>
                <w:sz w:val="24"/>
                <w:u w:val="single"/>
              </w:rPr>
              <w:t>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年度已开展绩效目标管理的项目数量：</w:t>
            </w:r>
            <w:r>
              <w:rPr>
                <w:rFonts w:hint="eastAsia" w:ascii="仿宋_GB2312" w:eastAsia="仿宋_GB2312" w:cs="楷体_GB2312"/>
                <w:color w:val="000000"/>
                <w:sz w:val="24"/>
                <w:u w:val="single"/>
              </w:rPr>
              <w:t>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预算绩效运行监控执行情况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年度项目总数：</w:t>
            </w:r>
            <w:r>
              <w:rPr>
                <w:rFonts w:hint="eastAsia" w:ascii="仿宋_GB2312" w:eastAsia="仿宋_GB2312" w:cs="楷体_GB2312"/>
                <w:color w:val="000000"/>
                <w:sz w:val="24"/>
                <w:u w:val="single"/>
              </w:rPr>
              <w:t>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年度已开展预算绩效运行监控的项目数量：</w:t>
            </w:r>
            <w:r>
              <w:rPr>
                <w:rFonts w:hint="eastAsia" w:ascii="仿宋_GB2312" w:eastAsia="仿宋_GB2312" w:cs="楷体_GB2312"/>
                <w:color w:val="000000"/>
                <w:sz w:val="24"/>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预算绩效自评执行情况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年度项目总数：</w:t>
            </w:r>
            <w:r>
              <w:rPr>
                <w:rFonts w:hint="eastAsia" w:ascii="仿宋_GB2312" w:eastAsia="仿宋_GB2312" w:cs="楷体_GB2312"/>
                <w:color w:val="000000"/>
                <w:sz w:val="24"/>
                <w:u w:val="single"/>
              </w:rPr>
              <w:t>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年度已开展预算绩效自评的项目数量：</w:t>
            </w:r>
            <w:r>
              <w:rPr>
                <w:rFonts w:hint="eastAsia" w:ascii="仿宋_GB2312" w:eastAsia="仿宋_GB2312" w:cs="楷体_GB2312"/>
                <w:color w:val="000000"/>
                <w:sz w:val="24"/>
                <w:u w:val="single"/>
              </w:rPr>
              <w:t>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非税收入管控情况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年度应上缴非税收入金额：</w:t>
            </w:r>
            <w:r>
              <w:rPr>
                <w:rFonts w:hint="eastAsia" w:ascii="仿宋_GB2312" w:eastAsia="仿宋_GB2312" w:cs="楷体_GB2312"/>
                <w:color w:val="000000"/>
                <w:sz w:val="24"/>
                <w:u w:val="single"/>
              </w:rPr>
              <w:t>1108733.00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年度实际上缴非税收入金额：</w:t>
            </w:r>
            <w:r>
              <w:rPr>
                <w:rFonts w:hint="eastAsia" w:ascii="仿宋_GB2312" w:eastAsia="仿宋_GB2312" w:cs="楷体_GB2312"/>
                <w:color w:val="000000"/>
                <w:sz w:val="24"/>
                <w:u w:val="single"/>
              </w:rPr>
              <w:t>1108733.00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支出预决算对比情况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年度支出预算金额：</w:t>
            </w:r>
            <w:r>
              <w:rPr>
                <w:rFonts w:hint="eastAsia" w:ascii="仿宋_GB2312" w:eastAsia="仿宋_GB2312" w:cs="楷体_GB2312"/>
                <w:color w:val="000000"/>
                <w:sz w:val="24"/>
                <w:u w:val="single"/>
              </w:rPr>
              <w:t>147118884.68</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年度实际支出总额：</w:t>
            </w:r>
            <w:r>
              <w:rPr>
                <w:rFonts w:hint="eastAsia" w:ascii="仿宋_GB2312" w:eastAsia="仿宋_GB2312" w:cs="楷体_GB2312"/>
                <w:color w:val="000000"/>
                <w:sz w:val="24"/>
                <w:u w:val="single"/>
              </w:rPr>
              <w:t>147118884.68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“三公”经费支出上下年对比情况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2021</w:t>
            </w:r>
            <w:r>
              <w:rPr>
                <w:rFonts w:hint="eastAsia" w:eastAsia="楷体_GB2312" w:cs="楷体_GB2312"/>
                <w:color w:val="000000"/>
                <w:sz w:val="24"/>
              </w:rPr>
              <w:t>年度“三公”经费决算数：</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年度“三公”经费决算数：</w:t>
            </w:r>
            <w:r>
              <w:rPr>
                <w:rFonts w:hint="eastAsia" w:ascii="仿宋_GB2312" w:eastAsia="仿宋_GB2312" w:cs="楷体_GB2312"/>
                <w:color w:val="000000"/>
                <w:sz w:val="24"/>
                <w:u w:val="single"/>
              </w:rPr>
              <w:t>2616.00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政府采购预算完成情况</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年度计划采购金额：</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年度实际采购金额：</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资产账实相符程度</w:t>
            </w:r>
          </w:p>
        </w:tc>
        <w:tc>
          <w:tcPr>
            <w:tcW w:w="557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年度资产清查或盘点前账面金额：</w:t>
            </w:r>
            <w:r>
              <w:rPr>
                <w:rFonts w:hint="eastAsia" w:ascii="仿宋_GB2312" w:eastAsia="仿宋_GB2312" w:cs="楷体_GB2312"/>
                <w:color w:val="000000"/>
                <w:sz w:val="24"/>
                <w:u w:val="single"/>
              </w:rPr>
              <w:t>76338888.77</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年度资产清查或盘点后实际金额：</w:t>
            </w:r>
            <w:r>
              <w:rPr>
                <w:rFonts w:hint="eastAsia" w:ascii="仿宋_GB2312" w:eastAsia="仿宋_GB2312" w:cs="楷体_GB2312"/>
                <w:color w:val="000000"/>
                <w:sz w:val="24"/>
                <w:u w:val="single"/>
              </w:rPr>
              <w:t>76338888.77</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tcBorders>
              <w:top w:val="single" w:color="auto" w:sz="4" w:space="0"/>
              <w:left w:val="single" w:color="auto" w:sz="4" w:space="0"/>
              <w:right w:val="single" w:color="auto" w:sz="4" w:space="0"/>
            </w:tcBorders>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固定资产处置规范程度</w:t>
            </w:r>
          </w:p>
        </w:tc>
        <w:tc>
          <w:tcPr>
            <w:tcW w:w="5572" w:type="dxa"/>
            <w:tcBorders>
              <w:top w:val="single" w:color="auto" w:sz="4" w:space="0"/>
              <w:left w:val="single" w:color="auto" w:sz="4" w:space="0"/>
              <w:right w:val="single" w:color="auto" w:sz="4" w:space="0"/>
            </w:tcBorders>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年度固定资产减少额：</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年度固定资产处置审批金额</w:t>
            </w:r>
            <w:r>
              <w:rPr>
                <w:rFonts w:hint="eastAsia" w:ascii="仿宋_GB2312" w:eastAsia="仿宋_GB2312" w:cs="楷体_GB2312"/>
                <w:color w:val="000000"/>
                <w:sz w:val="24"/>
              </w:rPr>
              <w:t>：</w:t>
            </w:r>
            <w:r>
              <w:rPr>
                <w:rFonts w:hint="eastAsia" w:ascii="仿宋_GB2312" w:eastAsia="仿宋_GB2312" w:cs="楷体_GB2312"/>
                <w:color w:val="000000"/>
                <w:sz w:val="24"/>
                <w:u w:val="single"/>
              </w:rPr>
              <w:t>0.00</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项目投资计划完成情况</w:t>
            </w:r>
          </w:p>
        </w:tc>
        <w:tc>
          <w:tcPr>
            <w:tcW w:w="5572" w:type="dxa"/>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年度投资计划总额：</w:t>
            </w:r>
            <w:r>
              <w:rPr>
                <w:rFonts w:hint="eastAsia" w:ascii="仿宋_GB2312" w:eastAsia="仿宋_GB2312" w:cs="楷体_GB2312"/>
                <w:color w:val="000000"/>
                <w:sz w:val="24"/>
                <w:u w:val="single"/>
              </w:rPr>
              <w:t>77652159.28</w:t>
            </w:r>
            <w:r>
              <w:rPr>
                <w:rFonts w:hint="eastAsia" w:ascii="仿宋_GB2312" w:eastAsia="仿宋_GB2312" w:cs="楷体_GB2312"/>
                <w:color w:val="000000"/>
                <w:sz w:val="24"/>
              </w:rPr>
              <w:t xml:space="preserve"> </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年度实际投资总额：</w:t>
            </w:r>
            <w:r>
              <w:rPr>
                <w:rFonts w:hint="eastAsia" w:ascii="仿宋_GB2312" w:eastAsia="仿宋_GB2312" w:cs="楷体_GB2312"/>
                <w:color w:val="000000"/>
                <w:sz w:val="24"/>
                <w:u w:val="single"/>
              </w:rPr>
              <w:t>77652159.28</w:t>
            </w:r>
            <w:r>
              <w:rPr>
                <w:rFonts w:hint="eastAsia" w:ascii="仿宋_GB2312" w:eastAsia="仿宋_GB2312" w:cs="楷体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atLeast"/>
          <w:jc w:val="center"/>
        </w:trPr>
        <w:tc>
          <w:tcPr>
            <w:tcW w:w="2843" w:type="dxa"/>
            <w:noWrap/>
            <w:vAlign w:val="center"/>
          </w:tcPr>
          <w:p>
            <w:pPr>
              <w:spacing w:line="320" w:lineRule="exact"/>
              <w:jc w:val="center"/>
              <w:rPr>
                <w:rFonts w:ascii="仿宋_GB2312" w:eastAsia="仿宋_GB2312" w:cs="仿宋_GB2312"/>
                <w:color w:val="000000"/>
                <w:spacing w:val="-12"/>
                <w:sz w:val="24"/>
              </w:rPr>
            </w:pPr>
            <w:r>
              <w:rPr>
                <w:rFonts w:hint="eastAsia" w:ascii="仿宋_GB2312" w:eastAsia="仿宋_GB2312" w:cs="仿宋_GB2312"/>
                <w:color w:val="000000"/>
                <w:spacing w:val="-12"/>
                <w:sz w:val="24"/>
              </w:rPr>
              <w:t>合同订立规范情况</w:t>
            </w:r>
          </w:p>
        </w:tc>
        <w:tc>
          <w:tcPr>
            <w:tcW w:w="5572" w:type="dxa"/>
            <w:vAlign w:val="center"/>
          </w:tcPr>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年度合同订立数：</w:t>
            </w:r>
            <w:r>
              <w:rPr>
                <w:rFonts w:hint="eastAsia" w:ascii="仿宋_GB2312" w:eastAsia="仿宋_GB2312" w:cs="楷体_GB2312"/>
                <w:color w:val="000000"/>
                <w:sz w:val="24"/>
                <w:u w:val="single"/>
              </w:rPr>
              <w:t>1</w:t>
            </w:r>
          </w:p>
          <w:p>
            <w:pPr>
              <w:spacing w:line="320" w:lineRule="exact"/>
              <w:jc w:val="left"/>
              <w:rPr>
                <w:rFonts w:ascii="仿宋_GB2312" w:eastAsia="仿宋_GB2312" w:cs="楷体_GB2312"/>
                <w:color w:val="000000"/>
                <w:sz w:val="24"/>
              </w:rPr>
            </w:pPr>
            <w:r>
              <w:rPr>
                <w:rFonts w:eastAsia="楷体_GB2312" w:cs="楷体_GB2312"/>
                <w:color w:val="000000"/>
                <w:sz w:val="24"/>
              </w:rPr>
              <w:t>2022</w:t>
            </w:r>
            <w:r>
              <w:rPr>
                <w:rFonts w:hint="eastAsia" w:eastAsia="楷体_GB2312" w:cs="楷体_GB2312"/>
                <w:color w:val="000000"/>
                <w:sz w:val="24"/>
              </w:rPr>
              <w:t>年度经合法性审查的合同数：</w:t>
            </w:r>
            <w:r>
              <w:rPr>
                <w:rFonts w:hint="eastAsia" w:ascii="仿宋_GB2312" w:eastAsia="仿宋_GB2312" w:cs="楷体_GB2312"/>
                <w:color w:val="000000"/>
                <w:sz w:val="24"/>
                <w:u w:val="single"/>
              </w:rPr>
              <w:t>1</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说明：根据单位内部控制管理制度、业务表单与文件、信息系统数据等材料填写。所填数据中，金额类指标以“元”为单位。</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1.事前绩效评估执行情况中的“2022年度新增重大项目数量”是指2022年度单位新设立的非常态化、非延续性的重大项目数量，重大项目衡量标准由各单位根据实际情况界定；“2022年度已开展事前绩效评估的新增重大项目数量”是指单位组织或由主管部门统一组织的针对2022年度新设立的重大项目开展事前绩效评估的项目数量。预算项目是指非基本支出的二级预算项目。</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2.项目支出绩效目标管理情况中的“2022年度项目总数”是指经批复的2022年度单位正在执行的项目数量；“2022年度已开展绩效目标管理的项目数量”是指单位2022年度执行绩效目标管理的项目数量。</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3.预算绩效运行监控执行情况中的“2022年度已开展预算绩效运行监控的项目数量”是指单位针对2022年度执行项目开展绩效运行监控的项目数量。</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4.预算绩效自评执行情况中的“2022年度已开展预算绩效自评的项目数量”是指单位针对2022年度执行项目开展绩效自评的项目数量（包括委托第三方开展绩效评价的项目）。</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以上1-4需上传单位正在执行的预算项目清单作为佐证材料，清单中需至少包括以下信息：项目名称、项目代码、是否为2022年度新增重大项目、是否已开展事前绩效评估、是否已开展绩效目标管理、是否已开展预算绩效运行监控、是否已开展预算绩效自评。</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5.非税收入管控情况中的 “2022年度实际上缴非税收入”是指决算报表的《非税收入征缴情况表》（财决附04表）中纳入预算管理的已缴国库小计数及纳入财政专户管理的已缴财政专户小计数之和，即表第</w:t>
      </w:r>
      <w:r>
        <w:rPr>
          <w:rFonts w:eastAsia="楷体_GB2312" w:cs="楷体_GB2312"/>
          <w:color w:val="000000"/>
          <w:sz w:val="24"/>
        </w:rPr>
        <w:t>1</w:t>
      </w:r>
      <w:r>
        <w:rPr>
          <w:rFonts w:hint="eastAsia" w:eastAsia="楷体_GB2312" w:cs="楷体_GB2312"/>
          <w:color w:val="000000"/>
          <w:sz w:val="24"/>
        </w:rPr>
        <w:t>栏次第1行合计数（单位：元）。</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6.支出预决算对比情况中的“2022年度支出预算金额”是指2022年度决算报表的《收入支出决算总表》（财决01表）中2022年度支出的全年预算数，即表第8栏次第84行合计数（单位：元）；“2022年度实际支出总额”是指2022年度决算报表的《收入支出决算总表》（财决01表）中2022年度支出的决算数，即表第9栏次第84行合计数（单位：元）。</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7.“三公”经费支出上下年对比情况中的“2021年度‘三公’经费决算数”是指202</w:t>
      </w:r>
      <w:r>
        <w:rPr>
          <w:rFonts w:eastAsia="楷体_GB2312" w:cs="楷体_GB2312"/>
          <w:color w:val="000000"/>
          <w:sz w:val="24"/>
        </w:rPr>
        <w:t>1</w:t>
      </w:r>
      <w:r>
        <w:rPr>
          <w:rFonts w:hint="eastAsia" w:eastAsia="楷体_GB2312" w:cs="楷体_GB2312"/>
          <w:color w:val="000000"/>
          <w:sz w:val="24"/>
        </w:rPr>
        <w:t>年决算报表的《机构运行信息表》（财决附03表）中“三公”经费支出的支出合计数，即表第2栏次第2行统计数（单位：元）；“2022年度‘三公’经费决算数”是指2022年度决算报表的《机构运行信息表》（财决附03表）中“三公”经费支出的支出合计数，即表第</w:t>
      </w:r>
      <w:r>
        <w:rPr>
          <w:rFonts w:eastAsia="楷体_GB2312" w:cs="楷体_GB2312"/>
          <w:color w:val="000000"/>
          <w:sz w:val="24"/>
        </w:rPr>
        <w:t>3</w:t>
      </w:r>
      <w:r>
        <w:rPr>
          <w:rFonts w:hint="eastAsia" w:eastAsia="楷体_GB2312" w:cs="楷体_GB2312"/>
          <w:color w:val="000000"/>
          <w:sz w:val="24"/>
        </w:rPr>
        <w:t>栏次第2行统计数（单位：元）。</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8.政府采购预算完成情况中的“2022年度计划采购金额”是指2022年度单位预算批复中的政府采购预算金额和采购预算调整金额的合计数（单位：元）；“2022年度实际采购金额”是指实际完成的政府采购金额，即部门决算报表中相关政府采购数据，根据决算报表《机构运行信息表》（财决附03表）第</w:t>
      </w:r>
      <w:r>
        <w:rPr>
          <w:rFonts w:eastAsia="楷体_GB2312" w:cs="楷体_GB2312"/>
          <w:color w:val="000000"/>
          <w:sz w:val="24"/>
        </w:rPr>
        <w:t>4</w:t>
      </w:r>
      <w:r>
        <w:rPr>
          <w:rFonts w:hint="eastAsia" w:eastAsia="楷体_GB2312" w:cs="楷体_GB2312"/>
          <w:color w:val="000000"/>
          <w:sz w:val="24"/>
        </w:rPr>
        <w:t>栏次第4</w:t>
      </w:r>
      <w:r>
        <w:rPr>
          <w:rFonts w:eastAsia="楷体_GB2312" w:cs="楷体_GB2312"/>
          <w:color w:val="000000"/>
          <w:sz w:val="24"/>
        </w:rPr>
        <w:t>2</w:t>
      </w:r>
      <w:r>
        <w:rPr>
          <w:rFonts w:hint="eastAsia" w:eastAsia="楷体_GB2312" w:cs="楷体_GB2312"/>
          <w:color w:val="000000"/>
          <w:sz w:val="24"/>
        </w:rPr>
        <w:t>行“政府采购支出合计”的统计数（单位：元）填列。</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9.资产账实相符程度中的“年度资产清查或盘点前账面金额”是指单位在进行资产清查或固定资产盘点前确认的账面金额（单位：元）；“年度资产清查或盘点后实际金额”是指单位在进行资产清查或固定资产盘点后的实际金额（单位：元）。需上传当年度单位资产清查或固定资产盘点前账面金额记录，资产清查报告或固定资产盘点表作为佐证材料。如单位2022年度未开展资产清查或盘点，可不填写（即选择否）。</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10.固定资产处置规范程度中的“2022年度固定资产减少额”是指单位国有资产报表中《资产处置情况表》（财资10表）中本期减少的固定资产账面原值，即表第6栏次第1行固定资产原值小计数（单位：元）；“2022年度固定资产处置审批金额”是指严格按照单位国有资产业务管理制度中规定的资产处置审批权限及程序，实际审批的固定资产处置金额（单位：元）（本指标考核范围不包含固定资产出租出借涉及的金额）。该指标建议参考资产登记表、资产处置审批单、单位国有资产报表中的资产处置情况表等资料填写。需上传审核后的资产处置审批单（审批单数量大于5份的单位，抽取5份；审批单数量小于或等于5份的单位，全部上传）作为佐证材料。</w:t>
      </w:r>
    </w:p>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11.项目投资计划完成情况中的“2022年度投资计划总额”是指以预算年度为统计口径的基本建设类项目计划投资金额（单位：元），包括发展改革委安排的基建项目、同级财政安排的基建项目、其他主管部门安排的基建项目。该指标建议参考投资计划表、项目概预算表等资料填写；“2022年度实际投资额”是指2022年度决算报表中基本建设类项目支出决算金额，根据决算报表《项目收入支出决算表》（财决06表）“基建项目属性”为“发展改革委安排的基建项目”、“同级财政安排的基建项目”、“其他主管部门安排的基建项目”的支出数合计（单位：元）填列。需上传投资计划表或项目概预算表（项目数量大于5个的单位，抽取5份；项目数量小于或等于5个的单位，全部上传）作为佐证材料。</w:t>
      </w:r>
    </w:p>
    <w:p>
      <w:pPr>
        <w:pStyle w:val="28"/>
        <w:tabs>
          <w:tab w:val="left" w:pos="851"/>
        </w:tabs>
        <w:spacing w:line="360" w:lineRule="auto"/>
        <w:ind w:firstLine="480"/>
        <w:rPr>
          <w:rFonts w:ascii="楷体" w:hAnsi="楷体" w:eastAsia="楷体" w:cs="楷体"/>
          <w:sz w:val="24"/>
        </w:rPr>
      </w:pPr>
      <w:r>
        <w:rPr>
          <w:rFonts w:hint="eastAsia" w:eastAsia="楷体_GB2312" w:cs="楷体_GB2312"/>
          <w:color w:val="000000"/>
          <w:sz w:val="24"/>
        </w:rPr>
        <w:t>12.合同订立规范情况中的“2022年度合同订立数”是指单位2022年度签订的全部合同个数；“2022年度经合法性审查的合同数”是指在已签订的合同中，严格执行审核审批程序的合同，其中具有重大影响的合同需有法务人员参与审批并签字。该指标建议参考合同文本、合同台账等资料填写。需上传审核后的合同申请审批单（合同数量大于5个的单位，抽取5份；合同数量小于或等于5个的单位，全部上传）作为佐证材料。</w:t>
      </w:r>
    </w:p>
    <w:p>
      <w:pPr>
        <w:tabs>
          <w:tab w:val="left" w:pos="851"/>
        </w:tabs>
        <w:spacing w:after="156" w:afterLines="50" w:line="360" w:lineRule="auto"/>
        <w:jc w:val="center"/>
        <w:rPr>
          <w:rFonts w:ascii="黑体" w:eastAsia="黑体" w:cs="方正小标宋简体"/>
          <w:color w:val="000000"/>
          <w:spacing w:val="8"/>
          <w:sz w:val="36"/>
          <w:szCs w:val="36"/>
        </w:rPr>
      </w:pPr>
      <w:r>
        <w:rPr>
          <w:rFonts w:hint="eastAsia" w:ascii="黑体" w:eastAsia="黑体" w:cs="方正小标宋简体"/>
          <w:color w:val="000000"/>
          <w:spacing w:val="8"/>
          <w:sz w:val="36"/>
          <w:szCs w:val="36"/>
        </w:rPr>
        <w:t>四、内部控制信息化情况</w:t>
      </w:r>
    </w:p>
    <w:tbl>
      <w:tblPr>
        <w:tblStyle w:val="11"/>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70"/>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1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单位内部控制信息化覆盖情况</w:t>
            </w:r>
          </w:p>
        </w:tc>
        <w:tc>
          <w:tcPr>
            <w:tcW w:w="6463" w:type="dxa"/>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未覆盖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9" w:hRule="atLeast"/>
          <w:jc w:val="center"/>
        </w:trPr>
        <w:tc>
          <w:tcPr>
            <w:tcW w:w="21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单位内部控制信息化模块联通情况</w:t>
            </w:r>
          </w:p>
        </w:tc>
        <w:tc>
          <w:tcPr>
            <w:tcW w:w="6463" w:type="dxa"/>
            <w:vAlign w:val="center"/>
          </w:tcPr>
          <w:p>
            <w:pPr>
              <w:spacing w:line="320" w:lineRule="exact"/>
              <w:jc w:val="left"/>
              <w:rPr>
                <w:rFonts w:ascii="楷体" w:hAnsi="楷体" w:eastAsia="楷体" w:cs="楷体"/>
                <w:color w:val="000000"/>
                <w:spacing w:val="-12"/>
                <w:sz w:val="24"/>
              </w:rPr>
            </w:pPr>
            <w:r>
              <w:rPr>
                <w:rFonts w:hint="eastAsia" w:ascii="仿宋_GB2312" w:eastAsia="仿宋_GB2312" w:cs="楷体_GB2312"/>
                <w:color w:val="000000"/>
                <w:sz w:val="24"/>
              </w:rPr>
              <w:t xml:space="preserve">共有 </w:t>
            </w:r>
            <w:r>
              <w:rPr>
                <w:rFonts w:ascii="仿宋_GB2312" w:eastAsia="仿宋_GB2312" w:cs="楷体_GB2312"/>
                <w:color w:val="000000"/>
                <w:sz w:val="24"/>
              </w:rPr>
              <w:t xml:space="preserve">  </w:t>
            </w:r>
            <w:r>
              <w:rPr>
                <w:rFonts w:hint="eastAsia" w:ascii="仿宋_GB2312" w:eastAsia="仿宋_GB2312" w:cs="楷体_GB2312"/>
                <w:color w:val="000000"/>
                <w:sz w:val="24"/>
              </w:rPr>
              <w:t>个模块已经联通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2170" w:type="dxa"/>
            <w:noWrap/>
            <w:vAlign w:val="center"/>
          </w:tcPr>
          <w:p>
            <w:pPr>
              <w:spacing w:line="320" w:lineRule="exact"/>
              <w:jc w:val="left"/>
              <w:rPr>
                <w:rFonts w:eastAsia="仿宋_GB2312" w:cs="仿宋_GB2312"/>
                <w:color w:val="000000"/>
                <w:spacing w:val="-12"/>
                <w:sz w:val="24"/>
              </w:rPr>
            </w:pPr>
            <w:r>
              <w:rPr>
                <w:rFonts w:hint="eastAsia" w:eastAsia="仿宋_GB2312" w:cs="仿宋_GB2312"/>
                <w:color w:val="000000"/>
                <w:spacing w:val="-12"/>
                <w:sz w:val="24"/>
              </w:rPr>
              <w:t>是否联通政府会计核算模块</w:t>
            </w:r>
          </w:p>
        </w:tc>
        <w:tc>
          <w:tcPr>
            <w:tcW w:w="6463" w:type="dxa"/>
            <w:vAlign w:val="center"/>
          </w:tcPr>
          <w:p>
            <w:pPr>
              <w:spacing w:line="320" w:lineRule="exact"/>
              <w:jc w:val="left"/>
              <w:rPr>
                <w:rFonts w:eastAsia="仿宋_GB2312" w:cs="仿宋_GB2312"/>
                <w:color w:val="000000"/>
                <w:spacing w:val="-12"/>
                <w:sz w:val="24"/>
              </w:rPr>
            </w:pPr>
            <w:r>
              <w:rPr>
                <w:rFonts w:hint="eastAsia" w:ascii="仿宋_GB2312" w:eastAsia="仿宋_GB2312" w:cs="楷体_GB2312"/>
                <w:color w:val="000000"/>
                <w:sz w:val="24"/>
              </w:rPr>
              <w:t>否</w:t>
            </w:r>
          </w:p>
        </w:tc>
      </w:tr>
    </w:tbl>
    <w:p>
      <w:pPr>
        <w:pStyle w:val="28"/>
        <w:tabs>
          <w:tab w:val="left" w:pos="851"/>
        </w:tabs>
        <w:spacing w:line="360" w:lineRule="auto"/>
        <w:ind w:firstLine="480"/>
        <w:rPr>
          <w:rFonts w:eastAsia="楷体_GB2312" w:cs="楷体_GB2312"/>
          <w:color w:val="000000"/>
          <w:sz w:val="24"/>
        </w:rPr>
      </w:pPr>
      <w:r>
        <w:rPr>
          <w:rFonts w:hint="eastAsia" w:eastAsia="楷体_GB2312" w:cs="楷体_GB2312"/>
          <w:color w:val="000000"/>
          <w:sz w:val="24"/>
        </w:rPr>
        <w:t>说明：内部控制信息化建设是指运用信息化手段将内部控制关键点嵌入业务系统中。对于只具有报表编报或信息记录功能的系统（模块），如预算管理一体化系统、部门决算管理系统、行政事业单位资产管理信息系统（财政版）、政府财务报告管理系统、国库集中支付系统、政府会计核算系统、行政事业单位内部控制报告填报系统、与业务无关的内部控制工作辅助软件等未嵌入单位经济业务及其内部控制流程的系统，不属于内部控制信息化的组成模块。单位内部控制信息化模块联通是指不同业务的系统模块之间的数据信息能够同步更新与实时共享。</w:t>
      </w:r>
    </w:p>
    <w:p>
      <w:pPr>
        <w:pStyle w:val="28"/>
        <w:tabs>
          <w:tab w:val="left" w:pos="851"/>
        </w:tabs>
        <w:spacing w:line="360" w:lineRule="auto"/>
        <w:ind w:firstLine="480"/>
      </w:pPr>
      <w:r>
        <w:rPr>
          <w:rFonts w:hint="eastAsia" w:eastAsia="楷体_GB2312" w:cs="楷体_GB2312"/>
          <w:color w:val="000000"/>
          <w:sz w:val="24"/>
        </w:rPr>
        <w:t>需上传内部控制信息系统设计文档及系统截图作为佐证材料。使用网络版系统填报的单位，若以前年度已经上传过相应佐证材料，则无需再次上传；若以前年度未上传或第一年使用网络版系统填报，则需上传相应佐证材料。使用单机版软件填报的单位，需上传相应佐证材料。</w:t>
      </w:r>
    </w:p>
    <w:sectPr>
      <w:pgSz w:w="11906" w:h="16838"/>
      <w:pgMar w:top="1440" w:right="1800" w:bottom="1440" w:left="1800" w:header="851" w:footer="49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7955"/>
              <wp:effectExtent l="0" t="0" r="18415" b="4445"/>
              <wp:wrapNone/>
              <wp:docPr id="1" name="文本框 1025"/>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a:noFill/>
                      </a:ln>
                      <a:effectLst/>
                    </wps:spPr>
                    <wps:txbx>
                      <w:txbxContent>
                        <w:p>
                          <w:pPr>
                            <w:pStyle w:val="7"/>
                          </w:pP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1.65pt;width:31.55pt;mso-position-horizontal:center;mso-position-horizontal-relative:margin;mso-wrap-style:none;z-index:251660288;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D0hUCDzgEAAJwDAAAOAAAAZHJzL2Uyb0RvYy54bWytU82O0zAQviPx&#10;DpbvNGm1hSVqugJVi5AQIC08gOtMGkv+k8dt0heAN+DEhTvP1efYsZN2YbnsgYsznhl/M983k9XN&#10;YDQ7QEDlbM3ns5IzsNI1yu5q/vXL7YtrzjAK2wjtLNT8CMhv1s+frXpfwcJ1TjcQGIFYrHpf8y5G&#10;XxUFyg6MwJnzYCnYumBEpGvYFU0QPaEbXSzK8mXRu9D44CQgknczBvmEGJ4C6NpWSdg4uTdg44ga&#10;QItIlLBTHvk6d9u2IOOntkWITNecmMZ8UhGyt+ks1itR7YLwnZJTC+IpLTziZISyVPQCtRFRsH1Q&#10;/0AZJYND18aZdKYYiWRFiMW8fKTNXSc8ZC4kNfqL6Pj/YOXHw+fAVEObwJkVhgZ++vH99PP36dc3&#10;Ni8Xy6RQ77GixDtPqXF464aUPfmRnIn40AaTvkSJUZz0PV70hSEySc4rGv/1kjNJofnVq9fLjF48&#10;PPYB4ztwhiWj5oHGl1UVhw8YqSClnlNSLetuldZ5hNr+5aDE0QN5B6bXicfYb7LisB0mElvXHIlb&#10;T3tQc0trz5l+b0nmtDJnI5yN7WSkiujf7CO1kbtLqCMUtZouNLTc9LRgaSv+vOesh59qf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Q6jy0QAAAAMBAAAPAAAAAAAAAAEAIAAAACIAAABkcnMvZG93&#10;bnJldi54bWxQSwECFAAUAAAACACHTuJA9IVAg84BAACcAwAADgAAAAAAAAABACAAAAAgAQAAZHJz&#10;L2Uyb0RvYy54bWxQSwUGAAAAAAYABgBZAQAAYAUAAAAA&#10;">
              <v:fill on="f" focussize="0,0"/>
              <v:stroke on="f"/>
              <v:imagedata o:title=""/>
              <o:lock v:ext="edit" aspectratio="f"/>
              <v:textbox inset="0mm,0mm,0mm,0mm" style="mso-fit-shape-to-text:t;">
                <w:txbxContent>
                  <w:p>
                    <w:pPr>
                      <w:pStyle w:val="7"/>
                    </w:pPr>
                    <w:r>
                      <w:rPr>
                        <w:rFonts w:hint="eastAsia"/>
                      </w:rPr>
                      <w:t xml:space="preserve">— </w:t>
                    </w:r>
                    <w:r>
                      <w:fldChar w:fldCharType="begin"/>
                    </w:r>
                    <w:r>
                      <w:instrText xml:space="preserve"> PAGE  \* MERGEFORMAT </w:instrText>
                    </w:r>
                    <w:r>
                      <w:fldChar w:fldCharType="separate"/>
                    </w:r>
                    <w:r>
                      <w:t>2</w:t>
                    </w:r>
                    <w: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GQ0NzQ2ZTMzZWVhNWJkMzJmYjRkZmU5NmM0NzMifQ=="/>
  </w:docVars>
  <w:rsids>
    <w:rsidRoot w:val="0024403F"/>
    <w:rsid w:val="000002FE"/>
    <w:rsid w:val="0000053C"/>
    <w:rsid w:val="00001795"/>
    <w:rsid w:val="0000188E"/>
    <w:rsid w:val="00001ADD"/>
    <w:rsid w:val="00002BDB"/>
    <w:rsid w:val="00004163"/>
    <w:rsid w:val="00005842"/>
    <w:rsid w:val="000069F8"/>
    <w:rsid w:val="0000718E"/>
    <w:rsid w:val="0001119A"/>
    <w:rsid w:val="00011DEB"/>
    <w:rsid w:val="000134C4"/>
    <w:rsid w:val="00013587"/>
    <w:rsid w:val="000135C8"/>
    <w:rsid w:val="000140D2"/>
    <w:rsid w:val="0001604A"/>
    <w:rsid w:val="00017210"/>
    <w:rsid w:val="00020F9B"/>
    <w:rsid w:val="00021969"/>
    <w:rsid w:val="00022308"/>
    <w:rsid w:val="000223EB"/>
    <w:rsid w:val="00023B02"/>
    <w:rsid w:val="00024002"/>
    <w:rsid w:val="00026468"/>
    <w:rsid w:val="000265D5"/>
    <w:rsid w:val="00031B1B"/>
    <w:rsid w:val="00032A61"/>
    <w:rsid w:val="00035024"/>
    <w:rsid w:val="0003555F"/>
    <w:rsid w:val="00035B8E"/>
    <w:rsid w:val="00040BD3"/>
    <w:rsid w:val="00040FA0"/>
    <w:rsid w:val="0004186D"/>
    <w:rsid w:val="00041E2A"/>
    <w:rsid w:val="00041E65"/>
    <w:rsid w:val="00042E86"/>
    <w:rsid w:val="0004300B"/>
    <w:rsid w:val="00043188"/>
    <w:rsid w:val="000448FA"/>
    <w:rsid w:val="00045768"/>
    <w:rsid w:val="00045A15"/>
    <w:rsid w:val="000471BC"/>
    <w:rsid w:val="00050853"/>
    <w:rsid w:val="000517E5"/>
    <w:rsid w:val="00051AF3"/>
    <w:rsid w:val="00052496"/>
    <w:rsid w:val="00053B53"/>
    <w:rsid w:val="000550B2"/>
    <w:rsid w:val="0005513B"/>
    <w:rsid w:val="00055FAC"/>
    <w:rsid w:val="00056A1C"/>
    <w:rsid w:val="00064049"/>
    <w:rsid w:val="00064A26"/>
    <w:rsid w:val="00065F64"/>
    <w:rsid w:val="000704A2"/>
    <w:rsid w:val="000736D9"/>
    <w:rsid w:val="000744CA"/>
    <w:rsid w:val="000762C7"/>
    <w:rsid w:val="00076C6B"/>
    <w:rsid w:val="00080A90"/>
    <w:rsid w:val="00081458"/>
    <w:rsid w:val="000829DB"/>
    <w:rsid w:val="00082A01"/>
    <w:rsid w:val="000835E6"/>
    <w:rsid w:val="00085A6C"/>
    <w:rsid w:val="00091127"/>
    <w:rsid w:val="0009302D"/>
    <w:rsid w:val="00093B19"/>
    <w:rsid w:val="00094A2F"/>
    <w:rsid w:val="00094BD1"/>
    <w:rsid w:val="000A00B5"/>
    <w:rsid w:val="000A0136"/>
    <w:rsid w:val="000A3678"/>
    <w:rsid w:val="000A39CD"/>
    <w:rsid w:val="000A40FB"/>
    <w:rsid w:val="000A44DF"/>
    <w:rsid w:val="000A6AF9"/>
    <w:rsid w:val="000A6FAE"/>
    <w:rsid w:val="000A7618"/>
    <w:rsid w:val="000A7B0A"/>
    <w:rsid w:val="000B1BC8"/>
    <w:rsid w:val="000B283F"/>
    <w:rsid w:val="000B2867"/>
    <w:rsid w:val="000B3500"/>
    <w:rsid w:val="000B3CCA"/>
    <w:rsid w:val="000B69BD"/>
    <w:rsid w:val="000B7CA9"/>
    <w:rsid w:val="000C3BAF"/>
    <w:rsid w:val="000C4256"/>
    <w:rsid w:val="000C6C8E"/>
    <w:rsid w:val="000C7874"/>
    <w:rsid w:val="000C7A72"/>
    <w:rsid w:val="000D07EE"/>
    <w:rsid w:val="000D286E"/>
    <w:rsid w:val="000D2963"/>
    <w:rsid w:val="000D506C"/>
    <w:rsid w:val="000D53D4"/>
    <w:rsid w:val="000D5640"/>
    <w:rsid w:val="000D666C"/>
    <w:rsid w:val="000E05E6"/>
    <w:rsid w:val="000E18D7"/>
    <w:rsid w:val="000E1C87"/>
    <w:rsid w:val="000E3219"/>
    <w:rsid w:val="000E4E65"/>
    <w:rsid w:val="000E6978"/>
    <w:rsid w:val="000F07B1"/>
    <w:rsid w:val="000F190E"/>
    <w:rsid w:val="000F2303"/>
    <w:rsid w:val="000F34D5"/>
    <w:rsid w:val="000F3ADF"/>
    <w:rsid w:val="000F49C3"/>
    <w:rsid w:val="000F4E8E"/>
    <w:rsid w:val="000F6B46"/>
    <w:rsid w:val="001011FE"/>
    <w:rsid w:val="001012BA"/>
    <w:rsid w:val="001019A9"/>
    <w:rsid w:val="00101E42"/>
    <w:rsid w:val="001032BD"/>
    <w:rsid w:val="0010498F"/>
    <w:rsid w:val="00105104"/>
    <w:rsid w:val="001058F4"/>
    <w:rsid w:val="00106978"/>
    <w:rsid w:val="00106CC3"/>
    <w:rsid w:val="00106DF6"/>
    <w:rsid w:val="0011132A"/>
    <w:rsid w:val="001128FD"/>
    <w:rsid w:val="00112CEA"/>
    <w:rsid w:val="00112D65"/>
    <w:rsid w:val="001132BA"/>
    <w:rsid w:val="001133ED"/>
    <w:rsid w:val="00116824"/>
    <w:rsid w:val="00120244"/>
    <w:rsid w:val="0012111A"/>
    <w:rsid w:val="001225F4"/>
    <w:rsid w:val="00122738"/>
    <w:rsid w:val="00123E29"/>
    <w:rsid w:val="00124BAA"/>
    <w:rsid w:val="00125F80"/>
    <w:rsid w:val="0012611B"/>
    <w:rsid w:val="00126320"/>
    <w:rsid w:val="0012717E"/>
    <w:rsid w:val="00127443"/>
    <w:rsid w:val="00127B95"/>
    <w:rsid w:val="00127DB5"/>
    <w:rsid w:val="00127E10"/>
    <w:rsid w:val="00130702"/>
    <w:rsid w:val="001309D2"/>
    <w:rsid w:val="001324BE"/>
    <w:rsid w:val="00132D4F"/>
    <w:rsid w:val="0013385A"/>
    <w:rsid w:val="00134211"/>
    <w:rsid w:val="00134222"/>
    <w:rsid w:val="00134C9C"/>
    <w:rsid w:val="00135CDA"/>
    <w:rsid w:val="00136A7C"/>
    <w:rsid w:val="00136BC3"/>
    <w:rsid w:val="00136DEB"/>
    <w:rsid w:val="00137637"/>
    <w:rsid w:val="001402D1"/>
    <w:rsid w:val="001403F8"/>
    <w:rsid w:val="001408B3"/>
    <w:rsid w:val="001424AD"/>
    <w:rsid w:val="00142E34"/>
    <w:rsid w:val="00144417"/>
    <w:rsid w:val="001452C0"/>
    <w:rsid w:val="00145546"/>
    <w:rsid w:val="00145689"/>
    <w:rsid w:val="00146B4C"/>
    <w:rsid w:val="00147D40"/>
    <w:rsid w:val="0015016B"/>
    <w:rsid w:val="00151100"/>
    <w:rsid w:val="00154698"/>
    <w:rsid w:val="00154B7E"/>
    <w:rsid w:val="00155EDD"/>
    <w:rsid w:val="001608FC"/>
    <w:rsid w:val="001612C8"/>
    <w:rsid w:val="001629B5"/>
    <w:rsid w:val="00163130"/>
    <w:rsid w:val="001638AD"/>
    <w:rsid w:val="00166AB3"/>
    <w:rsid w:val="00166B85"/>
    <w:rsid w:val="0016742E"/>
    <w:rsid w:val="00167CCE"/>
    <w:rsid w:val="00167E15"/>
    <w:rsid w:val="00167EE4"/>
    <w:rsid w:val="00172AC4"/>
    <w:rsid w:val="00174007"/>
    <w:rsid w:val="00175EE7"/>
    <w:rsid w:val="001767FF"/>
    <w:rsid w:val="00176F2B"/>
    <w:rsid w:val="0018014F"/>
    <w:rsid w:val="00181778"/>
    <w:rsid w:val="00184B7F"/>
    <w:rsid w:val="00186B78"/>
    <w:rsid w:val="0018717B"/>
    <w:rsid w:val="001875E0"/>
    <w:rsid w:val="0018798D"/>
    <w:rsid w:val="001918B0"/>
    <w:rsid w:val="00192A7A"/>
    <w:rsid w:val="00193B98"/>
    <w:rsid w:val="0019426A"/>
    <w:rsid w:val="00194C68"/>
    <w:rsid w:val="001952A2"/>
    <w:rsid w:val="0019597E"/>
    <w:rsid w:val="00197862"/>
    <w:rsid w:val="00197A1A"/>
    <w:rsid w:val="001A07E6"/>
    <w:rsid w:val="001A1A18"/>
    <w:rsid w:val="001A2302"/>
    <w:rsid w:val="001A24C0"/>
    <w:rsid w:val="001A2EED"/>
    <w:rsid w:val="001A3408"/>
    <w:rsid w:val="001A5B21"/>
    <w:rsid w:val="001A64BF"/>
    <w:rsid w:val="001A779E"/>
    <w:rsid w:val="001B13DE"/>
    <w:rsid w:val="001B3985"/>
    <w:rsid w:val="001B3EEC"/>
    <w:rsid w:val="001B4567"/>
    <w:rsid w:val="001B4F71"/>
    <w:rsid w:val="001B5091"/>
    <w:rsid w:val="001B6792"/>
    <w:rsid w:val="001B6C4C"/>
    <w:rsid w:val="001C1D2F"/>
    <w:rsid w:val="001C1F48"/>
    <w:rsid w:val="001C226E"/>
    <w:rsid w:val="001C255A"/>
    <w:rsid w:val="001C34F1"/>
    <w:rsid w:val="001C62AF"/>
    <w:rsid w:val="001D3977"/>
    <w:rsid w:val="001D3A15"/>
    <w:rsid w:val="001D4CEB"/>
    <w:rsid w:val="001D69EE"/>
    <w:rsid w:val="001E3A28"/>
    <w:rsid w:val="001E6257"/>
    <w:rsid w:val="001E6A53"/>
    <w:rsid w:val="001E7466"/>
    <w:rsid w:val="001F2213"/>
    <w:rsid w:val="001F5BB6"/>
    <w:rsid w:val="001F7D18"/>
    <w:rsid w:val="001F7D51"/>
    <w:rsid w:val="00200BDF"/>
    <w:rsid w:val="00201A11"/>
    <w:rsid w:val="00201DA3"/>
    <w:rsid w:val="0020338A"/>
    <w:rsid w:val="00203B24"/>
    <w:rsid w:val="00205FAB"/>
    <w:rsid w:val="00206CEE"/>
    <w:rsid w:val="00207C70"/>
    <w:rsid w:val="002101CE"/>
    <w:rsid w:val="0021105D"/>
    <w:rsid w:val="002120BF"/>
    <w:rsid w:val="00212A50"/>
    <w:rsid w:val="0021364A"/>
    <w:rsid w:val="00213FDC"/>
    <w:rsid w:val="002151C9"/>
    <w:rsid w:val="002157B1"/>
    <w:rsid w:val="0021615F"/>
    <w:rsid w:val="002167A8"/>
    <w:rsid w:val="002168D0"/>
    <w:rsid w:val="002205EE"/>
    <w:rsid w:val="0022065D"/>
    <w:rsid w:val="00220674"/>
    <w:rsid w:val="00220934"/>
    <w:rsid w:val="00220A85"/>
    <w:rsid w:val="002217D6"/>
    <w:rsid w:val="00221A29"/>
    <w:rsid w:val="00222022"/>
    <w:rsid w:val="002229FF"/>
    <w:rsid w:val="00223282"/>
    <w:rsid w:val="0022477A"/>
    <w:rsid w:val="002249D4"/>
    <w:rsid w:val="00224FAE"/>
    <w:rsid w:val="002255B9"/>
    <w:rsid w:val="00225DC6"/>
    <w:rsid w:val="00225F25"/>
    <w:rsid w:val="002264B2"/>
    <w:rsid w:val="00227977"/>
    <w:rsid w:val="00230477"/>
    <w:rsid w:val="002309D4"/>
    <w:rsid w:val="002309F2"/>
    <w:rsid w:val="00231A9E"/>
    <w:rsid w:val="0023333B"/>
    <w:rsid w:val="00233B91"/>
    <w:rsid w:val="0023495D"/>
    <w:rsid w:val="002351A6"/>
    <w:rsid w:val="002359BE"/>
    <w:rsid w:val="002363EB"/>
    <w:rsid w:val="00236914"/>
    <w:rsid w:val="00236B4D"/>
    <w:rsid w:val="002417E5"/>
    <w:rsid w:val="0024403F"/>
    <w:rsid w:val="002440C0"/>
    <w:rsid w:val="00245608"/>
    <w:rsid w:val="002457B7"/>
    <w:rsid w:val="002457C8"/>
    <w:rsid w:val="00245B8E"/>
    <w:rsid w:val="00246FEA"/>
    <w:rsid w:val="002474FA"/>
    <w:rsid w:val="00247637"/>
    <w:rsid w:val="00247692"/>
    <w:rsid w:val="00247ABC"/>
    <w:rsid w:val="00247FBF"/>
    <w:rsid w:val="002507D2"/>
    <w:rsid w:val="00250BDF"/>
    <w:rsid w:val="0025111F"/>
    <w:rsid w:val="002515BC"/>
    <w:rsid w:val="00253553"/>
    <w:rsid w:val="002536A5"/>
    <w:rsid w:val="002546C3"/>
    <w:rsid w:val="00254919"/>
    <w:rsid w:val="00254A01"/>
    <w:rsid w:val="00255A99"/>
    <w:rsid w:val="00256029"/>
    <w:rsid w:val="0025662F"/>
    <w:rsid w:val="00256CE6"/>
    <w:rsid w:val="0025718B"/>
    <w:rsid w:val="00257B98"/>
    <w:rsid w:val="00257F10"/>
    <w:rsid w:val="0026086F"/>
    <w:rsid w:val="0026166A"/>
    <w:rsid w:val="0026175D"/>
    <w:rsid w:val="002621E2"/>
    <w:rsid w:val="00265499"/>
    <w:rsid w:val="0026644C"/>
    <w:rsid w:val="00267109"/>
    <w:rsid w:val="002674B0"/>
    <w:rsid w:val="00267983"/>
    <w:rsid w:val="00274037"/>
    <w:rsid w:val="00276731"/>
    <w:rsid w:val="00276E69"/>
    <w:rsid w:val="00284E02"/>
    <w:rsid w:val="002854E2"/>
    <w:rsid w:val="00287076"/>
    <w:rsid w:val="00287374"/>
    <w:rsid w:val="00287B12"/>
    <w:rsid w:val="0029014A"/>
    <w:rsid w:val="002903AC"/>
    <w:rsid w:val="00292645"/>
    <w:rsid w:val="002940D1"/>
    <w:rsid w:val="00294A57"/>
    <w:rsid w:val="00294BAF"/>
    <w:rsid w:val="00294DC1"/>
    <w:rsid w:val="0029679E"/>
    <w:rsid w:val="00297071"/>
    <w:rsid w:val="002A02CA"/>
    <w:rsid w:val="002A0A66"/>
    <w:rsid w:val="002A411A"/>
    <w:rsid w:val="002A6569"/>
    <w:rsid w:val="002A7B7B"/>
    <w:rsid w:val="002B0765"/>
    <w:rsid w:val="002B0C38"/>
    <w:rsid w:val="002B2728"/>
    <w:rsid w:val="002B317D"/>
    <w:rsid w:val="002B3839"/>
    <w:rsid w:val="002B5724"/>
    <w:rsid w:val="002B6407"/>
    <w:rsid w:val="002C066A"/>
    <w:rsid w:val="002C1C0F"/>
    <w:rsid w:val="002C1DA3"/>
    <w:rsid w:val="002C2C95"/>
    <w:rsid w:val="002C361C"/>
    <w:rsid w:val="002C3B5E"/>
    <w:rsid w:val="002C44C2"/>
    <w:rsid w:val="002C5F40"/>
    <w:rsid w:val="002C67BA"/>
    <w:rsid w:val="002C6815"/>
    <w:rsid w:val="002C72BD"/>
    <w:rsid w:val="002C750D"/>
    <w:rsid w:val="002C7A35"/>
    <w:rsid w:val="002D1657"/>
    <w:rsid w:val="002D59DA"/>
    <w:rsid w:val="002D611F"/>
    <w:rsid w:val="002D656E"/>
    <w:rsid w:val="002D700E"/>
    <w:rsid w:val="002D7C8F"/>
    <w:rsid w:val="002E1C22"/>
    <w:rsid w:val="002E20E3"/>
    <w:rsid w:val="002E24E0"/>
    <w:rsid w:val="002E3BCE"/>
    <w:rsid w:val="002E422C"/>
    <w:rsid w:val="002E4267"/>
    <w:rsid w:val="002E53E5"/>
    <w:rsid w:val="002E6CDA"/>
    <w:rsid w:val="002F149F"/>
    <w:rsid w:val="002F5922"/>
    <w:rsid w:val="002F5DF8"/>
    <w:rsid w:val="002F67B9"/>
    <w:rsid w:val="00300B01"/>
    <w:rsid w:val="00300BD2"/>
    <w:rsid w:val="00301B9A"/>
    <w:rsid w:val="00302828"/>
    <w:rsid w:val="003032E3"/>
    <w:rsid w:val="003034E5"/>
    <w:rsid w:val="003048DE"/>
    <w:rsid w:val="00307A1E"/>
    <w:rsid w:val="00310BF0"/>
    <w:rsid w:val="00311A17"/>
    <w:rsid w:val="00312BD4"/>
    <w:rsid w:val="003133F4"/>
    <w:rsid w:val="0031396B"/>
    <w:rsid w:val="00313DCB"/>
    <w:rsid w:val="00314C55"/>
    <w:rsid w:val="00315086"/>
    <w:rsid w:val="00316401"/>
    <w:rsid w:val="00320F71"/>
    <w:rsid w:val="00321FD5"/>
    <w:rsid w:val="003225D0"/>
    <w:rsid w:val="00323FB7"/>
    <w:rsid w:val="0032551A"/>
    <w:rsid w:val="003256A3"/>
    <w:rsid w:val="0032662B"/>
    <w:rsid w:val="0032675D"/>
    <w:rsid w:val="00327B90"/>
    <w:rsid w:val="00327FA1"/>
    <w:rsid w:val="003303DA"/>
    <w:rsid w:val="00331AC8"/>
    <w:rsid w:val="0033201A"/>
    <w:rsid w:val="003344FB"/>
    <w:rsid w:val="0033487B"/>
    <w:rsid w:val="0033548C"/>
    <w:rsid w:val="003355FA"/>
    <w:rsid w:val="0034056F"/>
    <w:rsid w:val="00344F64"/>
    <w:rsid w:val="00346F32"/>
    <w:rsid w:val="00350DAB"/>
    <w:rsid w:val="00351141"/>
    <w:rsid w:val="00352855"/>
    <w:rsid w:val="0035654D"/>
    <w:rsid w:val="003572DE"/>
    <w:rsid w:val="0035745F"/>
    <w:rsid w:val="00360122"/>
    <w:rsid w:val="00360184"/>
    <w:rsid w:val="00360240"/>
    <w:rsid w:val="0036239D"/>
    <w:rsid w:val="0036448F"/>
    <w:rsid w:val="003651CD"/>
    <w:rsid w:val="003652F7"/>
    <w:rsid w:val="003667C0"/>
    <w:rsid w:val="003676F3"/>
    <w:rsid w:val="00371325"/>
    <w:rsid w:val="00371D4E"/>
    <w:rsid w:val="00372056"/>
    <w:rsid w:val="00374419"/>
    <w:rsid w:val="00374A98"/>
    <w:rsid w:val="003755CD"/>
    <w:rsid w:val="00375701"/>
    <w:rsid w:val="0037590A"/>
    <w:rsid w:val="003759E4"/>
    <w:rsid w:val="0037616B"/>
    <w:rsid w:val="003762BA"/>
    <w:rsid w:val="00376FC6"/>
    <w:rsid w:val="00377396"/>
    <w:rsid w:val="00381B25"/>
    <w:rsid w:val="00382555"/>
    <w:rsid w:val="0038309E"/>
    <w:rsid w:val="00383D19"/>
    <w:rsid w:val="00390C48"/>
    <w:rsid w:val="00391F92"/>
    <w:rsid w:val="003922E0"/>
    <w:rsid w:val="00392DF1"/>
    <w:rsid w:val="003933E0"/>
    <w:rsid w:val="00396E28"/>
    <w:rsid w:val="00396F7A"/>
    <w:rsid w:val="003970EF"/>
    <w:rsid w:val="00397124"/>
    <w:rsid w:val="003972FD"/>
    <w:rsid w:val="003A13FA"/>
    <w:rsid w:val="003A204B"/>
    <w:rsid w:val="003A25DE"/>
    <w:rsid w:val="003A30FA"/>
    <w:rsid w:val="003A47D8"/>
    <w:rsid w:val="003A4C0E"/>
    <w:rsid w:val="003A744E"/>
    <w:rsid w:val="003A7E00"/>
    <w:rsid w:val="003B0531"/>
    <w:rsid w:val="003B0535"/>
    <w:rsid w:val="003B085C"/>
    <w:rsid w:val="003B1271"/>
    <w:rsid w:val="003B1410"/>
    <w:rsid w:val="003B1520"/>
    <w:rsid w:val="003B2B6A"/>
    <w:rsid w:val="003B31E8"/>
    <w:rsid w:val="003B3DBC"/>
    <w:rsid w:val="003B443B"/>
    <w:rsid w:val="003B5674"/>
    <w:rsid w:val="003B59D8"/>
    <w:rsid w:val="003B5F2E"/>
    <w:rsid w:val="003B7F98"/>
    <w:rsid w:val="003C05A8"/>
    <w:rsid w:val="003C1827"/>
    <w:rsid w:val="003C3113"/>
    <w:rsid w:val="003C338A"/>
    <w:rsid w:val="003C4C0E"/>
    <w:rsid w:val="003C4C90"/>
    <w:rsid w:val="003C4CBF"/>
    <w:rsid w:val="003C5267"/>
    <w:rsid w:val="003C591F"/>
    <w:rsid w:val="003C5C63"/>
    <w:rsid w:val="003C6787"/>
    <w:rsid w:val="003C6D95"/>
    <w:rsid w:val="003C7D0B"/>
    <w:rsid w:val="003D19BA"/>
    <w:rsid w:val="003D3235"/>
    <w:rsid w:val="003D4E47"/>
    <w:rsid w:val="003D4F88"/>
    <w:rsid w:val="003D5810"/>
    <w:rsid w:val="003D73E5"/>
    <w:rsid w:val="003D7ECD"/>
    <w:rsid w:val="003E0479"/>
    <w:rsid w:val="003E0879"/>
    <w:rsid w:val="003E41FB"/>
    <w:rsid w:val="003E4A3F"/>
    <w:rsid w:val="003E5500"/>
    <w:rsid w:val="003E6718"/>
    <w:rsid w:val="003E71E6"/>
    <w:rsid w:val="003E724D"/>
    <w:rsid w:val="003E7959"/>
    <w:rsid w:val="003E7B92"/>
    <w:rsid w:val="003F04E4"/>
    <w:rsid w:val="003F12A6"/>
    <w:rsid w:val="003F2AE7"/>
    <w:rsid w:val="003F4493"/>
    <w:rsid w:val="003F60F8"/>
    <w:rsid w:val="003F6AB8"/>
    <w:rsid w:val="003F74AB"/>
    <w:rsid w:val="003F7991"/>
    <w:rsid w:val="0040132B"/>
    <w:rsid w:val="00401359"/>
    <w:rsid w:val="004021D4"/>
    <w:rsid w:val="004026D8"/>
    <w:rsid w:val="0040274D"/>
    <w:rsid w:val="00402A9E"/>
    <w:rsid w:val="00405129"/>
    <w:rsid w:val="00406354"/>
    <w:rsid w:val="00406FA4"/>
    <w:rsid w:val="00407A22"/>
    <w:rsid w:val="00407A2A"/>
    <w:rsid w:val="004100CD"/>
    <w:rsid w:val="00411B40"/>
    <w:rsid w:val="00412350"/>
    <w:rsid w:val="004123B4"/>
    <w:rsid w:val="00414EFE"/>
    <w:rsid w:val="004157FE"/>
    <w:rsid w:val="00415AB7"/>
    <w:rsid w:val="00417BBE"/>
    <w:rsid w:val="00417FAD"/>
    <w:rsid w:val="00420C96"/>
    <w:rsid w:val="00420F8C"/>
    <w:rsid w:val="00421028"/>
    <w:rsid w:val="004225AF"/>
    <w:rsid w:val="00422F77"/>
    <w:rsid w:val="0042304F"/>
    <w:rsid w:val="0042337D"/>
    <w:rsid w:val="00424F7A"/>
    <w:rsid w:val="004252B2"/>
    <w:rsid w:val="00426783"/>
    <w:rsid w:val="00430359"/>
    <w:rsid w:val="00430BB2"/>
    <w:rsid w:val="00431921"/>
    <w:rsid w:val="004332A7"/>
    <w:rsid w:val="00435DCC"/>
    <w:rsid w:val="004366F3"/>
    <w:rsid w:val="00442070"/>
    <w:rsid w:val="004428BD"/>
    <w:rsid w:val="004449C4"/>
    <w:rsid w:val="00445ED1"/>
    <w:rsid w:val="00446464"/>
    <w:rsid w:val="004466C2"/>
    <w:rsid w:val="00446BBC"/>
    <w:rsid w:val="00446DBB"/>
    <w:rsid w:val="00446E77"/>
    <w:rsid w:val="00447B84"/>
    <w:rsid w:val="00447DCF"/>
    <w:rsid w:val="004516BD"/>
    <w:rsid w:val="00451A4F"/>
    <w:rsid w:val="00456DE2"/>
    <w:rsid w:val="004620EE"/>
    <w:rsid w:val="004627D8"/>
    <w:rsid w:val="004628AE"/>
    <w:rsid w:val="0046299C"/>
    <w:rsid w:val="00462E1E"/>
    <w:rsid w:val="00462E4E"/>
    <w:rsid w:val="0046400E"/>
    <w:rsid w:val="004649F9"/>
    <w:rsid w:val="00466815"/>
    <w:rsid w:val="00467A5F"/>
    <w:rsid w:val="00467E35"/>
    <w:rsid w:val="004713C9"/>
    <w:rsid w:val="00471516"/>
    <w:rsid w:val="00471C2C"/>
    <w:rsid w:val="00471DBD"/>
    <w:rsid w:val="00471F0E"/>
    <w:rsid w:val="00472707"/>
    <w:rsid w:val="00472D92"/>
    <w:rsid w:val="004742BE"/>
    <w:rsid w:val="00475879"/>
    <w:rsid w:val="00475D5D"/>
    <w:rsid w:val="004764A3"/>
    <w:rsid w:val="004767D0"/>
    <w:rsid w:val="00476A81"/>
    <w:rsid w:val="00477167"/>
    <w:rsid w:val="00480EC7"/>
    <w:rsid w:val="0048178E"/>
    <w:rsid w:val="00481A84"/>
    <w:rsid w:val="004855CB"/>
    <w:rsid w:val="00485FD0"/>
    <w:rsid w:val="004878CC"/>
    <w:rsid w:val="00490B2F"/>
    <w:rsid w:val="00490B38"/>
    <w:rsid w:val="0049194D"/>
    <w:rsid w:val="0049358B"/>
    <w:rsid w:val="00494AA3"/>
    <w:rsid w:val="00495D9A"/>
    <w:rsid w:val="004963A6"/>
    <w:rsid w:val="004A006D"/>
    <w:rsid w:val="004A088E"/>
    <w:rsid w:val="004A16B2"/>
    <w:rsid w:val="004A2D6E"/>
    <w:rsid w:val="004A30A2"/>
    <w:rsid w:val="004A3322"/>
    <w:rsid w:val="004A3993"/>
    <w:rsid w:val="004A4D15"/>
    <w:rsid w:val="004A5544"/>
    <w:rsid w:val="004A6E7D"/>
    <w:rsid w:val="004B016C"/>
    <w:rsid w:val="004B0174"/>
    <w:rsid w:val="004B05C1"/>
    <w:rsid w:val="004B067D"/>
    <w:rsid w:val="004B1B64"/>
    <w:rsid w:val="004B214C"/>
    <w:rsid w:val="004B5B03"/>
    <w:rsid w:val="004B6D1C"/>
    <w:rsid w:val="004B7A2C"/>
    <w:rsid w:val="004C0C9A"/>
    <w:rsid w:val="004C21EE"/>
    <w:rsid w:val="004C23DB"/>
    <w:rsid w:val="004C4276"/>
    <w:rsid w:val="004C5180"/>
    <w:rsid w:val="004D0675"/>
    <w:rsid w:val="004D0C60"/>
    <w:rsid w:val="004D28B3"/>
    <w:rsid w:val="004D52DF"/>
    <w:rsid w:val="004D567F"/>
    <w:rsid w:val="004D67B7"/>
    <w:rsid w:val="004D6B6C"/>
    <w:rsid w:val="004D6DAE"/>
    <w:rsid w:val="004E2A67"/>
    <w:rsid w:val="004E3448"/>
    <w:rsid w:val="004E38B2"/>
    <w:rsid w:val="004E4972"/>
    <w:rsid w:val="004E682A"/>
    <w:rsid w:val="004E7A61"/>
    <w:rsid w:val="004F02CB"/>
    <w:rsid w:val="004F30DB"/>
    <w:rsid w:val="004F6648"/>
    <w:rsid w:val="0050030F"/>
    <w:rsid w:val="0050059A"/>
    <w:rsid w:val="00500860"/>
    <w:rsid w:val="005038F3"/>
    <w:rsid w:val="00505849"/>
    <w:rsid w:val="00506DF7"/>
    <w:rsid w:val="005072B8"/>
    <w:rsid w:val="005101AF"/>
    <w:rsid w:val="00512B6C"/>
    <w:rsid w:val="00513EFF"/>
    <w:rsid w:val="00514A9F"/>
    <w:rsid w:val="00514B1A"/>
    <w:rsid w:val="00514CC6"/>
    <w:rsid w:val="0051705A"/>
    <w:rsid w:val="0051757F"/>
    <w:rsid w:val="00521147"/>
    <w:rsid w:val="00523371"/>
    <w:rsid w:val="00524850"/>
    <w:rsid w:val="00524D94"/>
    <w:rsid w:val="00525600"/>
    <w:rsid w:val="0052650D"/>
    <w:rsid w:val="005274DD"/>
    <w:rsid w:val="00527CC2"/>
    <w:rsid w:val="00530FF3"/>
    <w:rsid w:val="00531C72"/>
    <w:rsid w:val="00532969"/>
    <w:rsid w:val="00533245"/>
    <w:rsid w:val="00533B10"/>
    <w:rsid w:val="00533CFF"/>
    <w:rsid w:val="00534385"/>
    <w:rsid w:val="00541B17"/>
    <w:rsid w:val="00541BD4"/>
    <w:rsid w:val="00544207"/>
    <w:rsid w:val="00544BD9"/>
    <w:rsid w:val="00545115"/>
    <w:rsid w:val="005458A5"/>
    <w:rsid w:val="00546726"/>
    <w:rsid w:val="0054679C"/>
    <w:rsid w:val="0054685A"/>
    <w:rsid w:val="005468AA"/>
    <w:rsid w:val="005475CC"/>
    <w:rsid w:val="00550026"/>
    <w:rsid w:val="005520EA"/>
    <w:rsid w:val="00552B12"/>
    <w:rsid w:val="0055399B"/>
    <w:rsid w:val="00553EDC"/>
    <w:rsid w:val="005552F8"/>
    <w:rsid w:val="00555932"/>
    <w:rsid w:val="0055732A"/>
    <w:rsid w:val="005574BA"/>
    <w:rsid w:val="00557C40"/>
    <w:rsid w:val="00560222"/>
    <w:rsid w:val="005605D7"/>
    <w:rsid w:val="00561E36"/>
    <w:rsid w:val="00563FEC"/>
    <w:rsid w:val="00564687"/>
    <w:rsid w:val="0056478A"/>
    <w:rsid w:val="00564F10"/>
    <w:rsid w:val="0056587B"/>
    <w:rsid w:val="00566280"/>
    <w:rsid w:val="0056765B"/>
    <w:rsid w:val="005679C1"/>
    <w:rsid w:val="00572952"/>
    <w:rsid w:val="00572B07"/>
    <w:rsid w:val="00573670"/>
    <w:rsid w:val="00574CAA"/>
    <w:rsid w:val="00580DA7"/>
    <w:rsid w:val="00581AD6"/>
    <w:rsid w:val="00583FA6"/>
    <w:rsid w:val="0058426F"/>
    <w:rsid w:val="00584375"/>
    <w:rsid w:val="005857CE"/>
    <w:rsid w:val="005914F2"/>
    <w:rsid w:val="00593800"/>
    <w:rsid w:val="005941FD"/>
    <w:rsid w:val="00595A21"/>
    <w:rsid w:val="005A1B73"/>
    <w:rsid w:val="005A2142"/>
    <w:rsid w:val="005A23C6"/>
    <w:rsid w:val="005A30F6"/>
    <w:rsid w:val="005A37E9"/>
    <w:rsid w:val="005A3FCD"/>
    <w:rsid w:val="005A404A"/>
    <w:rsid w:val="005A5278"/>
    <w:rsid w:val="005A551E"/>
    <w:rsid w:val="005A7084"/>
    <w:rsid w:val="005A70A5"/>
    <w:rsid w:val="005A7242"/>
    <w:rsid w:val="005B0665"/>
    <w:rsid w:val="005B08BC"/>
    <w:rsid w:val="005B2208"/>
    <w:rsid w:val="005B2CA4"/>
    <w:rsid w:val="005B3494"/>
    <w:rsid w:val="005B3CC1"/>
    <w:rsid w:val="005B4283"/>
    <w:rsid w:val="005B519E"/>
    <w:rsid w:val="005B51DF"/>
    <w:rsid w:val="005B5E80"/>
    <w:rsid w:val="005B77FF"/>
    <w:rsid w:val="005B78FF"/>
    <w:rsid w:val="005C0D64"/>
    <w:rsid w:val="005C1F5D"/>
    <w:rsid w:val="005C3A8D"/>
    <w:rsid w:val="005C5012"/>
    <w:rsid w:val="005C7867"/>
    <w:rsid w:val="005D08EA"/>
    <w:rsid w:val="005D1145"/>
    <w:rsid w:val="005D241A"/>
    <w:rsid w:val="005D5082"/>
    <w:rsid w:val="005D7A7F"/>
    <w:rsid w:val="005E045A"/>
    <w:rsid w:val="005E0587"/>
    <w:rsid w:val="005E2C89"/>
    <w:rsid w:val="005E4104"/>
    <w:rsid w:val="005E410C"/>
    <w:rsid w:val="005E4EFC"/>
    <w:rsid w:val="005E7980"/>
    <w:rsid w:val="005F039E"/>
    <w:rsid w:val="005F0E4E"/>
    <w:rsid w:val="005F3048"/>
    <w:rsid w:val="005F33E1"/>
    <w:rsid w:val="005F35A0"/>
    <w:rsid w:val="005F399D"/>
    <w:rsid w:val="005F5A94"/>
    <w:rsid w:val="005F5F58"/>
    <w:rsid w:val="005F639E"/>
    <w:rsid w:val="005F676E"/>
    <w:rsid w:val="005F6B9C"/>
    <w:rsid w:val="005F6E6B"/>
    <w:rsid w:val="005F6F22"/>
    <w:rsid w:val="00600C87"/>
    <w:rsid w:val="00601FD1"/>
    <w:rsid w:val="006028C6"/>
    <w:rsid w:val="00603172"/>
    <w:rsid w:val="006031D0"/>
    <w:rsid w:val="00603486"/>
    <w:rsid w:val="00604440"/>
    <w:rsid w:val="00605999"/>
    <w:rsid w:val="00605C34"/>
    <w:rsid w:val="00605CF4"/>
    <w:rsid w:val="00607DA4"/>
    <w:rsid w:val="00610553"/>
    <w:rsid w:val="00610E9B"/>
    <w:rsid w:val="0061177B"/>
    <w:rsid w:val="006120A2"/>
    <w:rsid w:val="0061240F"/>
    <w:rsid w:val="006124C4"/>
    <w:rsid w:val="006130E4"/>
    <w:rsid w:val="00616736"/>
    <w:rsid w:val="00616843"/>
    <w:rsid w:val="00616E06"/>
    <w:rsid w:val="006176F2"/>
    <w:rsid w:val="00617DC4"/>
    <w:rsid w:val="00623EA8"/>
    <w:rsid w:val="006251A1"/>
    <w:rsid w:val="00627B6B"/>
    <w:rsid w:val="0063070F"/>
    <w:rsid w:val="00631FE2"/>
    <w:rsid w:val="0063377E"/>
    <w:rsid w:val="00636F2E"/>
    <w:rsid w:val="00641068"/>
    <w:rsid w:val="00641770"/>
    <w:rsid w:val="00641F83"/>
    <w:rsid w:val="00643630"/>
    <w:rsid w:val="00646658"/>
    <w:rsid w:val="00646B01"/>
    <w:rsid w:val="00647821"/>
    <w:rsid w:val="00650391"/>
    <w:rsid w:val="00651F3B"/>
    <w:rsid w:val="0065218B"/>
    <w:rsid w:val="00652773"/>
    <w:rsid w:val="00653315"/>
    <w:rsid w:val="006551A0"/>
    <w:rsid w:val="00655B3F"/>
    <w:rsid w:val="006616EE"/>
    <w:rsid w:val="00661A7C"/>
    <w:rsid w:val="00663B91"/>
    <w:rsid w:val="00663EAE"/>
    <w:rsid w:val="006642FA"/>
    <w:rsid w:val="0066498B"/>
    <w:rsid w:val="00666050"/>
    <w:rsid w:val="00671D30"/>
    <w:rsid w:val="00672484"/>
    <w:rsid w:val="00673ECD"/>
    <w:rsid w:val="0067526C"/>
    <w:rsid w:val="00676DA7"/>
    <w:rsid w:val="006777C7"/>
    <w:rsid w:val="00677B54"/>
    <w:rsid w:val="00680BCC"/>
    <w:rsid w:val="00680C02"/>
    <w:rsid w:val="00680F22"/>
    <w:rsid w:val="006814C7"/>
    <w:rsid w:val="00682861"/>
    <w:rsid w:val="00683FF2"/>
    <w:rsid w:val="006868A0"/>
    <w:rsid w:val="00687774"/>
    <w:rsid w:val="00687B01"/>
    <w:rsid w:val="00690C7A"/>
    <w:rsid w:val="0069289D"/>
    <w:rsid w:val="00692E5A"/>
    <w:rsid w:val="006940BE"/>
    <w:rsid w:val="00694124"/>
    <w:rsid w:val="00696AE3"/>
    <w:rsid w:val="00697226"/>
    <w:rsid w:val="006A03DD"/>
    <w:rsid w:val="006A04F8"/>
    <w:rsid w:val="006A2D76"/>
    <w:rsid w:val="006A3D1B"/>
    <w:rsid w:val="006A54F5"/>
    <w:rsid w:val="006A6EBC"/>
    <w:rsid w:val="006A7411"/>
    <w:rsid w:val="006B13E8"/>
    <w:rsid w:val="006B2761"/>
    <w:rsid w:val="006B423F"/>
    <w:rsid w:val="006B5020"/>
    <w:rsid w:val="006B5501"/>
    <w:rsid w:val="006B697D"/>
    <w:rsid w:val="006B7971"/>
    <w:rsid w:val="006B79C5"/>
    <w:rsid w:val="006C0117"/>
    <w:rsid w:val="006C3886"/>
    <w:rsid w:val="006C6994"/>
    <w:rsid w:val="006D0A33"/>
    <w:rsid w:val="006D4450"/>
    <w:rsid w:val="006D4FD1"/>
    <w:rsid w:val="006D5D8C"/>
    <w:rsid w:val="006D69F7"/>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CE7"/>
    <w:rsid w:val="00700DD7"/>
    <w:rsid w:val="007022A4"/>
    <w:rsid w:val="0070366F"/>
    <w:rsid w:val="007050AB"/>
    <w:rsid w:val="00705BB7"/>
    <w:rsid w:val="0070679A"/>
    <w:rsid w:val="00707C14"/>
    <w:rsid w:val="00711D92"/>
    <w:rsid w:val="00711F4D"/>
    <w:rsid w:val="00712577"/>
    <w:rsid w:val="0071289E"/>
    <w:rsid w:val="0071386C"/>
    <w:rsid w:val="00713A8C"/>
    <w:rsid w:val="0071587D"/>
    <w:rsid w:val="00715E59"/>
    <w:rsid w:val="00717125"/>
    <w:rsid w:val="007226F5"/>
    <w:rsid w:val="007231DC"/>
    <w:rsid w:val="00724140"/>
    <w:rsid w:val="0072458B"/>
    <w:rsid w:val="00724D88"/>
    <w:rsid w:val="007251A4"/>
    <w:rsid w:val="00726166"/>
    <w:rsid w:val="00726253"/>
    <w:rsid w:val="00727AFC"/>
    <w:rsid w:val="00730561"/>
    <w:rsid w:val="00732AD0"/>
    <w:rsid w:val="00733FAE"/>
    <w:rsid w:val="007365B6"/>
    <w:rsid w:val="00737070"/>
    <w:rsid w:val="00740B0A"/>
    <w:rsid w:val="00740CAF"/>
    <w:rsid w:val="0074136E"/>
    <w:rsid w:val="0074199E"/>
    <w:rsid w:val="00741EFB"/>
    <w:rsid w:val="00742A00"/>
    <w:rsid w:val="007431E3"/>
    <w:rsid w:val="0074471F"/>
    <w:rsid w:val="00745349"/>
    <w:rsid w:val="00746416"/>
    <w:rsid w:val="00750356"/>
    <w:rsid w:val="00750B0F"/>
    <w:rsid w:val="007510D4"/>
    <w:rsid w:val="00752181"/>
    <w:rsid w:val="007522F6"/>
    <w:rsid w:val="00753A1F"/>
    <w:rsid w:val="00754413"/>
    <w:rsid w:val="0075529E"/>
    <w:rsid w:val="007604BB"/>
    <w:rsid w:val="007619D2"/>
    <w:rsid w:val="00767440"/>
    <w:rsid w:val="00770376"/>
    <w:rsid w:val="007714FC"/>
    <w:rsid w:val="007719CF"/>
    <w:rsid w:val="00775876"/>
    <w:rsid w:val="00775FF7"/>
    <w:rsid w:val="00776C6C"/>
    <w:rsid w:val="00776DCC"/>
    <w:rsid w:val="007779AA"/>
    <w:rsid w:val="00780C87"/>
    <w:rsid w:val="00781A49"/>
    <w:rsid w:val="007837CB"/>
    <w:rsid w:val="00784B29"/>
    <w:rsid w:val="00784D03"/>
    <w:rsid w:val="007850B5"/>
    <w:rsid w:val="00785397"/>
    <w:rsid w:val="00785559"/>
    <w:rsid w:val="007859E4"/>
    <w:rsid w:val="00785DC1"/>
    <w:rsid w:val="00786C0C"/>
    <w:rsid w:val="00786DF1"/>
    <w:rsid w:val="00787215"/>
    <w:rsid w:val="00790351"/>
    <w:rsid w:val="007921CE"/>
    <w:rsid w:val="00792B07"/>
    <w:rsid w:val="00793270"/>
    <w:rsid w:val="00793853"/>
    <w:rsid w:val="007942B4"/>
    <w:rsid w:val="00794FCB"/>
    <w:rsid w:val="00796BC8"/>
    <w:rsid w:val="007A073C"/>
    <w:rsid w:val="007A1B09"/>
    <w:rsid w:val="007A1FB0"/>
    <w:rsid w:val="007A2094"/>
    <w:rsid w:val="007A33B1"/>
    <w:rsid w:val="007A3A26"/>
    <w:rsid w:val="007A462E"/>
    <w:rsid w:val="007A4D7D"/>
    <w:rsid w:val="007A5189"/>
    <w:rsid w:val="007A5A1B"/>
    <w:rsid w:val="007A5B51"/>
    <w:rsid w:val="007A5FA4"/>
    <w:rsid w:val="007A6CC5"/>
    <w:rsid w:val="007B1C2B"/>
    <w:rsid w:val="007B212C"/>
    <w:rsid w:val="007B245D"/>
    <w:rsid w:val="007B2F03"/>
    <w:rsid w:val="007B3463"/>
    <w:rsid w:val="007B3CC4"/>
    <w:rsid w:val="007B404D"/>
    <w:rsid w:val="007B4282"/>
    <w:rsid w:val="007B4452"/>
    <w:rsid w:val="007B4D19"/>
    <w:rsid w:val="007B5C86"/>
    <w:rsid w:val="007B7531"/>
    <w:rsid w:val="007B7BA6"/>
    <w:rsid w:val="007C0DDF"/>
    <w:rsid w:val="007C23BB"/>
    <w:rsid w:val="007C31D8"/>
    <w:rsid w:val="007C4003"/>
    <w:rsid w:val="007C6988"/>
    <w:rsid w:val="007C7550"/>
    <w:rsid w:val="007D150D"/>
    <w:rsid w:val="007D1AEE"/>
    <w:rsid w:val="007D2B34"/>
    <w:rsid w:val="007D60A2"/>
    <w:rsid w:val="007D7444"/>
    <w:rsid w:val="007D7759"/>
    <w:rsid w:val="007D7C1C"/>
    <w:rsid w:val="007E143C"/>
    <w:rsid w:val="007E2C2C"/>
    <w:rsid w:val="007E3ADA"/>
    <w:rsid w:val="007E3E8E"/>
    <w:rsid w:val="007E4D21"/>
    <w:rsid w:val="007E6F09"/>
    <w:rsid w:val="007E6F92"/>
    <w:rsid w:val="007E7D37"/>
    <w:rsid w:val="007F064A"/>
    <w:rsid w:val="007F0E9B"/>
    <w:rsid w:val="007F26A7"/>
    <w:rsid w:val="007F3242"/>
    <w:rsid w:val="007F3E23"/>
    <w:rsid w:val="007F43CB"/>
    <w:rsid w:val="007F448C"/>
    <w:rsid w:val="007F5DCE"/>
    <w:rsid w:val="007F6A31"/>
    <w:rsid w:val="00800C00"/>
    <w:rsid w:val="00800C9C"/>
    <w:rsid w:val="0080288B"/>
    <w:rsid w:val="008031C4"/>
    <w:rsid w:val="0080339D"/>
    <w:rsid w:val="0080456C"/>
    <w:rsid w:val="008047E8"/>
    <w:rsid w:val="00805932"/>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704A"/>
    <w:rsid w:val="00834355"/>
    <w:rsid w:val="00834DE0"/>
    <w:rsid w:val="00835BB2"/>
    <w:rsid w:val="008373D6"/>
    <w:rsid w:val="00837953"/>
    <w:rsid w:val="00837971"/>
    <w:rsid w:val="00837B09"/>
    <w:rsid w:val="00842A56"/>
    <w:rsid w:val="00842C51"/>
    <w:rsid w:val="00843034"/>
    <w:rsid w:val="008437D5"/>
    <w:rsid w:val="00843E8E"/>
    <w:rsid w:val="00843FAA"/>
    <w:rsid w:val="008466B3"/>
    <w:rsid w:val="00847514"/>
    <w:rsid w:val="00847E27"/>
    <w:rsid w:val="008502AF"/>
    <w:rsid w:val="008511A9"/>
    <w:rsid w:val="00853D22"/>
    <w:rsid w:val="008559A3"/>
    <w:rsid w:val="00855FE0"/>
    <w:rsid w:val="00856438"/>
    <w:rsid w:val="00857C59"/>
    <w:rsid w:val="00860FF7"/>
    <w:rsid w:val="0086136C"/>
    <w:rsid w:val="00862AE1"/>
    <w:rsid w:val="00863E5E"/>
    <w:rsid w:val="00865A05"/>
    <w:rsid w:val="008674E0"/>
    <w:rsid w:val="00870088"/>
    <w:rsid w:val="008700CD"/>
    <w:rsid w:val="0087020E"/>
    <w:rsid w:val="008710AF"/>
    <w:rsid w:val="00871355"/>
    <w:rsid w:val="0087185B"/>
    <w:rsid w:val="0087741A"/>
    <w:rsid w:val="00880993"/>
    <w:rsid w:val="00880B00"/>
    <w:rsid w:val="00881200"/>
    <w:rsid w:val="00881240"/>
    <w:rsid w:val="00881336"/>
    <w:rsid w:val="00881E51"/>
    <w:rsid w:val="00883722"/>
    <w:rsid w:val="00884604"/>
    <w:rsid w:val="00884C38"/>
    <w:rsid w:val="00885C6B"/>
    <w:rsid w:val="008900E5"/>
    <w:rsid w:val="0089036E"/>
    <w:rsid w:val="00893A32"/>
    <w:rsid w:val="00894863"/>
    <w:rsid w:val="00895367"/>
    <w:rsid w:val="008965B2"/>
    <w:rsid w:val="00896ABC"/>
    <w:rsid w:val="0089725C"/>
    <w:rsid w:val="008A0447"/>
    <w:rsid w:val="008A076E"/>
    <w:rsid w:val="008A0ACB"/>
    <w:rsid w:val="008A0DFF"/>
    <w:rsid w:val="008A1F22"/>
    <w:rsid w:val="008A25DE"/>
    <w:rsid w:val="008A2E69"/>
    <w:rsid w:val="008A3F66"/>
    <w:rsid w:val="008A5DDB"/>
    <w:rsid w:val="008A6CD7"/>
    <w:rsid w:val="008A7545"/>
    <w:rsid w:val="008B0063"/>
    <w:rsid w:val="008B06C7"/>
    <w:rsid w:val="008B1D63"/>
    <w:rsid w:val="008B696D"/>
    <w:rsid w:val="008C2315"/>
    <w:rsid w:val="008C25C8"/>
    <w:rsid w:val="008C4048"/>
    <w:rsid w:val="008C66F3"/>
    <w:rsid w:val="008C6AD5"/>
    <w:rsid w:val="008C6B72"/>
    <w:rsid w:val="008C6C72"/>
    <w:rsid w:val="008C7683"/>
    <w:rsid w:val="008D0BB5"/>
    <w:rsid w:val="008D1423"/>
    <w:rsid w:val="008D1E2C"/>
    <w:rsid w:val="008D1FAC"/>
    <w:rsid w:val="008D2022"/>
    <w:rsid w:val="008D2A24"/>
    <w:rsid w:val="008D2B36"/>
    <w:rsid w:val="008D48F1"/>
    <w:rsid w:val="008D6067"/>
    <w:rsid w:val="008D6BE5"/>
    <w:rsid w:val="008E0330"/>
    <w:rsid w:val="008E0435"/>
    <w:rsid w:val="008E0D1A"/>
    <w:rsid w:val="008E7EBA"/>
    <w:rsid w:val="008F0BAF"/>
    <w:rsid w:val="008F0F45"/>
    <w:rsid w:val="008F131E"/>
    <w:rsid w:val="008F1B6D"/>
    <w:rsid w:val="008F1C7C"/>
    <w:rsid w:val="008F22E0"/>
    <w:rsid w:val="008F246F"/>
    <w:rsid w:val="008F2840"/>
    <w:rsid w:val="008F4E7D"/>
    <w:rsid w:val="008F5824"/>
    <w:rsid w:val="008F666A"/>
    <w:rsid w:val="008F6C15"/>
    <w:rsid w:val="008F7456"/>
    <w:rsid w:val="008F74A2"/>
    <w:rsid w:val="008F7584"/>
    <w:rsid w:val="0090014E"/>
    <w:rsid w:val="00901794"/>
    <w:rsid w:val="009036E6"/>
    <w:rsid w:val="00904B1C"/>
    <w:rsid w:val="00904FA8"/>
    <w:rsid w:val="009050AA"/>
    <w:rsid w:val="009052CA"/>
    <w:rsid w:val="00905810"/>
    <w:rsid w:val="0090643F"/>
    <w:rsid w:val="009076D8"/>
    <w:rsid w:val="00910470"/>
    <w:rsid w:val="00911044"/>
    <w:rsid w:val="00912E24"/>
    <w:rsid w:val="0091335C"/>
    <w:rsid w:val="00914112"/>
    <w:rsid w:val="009145C9"/>
    <w:rsid w:val="00914EB8"/>
    <w:rsid w:val="00915CAB"/>
    <w:rsid w:val="00915EB5"/>
    <w:rsid w:val="00920C09"/>
    <w:rsid w:val="0092262C"/>
    <w:rsid w:val="00922A56"/>
    <w:rsid w:val="0092343D"/>
    <w:rsid w:val="0092447B"/>
    <w:rsid w:val="00924CF9"/>
    <w:rsid w:val="00924D7D"/>
    <w:rsid w:val="00925DD4"/>
    <w:rsid w:val="0093085A"/>
    <w:rsid w:val="00930F2E"/>
    <w:rsid w:val="009312F5"/>
    <w:rsid w:val="0093283C"/>
    <w:rsid w:val="0093650C"/>
    <w:rsid w:val="00936939"/>
    <w:rsid w:val="0093727C"/>
    <w:rsid w:val="009373A3"/>
    <w:rsid w:val="00941D06"/>
    <w:rsid w:val="009420D6"/>
    <w:rsid w:val="009426D2"/>
    <w:rsid w:val="00943DFE"/>
    <w:rsid w:val="0094410E"/>
    <w:rsid w:val="00944572"/>
    <w:rsid w:val="00946BF0"/>
    <w:rsid w:val="00947602"/>
    <w:rsid w:val="00947DBD"/>
    <w:rsid w:val="00950730"/>
    <w:rsid w:val="009511B7"/>
    <w:rsid w:val="00951FC4"/>
    <w:rsid w:val="00953BD2"/>
    <w:rsid w:val="00954A4E"/>
    <w:rsid w:val="00954C1E"/>
    <w:rsid w:val="00954FD0"/>
    <w:rsid w:val="009562B8"/>
    <w:rsid w:val="00960AE4"/>
    <w:rsid w:val="00962398"/>
    <w:rsid w:val="00962E55"/>
    <w:rsid w:val="00962EDA"/>
    <w:rsid w:val="00964A52"/>
    <w:rsid w:val="00964A6E"/>
    <w:rsid w:val="009653A0"/>
    <w:rsid w:val="009659C3"/>
    <w:rsid w:val="00965CA4"/>
    <w:rsid w:val="00966D7F"/>
    <w:rsid w:val="009702A0"/>
    <w:rsid w:val="00971E86"/>
    <w:rsid w:val="00972D7A"/>
    <w:rsid w:val="0097346C"/>
    <w:rsid w:val="00973E63"/>
    <w:rsid w:val="009747D7"/>
    <w:rsid w:val="0097491E"/>
    <w:rsid w:val="00975980"/>
    <w:rsid w:val="009762F3"/>
    <w:rsid w:val="00977D1C"/>
    <w:rsid w:val="009809A8"/>
    <w:rsid w:val="00980D04"/>
    <w:rsid w:val="00982035"/>
    <w:rsid w:val="00982755"/>
    <w:rsid w:val="00983828"/>
    <w:rsid w:val="00983EF0"/>
    <w:rsid w:val="00985048"/>
    <w:rsid w:val="00985F21"/>
    <w:rsid w:val="00986713"/>
    <w:rsid w:val="0098723D"/>
    <w:rsid w:val="00987645"/>
    <w:rsid w:val="00987ABB"/>
    <w:rsid w:val="0099304B"/>
    <w:rsid w:val="0099593B"/>
    <w:rsid w:val="00996152"/>
    <w:rsid w:val="0099634B"/>
    <w:rsid w:val="009963A1"/>
    <w:rsid w:val="009963EE"/>
    <w:rsid w:val="00997D07"/>
    <w:rsid w:val="009A0B56"/>
    <w:rsid w:val="009A155F"/>
    <w:rsid w:val="009A21CA"/>
    <w:rsid w:val="009A2616"/>
    <w:rsid w:val="009A2977"/>
    <w:rsid w:val="009A29DB"/>
    <w:rsid w:val="009A4C7A"/>
    <w:rsid w:val="009A5C3D"/>
    <w:rsid w:val="009A7CEC"/>
    <w:rsid w:val="009B0095"/>
    <w:rsid w:val="009B1AAA"/>
    <w:rsid w:val="009B2D47"/>
    <w:rsid w:val="009B339E"/>
    <w:rsid w:val="009B4281"/>
    <w:rsid w:val="009B5389"/>
    <w:rsid w:val="009B74E0"/>
    <w:rsid w:val="009B7CEC"/>
    <w:rsid w:val="009C0644"/>
    <w:rsid w:val="009C2DD9"/>
    <w:rsid w:val="009C2FC2"/>
    <w:rsid w:val="009C3A6B"/>
    <w:rsid w:val="009C431A"/>
    <w:rsid w:val="009C48F0"/>
    <w:rsid w:val="009C52BF"/>
    <w:rsid w:val="009D154A"/>
    <w:rsid w:val="009D2FA6"/>
    <w:rsid w:val="009D4149"/>
    <w:rsid w:val="009D5BF6"/>
    <w:rsid w:val="009D720A"/>
    <w:rsid w:val="009D7CA5"/>
    <w:rsid w:val="009D7FF0"/>
    <w:rsid w:val="009E0A41"/>
    <w:rsid w:val="009E0F5E"/>
    <w:rsid w:val="009E1ED9"/>
    <w:rsid w:val="009E2204"/>
    <w:rsid w:val="009E27D8"/>
    <w:rsid w:val="009E3264"/>
    <w:rsid w:val="009E32C7"/>
    <w:rsid w:val="009E3737"/>
    <w:rsid w:val="009E3E94"/>
    <w:rsid w:val="009E4EA9"/>
    <w:rsid w:val="009E561C"/>
    <w:rsid w:val="009E70D1"/>
    <w:rsid w:val="009F0BD5"/>
    <w:rsid w:val="009F2E19"/>
    <w:rsid w:val="009F2F53"/>
    <w:rsid w:val="009F31B2"/>
    <w:rsid w:val="009F544A"/>
    <w:rsid w:val="009F5C0F"/>
    <w:rsid w:val="00A00849"/>
    <w:rsid w:val="00A01590"/>
    <w:rsid w:val="00A019A0"/>
    <w:rsid w:val="00A020E3"/>
    <w:rsid w:val="00A02BE7"/>
    <w:rsid w:val="00A0370B"/>
    <w:rsid w:val="00A03803"/>
    <w:rsid w:val="00A06702"/>
    <w:rsid w:val="00A067F2"/>
    <w:rsid w:val="00A06B3E"/>
    <w:rsid w:val="00A0724A"/>
    <w:rsid w:val="00A1004D"/>
    <w:rsid w:val="00A10CBA"/>
    <w:rsid w:val="00A13764"/>
    <w:rsid w:val="00A14AE7"/>
    <w:rsid w:val="00A14D00"/>
    <w:rsid w:val="00A15416"/>
    <w:rsid w:val="00A15684"/>
    <w:rsid w:val="00A15C17"/>
    <w:rsid w:val="00A16078"/>
    <w:rsid w:val="00A16C00"/>
    <w:rsid w:val="00A1783D"/>
    <w:rsid w:val="00A206CA"/>
    <w:rsid w:val="00A22282"/>
    <w:rsid w:val="00A2376E"/>
    <w:rsid w:val="00A244EE"/>
    <w:rsid w:val="00A253EE"/>
    <w:rsid w:val="00A2610B"/>
    <w:rsid w:val="00A27B50"/>
    <w:rsid w:val="00A27B5D"/>
    <w:rsid w:val="00A310AD"/>
    <w:rsid w:val="00A311CA"/>
    <w:rsid w:val="00A33D79"/>
    <w:rsid w:val="00A35388"/>
    <w:rsid w:val="00A3687E"/>
    <w:rsid w:val="00A41CD4"/>
    <w:rsid w:val="00A42002"/>
    <w:rsid w:val="00A43A37"/>
    <w:rsid w:val="00A44C86"/>
    <w:rsid w:val="00A45B20"/>
    <w:rsid w:val="00A50A1B"/>
    <w:rsid w:val="00A516F4"/>
    <w:rsid w:val="00A52D68"/>
    <w:rsid w:val="00A52EAF"/>
    <w:rsid w:val="00A54423"/>
    <w:rsid w:val="00A5545C"/>
    <w:rsid w:val="00A56151"/>
    <w:rsid w:val="00A56493"/>
    <w:rsid w:val="00A56A3B"/>
    <w:rsid w:val="00A57C5B"/>
    <w:rsid w:val="00A611A5"/>
    <w:rsid w:val="00A6209B"/>
    <w:rsid w:val="00A6243F"/>
    <w:rsid w:val="00A6380F"/>
    <w:rsid w:val="00A63DBB"/>
    <w:rsid w:val="00A67EA4"/>
    <w:rsid w:val="00A74002"/>
    <w:rsid w:val="00A745F3"/>
    <w:rsid w:val="00A74637"/>
    <w:rsid w:val="00A74810"/>
    <w:rsid w:val="00A757C4"/>
    <w:rsid w:val="00A775AA"/>
    <w:rsid w:val="00A77CA6"/>
    <w:rsid w:val="00A77D08"/>
    <w:rsid w:val="00A80D6F"/>
    <w:rsid w:val="00A80E49"/>
    <w:rsid w:val="00A81B35"/>
    <w:rsid w:val="00A81C6E"/>
    <w:rsid w:val="00A82445"/>
    <w:rsid w:val="00A82E65"/>
    <w:rsid w:val="00A837A8"/>
    <w:rsid w:val="00A849F3"/>
    <w:rsid w:val="00A84EBD"/>
    <w:rsid w:val="00A84F2F"/>
    <w:rsid w:val="00A850C5"/>
    <w:rsid w:val="00A863EA"/>
    <w:rsid w:val="00A86E6D"/>
    <w:rsid w:val="00A873EB"/>
    <w:rsid w:val="00A874C8"/>
    <w:rsid w:val="00A90783"/>
    <w:rsid w:val="00A909E3"/>
    <w:rsid w:val="00A92A2B"/>
    <w:rsid w:val="00A93696"/>
    <w:rsid w:val="00A93FF3"/>
    <w:rsid w:val="00A94C70"/>
    <w:rsid w:val="00A95577"/>
    <w:rsid w:val="00A95622"/>
    <w:rsid w:val="00A96611"/>
    <w:rsid w:val="00A96BCB"/>
    <w:rsid w:val="00A97A2A"/>
    <w:rsid w:val="00AA0C13"/>
    <w:rsid w:val="00AA15ED"/>
    <w:rsid w:val="00AA35DD"/>
    <w:rsid w:val="00AA508C"/>
    <w:rsid w:val="00AA6136"/>
    <w:rsid w:val="00AB01B0"/>
    <w:rsid w:val="00AB103C"/>
    <w:rsid w:val="00AB1505"/>
    <w:rsid w:val="00AB17A8"/>
    <w:rsid w:val="00AB220B"/>
    <w:rsid w:val="00AB2F9D"/>
    <w:rsid w:val="00AB3608"/>
    <w:rsid w:val="00AB39EF"/>
    <w:rsid w:val="00AB5649"/>
    <w:rsid w:val="00AB595B"/>
    <w:rsid w:val="00AB610D"/>
    <w:rsid w:val="00AB6C7E"/>
    <w:rsid w:val="00AB7535"/>
    <w:rsid w:val="00AC0854"/>
    <w:rsid w:val="00AC1D0E"/>
    <w:rsid w:val="00AC3037"/>
    <w:rsid w:val="00AC3379"/>
    <w:rsid w:val="00AC46B1"/>
    <w:rsid w:val="00AC4D36"/>
    <w:rsid w:val="00AC5433"/>
    <w:rsid w:val="00AC55BF"/>
    <w:rsid w:val="00AC60BD"/>
    <w:rsid w:val="00AC7775"/>
    <w:rsid w:val="00AC7FBE"/>
    <w:rsid w:val="00AD04A9"/>
    <w:rsid w:val="00AD22CC"/>
    <w:rsid w:val="00AD4550"/>
    <w:rsid w:val="00AD544A"/>
    <w:rsid w:val="00AD7CB2"/>
    <w:rsid w:val="00AD7DCD"/>
    <w:rsid w:val="00AE0AA7"/>
    <w:rsid w:val="00AE0BC7"/>
    <w:rsid w:val="00AE25A0"/>
    <w:rsid w:val="00AE2D70"/>
    <w:rsid w:val="00AE38A7"/>
    <w:rsid w:val="00AE3D71"/>
    <w:rsid w:val="00AE454F"/>
    <w:rsid w:val="00AE49E6"/>
    <w:rsid w:val="00AE4FD6"/>
    <w:rsid w:val="00AE547B"/>
    <w:rsid w:val="00AE665E"/>
    <w:rsid w:val="00AE71B7"/>
    <w:rsid w:val="00AE7E5A"/>
    <w:rsid w:val="00AF2985"/>
    <w:rsid w:val="00AF2CF8"/>
    <w:rsid w:val="00AF3E3B"/>
    <w:rsid w:val="00AF448B"/>
    <w:rsid w:val="00AF5896"/>
    <w:rsid w:val="00AF7CE4"/>
    <w:rsid w:val="00B00166"/>
    <w:rsid w:val="00B004AE"/>
    <w:rsid w:val="00B00786"/>
    <w:rsid w:val="00B01642"/>
    <w:rsid w:val="00B04DF1"/>
    <w:rsid w:val="00B05389"/>
    <w:rsid w:val="00B07FEE"/>
    <w:rsid w:val="00B14292"/>
    <w:rsid w:val="00B145D0"/>
    <w:rsid w:val="00B14B7E"/>
    <w:rsid w:val="00B14D98"/>
    <w:rsid w:val="00B15CD5"/>
    <w:rsid w:val="00B15F70"/>
    <w:rsid w:val="00B15F98"/>
    <w:rsid w:val="00B161FD"/>
    <w:rsid w:val="00B1687E"/>
    <w:rsid w:val="00B20654"/>
    <w:rsid w:val="00B217B9"/>
    <w:rsid w:val="00B21DAD"/>
    <w:rsid w:val="00B229B6"/>
    <w:rsid w:val="00B243AE"/>
    <w:rsid w:val="00B244AE"/>
    <w:rsid w:val="00B25548"/>
    <w:rsid w:val="00B25966"/>
    <w:rsid w:val="00B26088"/>
    <w:rsid w:val="00B2734B"/>
    <w:rsid w:val="00B324C0"/>
    <w:rsid w:val="00B33F49"/>
    <w:rsid w:val="00B366EA"/>
    <w:rsid w:val="00B36CF8"/>
    <w:rsid w:val="00B36D59"/>
    <w:rsid w:val="00B37831"/>
    <w:rsid w:val="00B40323"/>
    <w:rsid w:val="00B40587"/>
    <w:rsid w:val="00B41D95"/>
    <w:rsid w:val="00B43413"/>
    <w:rsid w:val="00B44E7F"/>
    <w:rsid w:val="00B46BB0"/>
    <w:rsid w:val="00B509BD"/>
    <w:rsid w:val="00B51098"/>
    <w:rsid w:val="00B52768"/>
    <w:rsid w:val="00B53F5A"/>
    <w:rsid w:val="00B543AD"/>
    <w:rsid w:val="00B55D1F"/>
    <w:rsid w:val="00B5623E"/>
    <w:rsid w:val="00B5757C"/>
    <w:rsid w:val="00B57A1A"/>
    <w:rsid w:val="00B60677"/>
    <w:rsid w:val="00B63618"/>
    <w:rsid w:val="00B6554C"/>
    <w:rsid w:val="00B66D5D"/>
    <w:rsid w:val="00B72005"/>
    <w:rsid w:val="00B72371"/>
    <w:rsid w:val="00B72DFE"/>
    <w:rsid w:val="00B75A9F"/>
    <w:rsid w:val="00B7678D"/>
    <w:rsid w:val="00B767C7"/>
    <w:rsid w:val="00B778A6"/>
    <w:rsid w:val="00B779D5"/>
    <w:rsid w:val="00B83075"/>
    <w:rsid w:val="00B85093"/>
    <w:rsid w:val="00B85FA2"/>
    <w:rsid w:val="00B871D2"/>
    <w:rsid w:val="00B87462"/>
    <w:rsid w:val="00B8769A"/>
    <w:rsid w:val="00B878C3"/>
    <w:rsid w:val="00B90623"/>
    <w:rsid w:val="00B90D32"/>
    <w:rsid w:val="00B92708"/>
    <w:rsid w:val="00B936AB"/>
    <w:rsid w:val="00B96AD4"/>
    <w:rsid w:val="00BA0273"/>
    <w:rsid w:val="00BA0806"/>
    <w:rsid w:val="00BA0BBE"/>
    <w:rsid w:val="00BA0EC7"/>
    <w:rsid w:val="00BA2542"/>
    <w:rsid w:val="00BA2924"/>
    <w:rsid w:val="00BA3DAF"/>
    <w:rsid w:val="00BA6C5E"/>
    <w:rsid w:val="00BA6F86"/>
    <w:rsid w:val="00BA70EA"/>
    <w:rsid w:val="00BB199F"/>
    <w:rsid w:val="00BB2001"/>
    <w:rsid w:val="00BB30F6"/>
    <w:rsid w:val="00BB44BB"/>
    <w:rsid w:val="00BB5779"/>
    <w:rsid w:val="00BB5F57"/>
    <w:rsid w:val="00BB63A5"/>
    <w:rsid w:val="00BB6662"/>
    <w:rsid w:val="00BB7BE1"/>
    <w:rsid w:val="00BC148F"/>
    <w:rsid w:val="00BC17A0"/>
    <w:rsid w:val="00BC21DB"/>
    <w:rsid w:val="00BC3B10"/>
    <w:rsid w:val="00BC4401"/>
    <w:rsid w:val="00BD017A"/>
    <w:rsid w:val="00BD2AF2"/>
    <w:rsid w:val="00BD2EAC"/>
    <w:rsid w:val="00BD3C73"/>
    <w:rsid w:val="00BD421A"/>
    <w:rsid w:val="00BD439C"/>
    <w:rsid w:val="00BD6832"/>
    <w:rsid w:val="00BE1440"/>
    <w:rsid w:val="00BE18EF"/>
    <w:rsid w:val="00BE24A0"/>
    <w:rsid w:val="00BE5245"/>
    <w:rsid w:val="00BE6837"/>
    <w:rsid w:val="00BF18D2"/>
    <w:rsid w:val="00BF1A2D"/>
    <w:rsid w:val="00BF1C23"/>
    <w:rsid w:val="00BF264D"/>
    <w:rsid w:val="00BF5E1F"/>
    <w:rsid w:val="00BF7D6A"/>
    <w:rsid w:val="00C00264"/>
    <w:rsid w:val="00C01E51"/>
    <w:rsid w:val="00C05CC4"/>
    <w:rsid w:val="00C06575"/>
    <w:rsid w:val="00C114A7"/>
    <w:rsid w:val="00C14BEC"/>
    <w:rsid w:val="00C179D4"/>
    <w:rsid w:val="00C211CC"/>
    <w:rsid w:val="00C218F8"/>
    <w:rsid w:val="00C21C5A"/>
    <w:rsid w:val="00C23912"/>
    <w:rsid w:val="00C23C74"/>
    <w:rsid w:val="00C2628A"/>
    <w:rsid w:val="00C262FB"/>
    <w:rsid w:val="00C26C25"/>
    <w:rsid w:val="00C275CC"/>
    <w:rsid w:val="00C31B7D"/>
    <w:rsid w:val="00C325A2"/>
    <w:rsid w:val="00C32AFE"/>
    <w:rsid w:val="00C33E52"/>
    <w:rsid w:val="00C345B6"/>
    <w:rsid w:val="00C34D5B"/>
    <w:rsid w:val="00C35D65"/>
    <w:rsid w:val="00C36010"/>
    <w:rsid w:val="00C3643C"/>
    <w:rsid w:val="00C373A6"/>
    <w:rsid w:val="00C40C49"/>
    <w:rsid w:val="00C4230E"/>
    <w:rsid w:val="00C42C3A"/>
    <w:rsid w:val="00C4330A"/>
    <w:rsid w:val="00C45734"/>
    <w:rsid w:val="00C470DB"/>
    <w:rsid w:val="00C47BFA"/>
    <w:rsid w:val="00C50BB7"/>
    <w:rsid w:val="00C52C1C"/>
    <w:rsid w:val="00C5346B"/>
    <w:rsid w:val="00C54D98"/>
    <w:rsid w:val="00C565B1"/>
    <w:rsid w:val="00C56DD3"/>
    <w:rsid w:val="00C57173"/>
    <w:rsid w:val="00C61760"/>
    <w:rsid w:val="00C61FB4"/>
    <w:rsid w:val="00C62A13"/>
    <w:rsid w:val="00C64F59"/>
    <w:rsid w:val="00C6566D"/>
    <w:rsid w:val="00C662F1"/>
    <w:rsid w:val="00C67A2A"/>
    <w:rsid w:val="00C7227C"/>
    <w:rsid w:val="00C72C09"/>
    <w:rsid w:val="00C734D0"/>
    <w:rsid w:val="00C73B75"/>
    <w:rsid w:val="00C753ED"/>
    <w:rsid w:val="00C75614"/>
    <w:rsid w:val="00C75AA7"/>
    <w:rsid w:val="00C7618A"/>
    <w:rsid w:val="00C76626"/>
    <w:rsid w:val="00C77FFC"/>
    <w:rsid w:val="00C802CA"/>
    <w:rsid w:val="00C81651"/>
    <w:rsid w:val="00C831C3"/>
    <w:rsid w:val="00C8374F"/>
    <w:rsid w:val="00C85B20"/>
    <w:rsid w:val="00C85E6E"/>
    <w:rsid w:val="00C86B19"/>
    <w:rsid w:val="00C874DE"/>
    <w:rsid w:val="00C87E15"/>
    <w:rsid w:val="00C92F28"/>
    <w:rsid w:val="00C93BBC"/>
    <w:rsid w:val="00C9480D"/>
    <w:rsid w:val="00C96156"/>
    <w:rsid w:val="00CA1196"/>
    <w:rsid w:val="00CA1555"/>
    <w:rsid w:val="00CA163A"/>
    <w:rsid w:val="00CA17D7"/>
    <w:rsid w:val="00CA2998"/>
    <w:rsid w:val="00CA352C"/>
    <w:rsid w:val="00CA3637"/>
    <w:rsid w:val="00CA3A62"/>
    <w:rsid w:val="00CA5645"/>
    <w:rsid w:val="00CA71B0"/>
    <w:rsid w:val="00CA73C3"/>
    <w:rsid w:val="00CA7D47"/>
    <w:rsid w:val="00CB022B"/>
    <w:rsid w:val="00CB0B01"/>
    <w:rsid w:val="00CB2089"/>
    <w:rsid w:val="00CB2934"/>
    <w:rsid w:val="00CB385E"/>
    <w:rsid w:val="00CB3AA9"/>
    <w:rsid w:val="00CB53D1"/>
    <w:rsid w:val="00CB5B27"/>
    <w:rsid w:val="00CB5D5A"/>
    <w:rsid w:val="00CB619F"/>
    <w:rsid w:val="00CB67D7"/>
    <w:rsid w:val="00CB6AA2"/>
    <w:rsid w:val="00CB6C7A"/>
    <w:rsid w:val="00CB7B3C"/>
    <w:rsid w:val="00CC0ED0"/>
    <w:rsid w:val="00CC1872"/>
    <w:rsid w:val="00CC2DEC"/>
    <w:rsid w:val="00CC3EC0"/>
    <w:rsid w:val="00CC4995"/>
    <w:rsid w:val="00CC538F"/>
    <w:rsid w:val="00CC78D4"/>
    <w:rsid w:val="00CC7F3F"/>
    <w:rsid w:val="00CD544A"/>
    <w:rsid w:val="00CE33F1"/>
    <w:rsid w:val="00CE35B0"/>
    <w:rsid w:val="00CE51BF"/>
    <w:rsid w:val="00CE57F9"/>
    <w:rsid w:val="00CE7044"/>
    <w:rsid w:val="00CF06B9"/>
    <w:rsid w:val="00CF0AE6"/>
    <w:rsid w:val="00CF3A31"/>
    <w:rsid w:val="00CF542C"/>
    <w:rsid w:val="00CF5942"/>
    <w:rsid w:val="00CF691F"/>
    <w:rsid w:val="00CF6C26"/>
    <w:rsid w:val="00CF6D76"/>
    <w:rsid w:val="00D00D01"/>
    <w:rsid w:val="00D010A7"/>
    <w:rsid w:val="00D04B4D"/>
    <w:rsid w:val="00D076DA"/>
    <w:rsid w:val="00D11F45"/>
    <w:rsid w:val="00D13B0A"/>
    <w:rsid w:val="00D13C7E"/>
    <w:rsid w:val="00D1427E"/>
    <w:rsid w:val="00D14B88"/>
    <w:rsid w:val="00D16D78"/>
    <w:rsid w:val="00D16EBE"/>
    <w:rsid w:val="00D171A0"/>
    <w:rsid w:val="00D17D66"/>
    <w:rsid w:val="00D203E3"/>
    <w:rsid w:val="00D20FF9"/>
    <w:rsid w:val="00D21C59"/>
    <w:rsid w:val="00D237DB"/>
    <w:rsid w:val="00D2388F"/>
    <w:rsid w:val="00D23C04"/>
    <w:rsid w:val="00D30C55"/>
    <w:rsid w:val="00D3128C"/>
    <w:rsid w:val="00D32021"/>
    <w:rsid w:val="00D322E0"/>
    <w:rsid w:val="00D327BD"/>
    <w:rsid w:val="00D331B3"/>
    <w:rsid w:val="00D3323B"/>
    <w:rsid w:val="00D332F7"/>
    <w:rsid w:val="00D34990"/>
    <w:rsid w:val="00D34E44"/>
    <w:rsid w:val="00D35AED"/>
    <w:rsid w:val="00D36375"/>
    <w:rsid w:val="00D37FC4"/>
    <w:rsid w:val="00D40886"/>
    <w:rsid w:val="00D40B48"/>
    <w:rsid w:val="00D41012"/>
    <w:rsid w:val="00D419FE"/>
    <w:rsid w:val="00D43686"/>
    <w:rsid w:val="00D44C3E"/>
    <w:rsid w:val="00D471E0"/>
    <w:rsid w:val="00D4783B"/>
    <w:rsid w:val="00D478B8"/>
    <w:rsid w:val="00D51412"/>
    <w:rsid w:val="00D52454"/>
    <w:rsid w:val="00D53FE9"/>
    <w:rsid w:val="00D5568B"/>
    <w:rsid w:val="00D5587F"/>
    <w:rsid w:val="00D55F6E"/>
    <w:rsid w:val="00D5631B"/>
    <w:rsid w:val="00D56797"/>
    <w:rsid w:val="00D56EE5"/>
    <w:rsid w:val="00D56FAB"/>
    <w:rsid w:val="00D575BE"/>
    <w:rsid w:val="00D60276"/>
    <w:rsid w:val="00D630BB"/>
    <w:rsid w:val="00D63D96"/>
    <w:rsid w:val="00D649ED"/>
    <w:rsid w:val="00D67A1D"/>
    <w:rsid w:val="00D726FB"/>
    <w:rsid w:val="00D72977"/>
    <w:rsid w:val="00D742A4"/>
    <w:rsid w:val="00D77070"/>
    <w:rsid w:val="00D80D70"/>
    <w:rsid w:val="00D81591"/>
    <w:rsid w:val="00D8296D"/>
    <w:rsid w:val="00D82C53"/>
    <w:rsid w:val="00D830C1"/>
    <w:rsid w:val="00D83B08"/>
    <w:rsid w:val="00D84A76"/>
    <w:rsid w:val="00D84C35"/>
    <w:rsid w:val="00D84DF8"/>
    <w:rsid w:val="00D86D70"/>
    <w:rsid w:val="00D87323"/>
    <w:rsid w:val="00D90BCF"/>
    <w:rsid w:val="00D9171F"/>
    <w:rsid w:val="00D92608"/>
    <w:rsid w:val="00D94621"/>
    <w:rsid w:val="00D9557E"/>
    <w:rsid w:val="00D95D08"/>
    <w:rsid w:val="00D96778"/>
    <w:rsid w:val="00D96FE0"/>
    <w:rsid w:val="00D97914"/>
    <w:rsid w:val="00D97B32"/>
    <w:rsid w:val="00DA146D"/>
    <w:rsid w:val="00DA1A3B"/>
    <w:rsid w:val="00DA2D9C"/>
    <w:rsid w:val="00DA3CF5"/>
    <w:rsid w:val="00DA45B0"/>
    <w:rsid w:val="00DA4F39"/>
    <w:rsid w:val="00DA561B"/>
    <w:rsid w:val="00DA604D"/>
    <w:rsid w:val="00DA6C1F"/>
    <w:rsid w:val="00DA6E8C"/>
    <w:rsid w:val="00DB02E9"/>
    <w:rsid w:val="00DB0619"/>
    <w:rsid w:val="00DB0784"/>
    <w:rsid w:val="00DB1135"/>
    <w:rsid w:val="00DB18BC"/>
    <w:rsid w:val="00DB1D86"/>
    <w:rsid w:val="00DB379A"/>
    <w:rsid w:val="00DB5069"/>
    <w:rsid w:val="00DB68D7"/>
    <w:rsid w:val="00DB738D"/>
    <w:rsid w:val="00DC1A20"/>
    <w:rsid w:val="00DC2D14"/>
    <w:rsid w:val="00DC31D9"/>
    <w:rsid w:val="00DC5149"/>
    <w:rsid w:val="00DC53ED"/>
    <w:rsid w:val="00DC745B"/>
    <w:rsid w:val="00DC7760"/>
    <w:rsid w:val="00DD14D3"/>
    <w:rsid w:val="00DD17D6"/>
    <w:rsid w:val="00DD1EF7"/>
    <w:rsid w:val="00DD5588"/>
    <w:rsid w:val="00DD5ADB"/>
    <w:rsid w:val="00DD7BE1"/>
    <w:rsid w:val="00DE0A37"/>
    <w:rsid w:val="00DE1958"/>
    <w:rsid w:val="00DE37EE"/>
    <w:rsid w:val="00DE3A2F"/>
    <w:rsid w:val="00DE431B"/>
    <w:rsid w:val="00DE4AA2"/>
    <w:rsid w:val="00DE5362"/>
    <w:rsid w:val="00DE76B9"/>
    <w:rsid w:val="00DF0EAE"/>
    <w:rsid w:val="00DF1C94"/>
    <w:rsid w:val="00DF2ACA"/>
    <w:rsid w:val="00DF2CD8"/>
    <w:rsid w:val="00DF30D3"/>
    <w:rsid w:val="00DF4246"/>
    <w:rsid w:val="00DF5535"/>
    <w:rsid w:val="00DF68EA"/>
    <w:rsid w:val="00E01B88"/>
    <w:rsid w:val="00E030FA"/>
    <w:rsid w:val="00E05051"/>
    <w:rsid w:val="00E05FF1"/>
    <w:rsid w:val="00E10B7F"/>
    <w:rsid w:val="00E14139"/>
    <w:rsid w:val="00E14B35"/>
    <w:rsid w:val="00E1574D"/>
    <w:rsid w:val="00E1603A"/>
    <w:rsid w:val="00E208E0"/>
    <w:rsid w:val="00E22256"/>
    <w:rsid w:val="00E22638"/>
    <w:rsid w:val="00E22749"/>
    <w:rsid w:val="00E240F0"/>
    <w:rsid w:val="00E2572B"/>
    <w:rsid w:val="00E257A1"/>
    <w:rsid w:val="00E2717D"/>
    <w:rsid w:val="00E27DF1"/>
    <w:rsid w:val="00E30FAD"/>
    <w:rsid w:val="00E31A0E"/>
    <w:rsid w:val="00E32457"/>
    <w:rsid w:val="00E32849"/>
    <w:rsid w:val="00E33A71"/>
    <w:rsid w:val="00E34EAF"/>
    <w:rsid w:val="00E35F8F"/>
    <w:rsid w:val="00E36CB4"/>
    <w:rsid w:val="00E4032A"/>
    <w:rsid w:val="00E43CA8"/>
    <w:rsid w:val="00E45881"/>
    <w:rsid w:val="00E460F4"/>
    <w:rsid w:val="00E46709"/>
    <w:rsid w:val="00E469A5"/>
    <w:rsid w:val="00E543D5"/>
    <w:rsid w:val="00E54991"/>
    <w:rsid w:val="00E56BE9"/>
    <w:rsid w:val="00E56E7E"/>
    <w:rsid w:val="00E579ED"/>
    <w:rsid w:val="00E602EC"/>
    <w:rsid w:val="00E608FE"/>
    <w:rsid w:val="00E60D21"/>
    <w:rsid w:val="00E62349"/>
    <w:rsid w:val="00E62549"/>
    <w:rsid w:val="00E626EE"/>
    <w:rsid w:val="00E63891"/>
    <w:rsid w:val="00E63A1F"/>
    <w:rsid w:val="00E66B86"/>
    <w:rsid w:val="00E704AC"/>
    <w:rsid w:val="00E71D0B"/>
    <w:rsid w:val="00E7294C"/>
    <w:rsid w:val="00E742E5"/>
    <w:rsid w:val="00E7703F"/>
    <w:rsid w:val="00E77856"/>
    <w:rsid w:val="00E77F29"/>
    <w:rsid w:val="00E80C8C"/>
    <w:rsid w:val="00E81BC9"/>
    <w:rsid w:val="00E81C31"/>
    <w:rsid w:val="00E85054"/>
    <w:rsid w:val="00E86E6E"/>
    <w:rsid w:val="00E9155E"/>
    <w:rsid w:val="00E91571"/>
    <w:rsid w:val="00E91691"/>
    <w:rsid w:val="00E917FF"/>
    <w:rsid w:val="00E91916"/>
    <w:rsid w:val="00E92834"/>
    <w:rsid w:val="00E94591"/>
    <w:rsid w:val="00E94F2E"/>
    <w:rsid w:val="00E95724"/>
    <w:rsid w:val="00EA1519"/>
    <w:rsid w:val="00EA36BC"/>
    <w:rsid w:val="00EA3866"/>
    <w:rsid w:val="00EA3FBC"/>
    <w:rsid w:val="00EA47E6"/>
    <w:rsid w:val="00EA5083"/>
    <w:rsid w:val="00EA5284"/>
    <w:rsid w:val="00EA6126"/>
    <w:rsid w:val="00EA7B20"/>
    <w:rsid w:val="00EA7B59"/>
    <w:rsid w:val="00EB0332"/>
    <w:rsid w:val="00EB0CFC"/>
    <w:rsid w:val="00EB210E"/>
    <w:rsid w:val="00EB4708"/>
    <w:rsid w:val="00EB4D5F"/>
    <w:rsid w:val="00EB6102"/>
    <w:rsid w:val="00EC0A95"/>
    <w:rsid w:val="00EC21E4"/>
    <w:rsid w:val="00EC3689"/>
    <w:rsid w:val="00EC3CAD"/>
    <w:rsid w:val="00EC5029"/>
    <w:rsid w:val="00EC5707"/>
    <w:rsid w:val="00EC6782"/>
    <w:rsid w:val="00EC6F42"/>
    <w:rsid w:val="00EC71FE"/>
    <w:rsid w:val="00EC7299"/>
    <w:rsid w:val="00EC7A31"/>
    <w:rsid w:val="00ED1999"/>
    <w:rsid w:val="00ED1BD3"/>
    <w:rsid w:val="00ED484F"/>
    <w:rsid w:val="00ED5B27"/>
    <w:rsid w:val="00ED6DB3"/>
    <w:rsid w:val="00ED751A"/>
    <w:rsid w:val="00ED7AAF"/>
    <w:rsid w:val="00ED7D75"/>
    <w:rsid w:val="00EE25DC"/>
    <w:rsid w:val="00EE39FB"/>
    <w:rsid w:val="00EE4598"/>
    <w:rsid w:val="00EE531B"/>
    <w:rsid w:val="00EE6762"/>
    <w:rsid w:val="00EE6BCA"/>
    <w:rsid w:val="00EF03C6"/>
    <w:rsid w:val="00EF0524"/>
    <w:rsid w:val="00EF0A13"/>
    <w:rsid w:val="00EF1726"/>
    <w:rsid w:val="00EF1E0D"/>
    <w:rsid w:val="00EF2602"/>
    <w:rsid w:val="00EF326B"/>
    <w:rsid w:val="00EF382C"/>
    <w:rsid w:val="00EF3CC8"/>
    <w:rsid w:val="00EF4C8C"/>
    <w:rsid w:val="00EF6132"/>
    <w:rsid w:val="00EF6EB7"/>
    <w:rsid w:val="00F029E9"/>
    <w:rsid w:val="00F0358D"/>
    <w:rsid w:val="00F03823"/>
    <w:rsid w:val="00F03DBD"/>
    <w:rsid w:val="00F04D27"/>
    <w:rsid w:val="00F05502"/>
    <w:rsid w:val="00F0581C"/>
    <w:rsid w:val="00F05CE9"/>
    <w:rsid w:val="00F06032"/>
    <w:rsid w:val="00F0715A"/>
    <w:rsid w:val="00F07891"/>
    <w:rsid w:val="00F07A51"/>
    <w:rsid w:val="00F07AB6"/>
    <w:rsid w:val="00F148FF"/>
    <w:rsid w:val="00F15ABC"/>
    <w:rsid w:val="00F16652"/>
    <w:rsid w:val="00F178B1"/>
    <w:rsid w:val="00F17924"/>
    <w:rsid w:val="00F20C15"/>
    <w:rsid w:val="00F21F9F"/>
    <w:rsid w:val="00F27306"/>
    <w:rsid w:val="00F2774F"/>
    <w:rsid w:val="00F30BBF"/>
    <w:rsid w:val="00F3114A"/>
    <w:rsid w:val="00F3192B"/>
    <w:rsid w:val="00F31BD3"/>
    <w:rsid w:val="00F32746"/>
    <w:rsid w:val="00F335FE"/>
    <w:rsid w:val="00F353DB"/>
    <w:rsid w:val="00F40919"/>
    <w:rsid w:val="00F420FA"/>
    <w:rsid w:val="00F43486"/>
    <w:rsid w:val="00F43EDB"/>
    <w:rsid w:val="00F453D7"/>
    <w:rsid w:val="00F45578"/>
    <w:rsid w:val="00F465B8"/>
    <w:rsid w:val="00F46A57"/>
    <w:rsid w:val="00F46F52"/>
    <w:rsid w:val="00F475F5"/>
    <w:rsid w:val="00F50427"/>
    <w:rsid w:val="00F50552"/>
    <w:rsid w:val="00F51355"/>
    <w:rsid w:val="00F5152C"/>
    <w:rsid w:val="00F52F60"/>
    <w:rsid w:val="00F5347D"/>
    <w:rsid w:val="00F53CD6"/>
    <w:rsid w:val="00F553F1"/>
    <w:rsid w:val="00F570DD"/>
    <w:rsid w:val="00F60AF5"/>
    <w:rsid w:val="00F626B8"/>
    <w:rsid w:val="00F62BC9"/>
    <w:rsid w:val="00F62E1A"/>
    <w:rsid w:val="00F6338A"/>
    <w:rsid w:val="00F635F0"/>
    <w:rsid w:val="00F64854"/>
    <w:rsid w:val="00F669CD"/>
    <w:rsid w:val="00F67584"/>
    <w:rsid w:val="00F70030"/>
    <w:rsid w:val="00F703CF"/>
    <w:rsid w:val="00F71662"/>
    <w:rsid w:val="00F72475"/>
    <w:rsid w:val="00F74E2A"/>
    <w:rsid w:val="00F7601C"/>
    <w:rsid w:val="00F7634F"/>
    <w:rsid w:val="00F77F7D"/>
    <w:rsid w:val="00F80010"/>
    <w:rsid w:val="00F80F7D"/>
    <w:rsid w:val="00F81CA7"/>
    <w:rsid w:val="00F83E4E"/>
    <w:rsid w:val="00F868EB"/>
    <w:rsid w:val="00F90DD1"/>
    <w:rsid w:val="00F91434"/>
    <w:rsid w:val="00F9221D"/>
    <w:rsid w:val="00F93C4E"/>
    <w:rsid w:val="00F9412C"/>
    <w:rsid w:val="00F94890"/>
    <w:rsid w:val="00F9533D"/>
    <w:rsid w:val="00F9541A"/>
    <w:rsid w:val="00F96358"/>
    <w:rsid w:val="00FA24EA"/>
    <w:rsid w:val="00FA4E55"/>
    <w:rsid w:val="00FB0033"/>
    <w:rsid w:val="00FB0ACB"/>
    <w:rsid w:val="00FB2745"/>
    <w:rsid w:val="00FB2A3F"/>
    <w:rsid w:val="00FB2CB3"/>
    <w:rsid w:val="00FB46B5"/>
    <w:rsid w:val="00FB655A"/>
    <w:rsid w:val="00FC091E"/>
    <w:rsid w:val="00FC0DE2"/>
    <w:rsid w:val="00FC12B6"/>
    <w:rsid w:val="00FC1EB7"/>
    <w:rsid w:val="00FC2577"/>
    <w:rsid w:val="00FC34B5"/>
    <w:rsid w:val="00FC5959"/>
    <w:rsid w:val="00FC67A6"/>
    <w:rsid w:val="00FC699E"/>
    <w:rsid w:val="00FC6B62"/>
    <w:rsid w:val="00FC7767"/>
    <w:rsid w:val="00FC7BDC"/>
    <w:rsid w:val="00FD146A"/>
    <w:rsid w:val="00FD1543"/>
    <w:rsid w:val="00FD20F3"/>
    <w:rsid w:val="00FD2188"/>
    <w:rsid w:val="00FD2429"/>
    <w:rsid w:val="00FD28D8"/>
    <w:rsid w:val="00FD2C57"/>
    <w:rsid w:val="00FD3DF0"/>
    <w:rsid w:val="00FD4113"/>
    <w:rsid w:val="00FD5E2E"/>
    <w:rsid w:val="00FE1B3B"/>
    <w:rsid w:val="00FE1D86"/>
    <w:rsid w:val="00FE2679"/>
    <w:rsid w:val="00FE34ED"/>
    <w:rsid w:val="00FE4337"/>
    <w:rsid w:val="00FE4904"/>
    <w:rsid w:val="00FE4C69"/>
    <w:rsid w:val="00FE57EE"/>
    <w:rsid w:val="00FE58C7"/>
    <w:rsid w:val="00FE7588"/>
    <w:rsid w:val="00FF30CE"/>
    <w:rsid w:val="00FF37C2"/>
    <w:rsid w:val="00FF4D69"/>
    <w:rsid w:val="00FF4FAC"/>
    <w:rsid w:val="00FF508D"/>
    <w:rsid w:val="00FF624A"/>
    <w:rsid w:val="00FF7712"/>
    <w:rsid w:val="00FF79A9"/>
    <w:rsid w:val="00FF7BAE"/>
    <w:rsid w:val="01152B5F"/>
    <w:rsid w:val="012304E9"/>
    <w:rsid w:val="017F3EED"/>
    <w:rsid w:val="02206017"/>
    <w:rsid w:val="024677F2"/>
    <w:rsid w:val="02EC7A94"/>
    <w:rsid w:val="036E5A21"/>
    <w:rsid w:val="03E6051C"/>
    <w:rsid w:val="0419631C"/>
    <w:rsid w:val="043240A2"/>
    <w:rsid w:val="04FB5A13"/>
    <w:rsid w:val="07EC6F0B"/>
    <w:rsid w:val="08433A0C"/>
    <w:rsid w:val="08965EEE"/>
    <w:rsid w:val="08A4443A"/>
    <w:rsid w:val="08CA63AF"/>
    <w:rsid w:val="0A37356D"/>
    <w:rsid w:val="0B8F2541"/>
    <w:rsid w:val="0DCB1BC3"/>
    <w:rsid w:val="0DE37B48"/>
    <w:rsid w:val="0E397051"/>
    <w:rsid w:val="0E537FC3"/>
    <w:rsid w:val="0E856EE6"/>
    <w:rsid w:val="0E861029"/>
    <w:rsid w:val="0EC6726F"/>
    <w:rsid w:val="0F4B692A"/>
    <w:rsid w:val="0FFF0A52"/>
    <w:rsid w:val="106519EC"/>
    <w:rsid w:val="108F3EB6"/>
    <w:rsid w:val="113E51CB"/>
    <w:rsid w:val="115171FB"/>
    <w:rsid w:val="116622C5"/>
    <w:rsid w:val="11A95B02"/>
    <w:rsid w:val="120C7C36"/>
    <w:rsid w:val="127C57D1"/>
    <w:rsid w:val="13163C28"/>
    <w:rsid w:val="136172A7"/>
    <w:rsid w:val="142349C8"/>
    <w:rsid w:val="162C5612"/>
    <w:rsid w:val="16BF7034"/>
    <w:rsid w:val="17C522FB"/>
    <w:rsid w:val="17DE18E5"/>
    <w:rsid w:val="17F74BD6"/>
    <w:rsid w:val="18805235"/>
    <w:rsid w:val="18A104D3"/>
    <w:rsid w:val="19B55AB3"/>
    <w:rsid w:val="19DD426E"/>
    <w:rsid w:val="1A9C317B"/>
    <w:rsid w:val="1AA470EC"/>
    <w:rsid w:val="1C041EE0"/>
    <w:rsid w:val="1D646708"/>
    <w:rsid w:val="1D6557FB"/>
    <w:rsid w:val="1DC03651"/>
    <w:rsid w:val="1EBEBACC"/>
    <w:rsid w:val="1EBF7192"/>
    <w:rsid w:val="1EF11CAE"/>
    <w:rsid w:val="1F31751A"/>
    <w:rsid w:val="1F31F7A1"/>
    <w:rsid w:val="1F7E4056"/>
    <w:rsid w:val="1FBF4E55"/>
    <w:rsid w:val="1FC78CFF"/>
    <w:rsid w:val="1FE55C39"/>
    <w:rsid w:val="1FFC1957"/>
    <w:rsid w:val="20040FEB"/>
    <w:rsid w:val="21701FA9"/>
    <w:rsid w:val="21E130F9"/>
    <w:rsid w:val="221B5564"/>
    <w:rsid w:val="221C32B7"/>
    <w:rsid w:val="222A03BD"/>
    <w:rsid w:val="2266371B"/>
    <w:rsid w:val="227B643E"/>
    <w:rsid w:val="22803907"/>
    <w:rsid w:val="22AC2254"/>
    <w:rsid w:val="22AE7071"/>
    <w:rsid w:val="22BF02BB"/>
    <w:rsid w:val="23406771"/>
    <w:rsid w:val="23575131"/>
    <w:rsid w:val="241C7B3C"/>
    <w:rsid w:val="242B24DF"/>
    <w:rsid w:val="242D7C97"/>
    <w:rsid w:val="24CC5CC8"/>
    <w:rsid w:val="24D317D8"/>
    <w:rsid w:val="25F45C2B"/>
    <w:rsid w:val="26B31186"/>
    <w:rsid w:val="26FB6832"/>
    <w:rsid w:val="27AF685B"/>
    <w:rsid w:val="27C841EF"/>
    <w:rsid w:val="27F3508A"/>
    <w:rsid w:val="27FA25B3"/>
    <w:rsid w:val="28ED0B6A"/>
    <w:rsid w:val="29301AA6"/>
    <w:rsid w:val="29890D1D"/>
    <w:rsid w:val="29DF4157"/>
    <w:rsid w:val="2A1F68E6"/>
    <w:rsid w:val="2A707334"/>
    <w:rsid w:val="2AA67E09"/>
    <w:rsid w:val="2B7D11F0"/>
    <w:rsid w:val="2B866286"/>
    <w:rsid w:val="2BBF51E4"/>
    <w:rsid w:val="2BDD749A"/>
    <w:rsid w:val="2BE05FF3"/>
    <w:rsid w:val="2CC4142B"/>
    <w:rsid w:val="2CDA3039"/>
    <w:rsid w:val="2CF215A6"/>
    <w:rsid w:val="2D465680"/>
    <w:rsid w:val="2D822664"/>
    <w:rsid w:val="2E210A49"/>
    <w:rsid w:val="2E5F196A"/>
    <w:rsid w:val="2E976651"/>
    <w:rsid w:val="2ED72E9E"/>
    <w:rsid w:val="2EE61ACE"/>
    <w:rsid w:val="2F1B151A"/>
    <w:rsid w:val="2F772DD4"/>
    <w:rsid w:val="2FA1773B"/>
    <w:rsid w:val="2FA507F3"/>
    <w:rsid w:val="2FFF2B2A"/>
    <w:rsid w:val="303E0A07"/>
    <w:rsid w:val="305A3B95"/>
    <w:rsid w:val="312D0FFD"/>
    <w:rsid w:val="31D45E2B"/>
    <w:rsid w:val="31D870DD"/>
    <w:rsid w:val="3203475A"/>
    <w:rsid w:val="320C4E1B"/>
    <w:rsid w:val="32422633"/>
    <w:rsid w:val="32CA4316"/>
    <w:rsid w:val="32FF3914"/>
    <w:rsid w:val="331F06CE"/>
    <w:rsid w:val="332A5B91"/>
    <w:rsid w:val="33EB1C4D"/>
    <w:rsid w:val="342F19A0"/>
    <w:rsid w:val="344519DA"/>
    <w:rsid w:val="34471A3D"/>
    <w:rsid w:val="348E6CC8"/>
    <w:rsid w:val="355E29A1"/>
    <w:rsid w:val="361956B6"/>
    <w:rsid w:val="36726B1F"/>
    <w:rsid w:val="37275F79"/>
    <w:rsid w:val="37423DB7"/>
    <w:rsid w:val="374267C2"/>
    <w:rsid w:val="377756FB"/>
    <w:rsid w:val="378B6FC9"/>
    <w:rsid w:val="379640D5"/>
    <w:rsid w:val="37BE3A1B"/>
    <w:rsid w:val="3800089E"/>
    <w:rsid w:val="380B1D9A"/>
    <w:rsid w:val="38E21CF2"/>
    <w:rsid w:val="393802F5"/>
    <w:rsid w:val="396360C2"/>
    <w:rsid w:val="399B1433"/>
    <w:rsid w:val="39F96249"/>
    <w:rsid w:val="3AFFC741"/>
    <w:rsid w:val="3B0D0FD9"/>
    <w:rsid w:val="3B1829FB"/>
    <w:rsid w:val="3B3FFCFD"/>
    <w:rsid w:val="3BFFC5AA"/>
    <w:rsid w:val="3C4741CA"/>
    <w:rsid w:val="3C73C9D8"/>
    <w:rsid w:val="3C842F63"/>
    <w:rsid w:val="3CA3403D"/>
    <w:rsid w:val="3CDD7461"/>
    <w:rsid w:val="3D06174C"/>
    <w:rsid w:val="3D0A1843"/>
    <w:rsid w:val="3D876254"/>
    <w:rsid w:val="3D9F6FDD"/>
    <w:rsid w:val="3DED3D29"/>
    <w:rsid w:val="3E033769"/>
    <w:rsid w:val="3E227533"/>
    <w:rsid w:val="3EE91D34"/>
    <w:rsid w:val="3EEA117C"/>
    <w:rsid w:val="3EFC0235"/>
    <w:rsid w:val="3F3B8353"/>
    <w:rsid w:val="3F4807FB"/>
    <w:rsid w:val="3F6C182D"/>
    <w:rsid w:val="3F7722E4"/>
    <w:rsid w:val="3F7B876D"/>
    <w:rsid w:val="3F89400C"/>
    <w:rsid w:val="3FB7A5DE"/>
    <w:rsid w:val="3FDE3206"/>
    <w:rsid w:val="3FFD515A"/>
    <w:rsid w:val="40AE42A3"/>
    <w:rsid w:val="41132FEC"/>
    <w:rsid w:val="41B04259"/>
    <w:rsid w:val="41B1600A"/>
    <w:rsid w:val="41C06764"/>
    <w:rsid w:val="41D3555E"/>
    <w:rsid w:val="41D568DA"/>
    <w:rsid w:val="424E17F4"/>
    <w:rsid w:val="43D93B74"/>
    <w:rsid w:val="43F05E44"/>
    <w:rsid w:val="43FB1D2B"/>
    <w:rsid w:val="442D4F36"/>
    <w:rsid w:val="44EA5EFB"/>
    <w:rsid w:val="44F95853"/>
    <w:rsid w:val="458C4680"/>
    <w:rsid w:val="45906A27"/>
    <w:rsid w:val="474A1856"/>
    <w:rsid w:val="47863161"/>
    <w:rsid w:val="48094F09"/>
    <w:rsid w:val="48C87F22"/>
    <w:rsid w:val="48ED7CD7"/>
    <w:rsid w:val="49AC3932"/>
    <w:rsid w:val="49DE0681"/>
    <w:rsid w:val="4A4F4EC2"/>
    <w:rsid w:val="4B34573C"/>
    <w:rsid w:val="4B3738BB"/>
    <w:rsid w:val="4B7A7170"/>
    <w:rsid w:val="4B7C6BF7"/>
    <w:rsid w:val="4BDA5388"/>
    <w:rsid w:val="4CFB5359"/>
    <w:rsid w:val="4D4D1809"/>
    <w:rsid w:val="4E4A439A"/>
    <w:rsid w:val="4F001BCC"/>
    <w:rsid w:val="4F5218ED"/>
    <w:rsid w:val="4F784888"/>
    <w:rsid w:val="4FDB5896"/>
    <w:rsid w:val="4FE41E54"/>
    <w:rsid w:val="4FFFE86B"/>
    <w:rsid w:val="508D3093"/>
    <w:rsid w:val="509012EC"/>
    <w:rsid w:val="50BD2FA6"/>
    <w:rsid w:val="51932FAD"/>
    <w:rsid w:val="51F845EB"/>
    <w:rsid w:val="51FB360F"/>
    <w:rsid w:val="5221432D"/>
    <w:rsid w:val="52A60F92"/>
    <w:rsid w:val="52EE71FB"/>
    <w:rsid w:val="53524DED"/>
    <w:rsid w:val="53A139B4"/>
    <w:rsid w:val="53A86F18"/>
    <w:rsid w:val="53CB445D"/>
    <w:rsid w:val="548270CF"/>
    <w:rsid w:val="54D91622"/>
    <w:rsid w:val="54F01D45"/>
    <w:rsid w:val="565F310C"/>
    <w:rsid w:val="566A6020"/>
    <w:rsid w:val="56972C61"/>
    <w:rsid w:val="56E94433"/>
    <w:rsid w:val="5736A64D"/>
    <w:rsid w:val="573F860C"/>
    <w:rsid w:val="57D17909"/>
    <w:rsid w:val="58B27CC3"/>
    <w:rsid w:val="58D565A1"/>
    <w:rsid w:val="59115FAF"/>
    <w:rsid w:val="59260E57"/>
    <w:rsid w:val="594B1719"/>
    <w:rsid w:val="59BF009D"/>
    <w:rsid w:val="5A217E5B"/>
    <w:rsid w:val="5ADA210C"/>
    <w:rsid w:val="5AEE74A6"/>
    <w:rsid w:val="5AF75EB0"/>
    <w:rsid w:val="5B5C53E4"/>
    <w:rsid w:val="5B625BCE"/>
    <w:rsid w:val="5BE06CA5"/>
    <w:rsid w:val="5BFB3FFB"/>
    <w:rsid w:val="5C823256"/>
    <w:rsid w:val="5D3D1D71"/>
    <w:rsid w:val="5DE441AC"/>
    <w:rsid w:val="5DE46FAF"/>
    <w:rsid w:val="5DE7A303"/>
    <w:rsid w:val="5E0F5E3E"/>
    <w:rsid w:val="5E8763EC"/>
    <w:rsid w:val="5EB7567E"/>
    <w:rsid w:val="5ED42420"/>
    <w:rsid w:val="5EFE157D"/>
    <w:rsid w:val="5F6D6F85"/>
    <w:rsid w:val="5F770F26"/>
    <w:rsid w:val="5F7FA953"/>
    <w:rsid w:val="5FD7044A"/>
    <w:rsid w:val="5FD7ACE4"/>
    <w:rsid w:val="5FDBF106"/>
    <w:rsid w:val="5FE75D63"/>
    <w:rsid w:val="5FF6B3BE"/>
    <w:rsid w:val="60342F05"/>
    <w:rsid w:val="60507D65"/>
    <w:rsid w:val="60A52EB0"/>
    <w:rsid w:val="60FD28B6"/>
    <w:rsid w:val="617C5745"/>
    <w:rsid w:val="61A27384"/>
    <w:rsid w:val="61EA59E2"/>
    <w:rsid w:val="621B4097"/>
    <w:rsid w:val="624125B1"/>
    <w:rsid w:val="635F3637"/>
    <w:rsid w:val="63B2022D"/>
    <w:rsid w:val="63F87562"/>
    <w:rsid w:val="64085A7D"/>
    <w:rsid w:val="644A7D2D"/>
    <w:rsid w:val="64C268FF"/>
    <w:rsid w:val="6500635B"/>
    <w:rsid w:val="657F2909"/>
    <w:rsid w:val="65D66667"/>
    <w:rsid w:val="66D777FD"/>
    <w:rsid w:val="677D539D"/>
    <w:rsid w:val="678F513D"/>
    <w:rsid w:val="67ED7463"/>
    <w:rsid w:val="68773090"/>
    <w:rsid w:val="68C70F39"/>
    <w:rsid w:val="68D7106B"/>
    <w:rsid w:val="68EE41E3"/>
    <w:rsid w:val="69581DF6"/>
    <w:rsid w:val="69DF332A"/>
    <w:rsid w:val="69E35F50"/>
    <w:rsid w:val="6A6D6BA4"/>
    <w:rsid w:val="6A9308E3"/>
    <w:rsid w:val="6ABC739A"/>
    <w:rsid w:val="6BB11A6E"/>
    <w:rsid w:val="6BF46938"/>
    <w:rsid w:val="6C920AD6"/>
    <w:rsid w:val="6D023F42"/>
    <w:rsid w:val="6D974042"/>
    <w:rsid w:val="6DD01BE3"/>
    <w:rsid w:val="6E8C59CD"/>
    <w:rsid w:val="6F035A59"/>
    <w:rsid w:val="6F2D283B"/>
    <w:rsid w:val="6F483AD1"/>
    <w:rsid w:val="6F5F908F"/>
    <w:rsid w:val="6F6F40CF"/>
    <w:rsid w:val="6FA8F579"/>
    <w:rsid w:val="6FBD6092"/>
    <w:rsid w:val="6FC5102F"/>
    <w:rsid w:val="6FD22763"/>
    <w:rsid w:val="6FE11806"/>
    <w:rsid w:val="7037347A"/>
    <w:rsid w:val="706F4522"/>
    <w:rsid w:val="70B33B2D"/>
    <w:rsid w:val="70B93212"/>
    <w:rsid w:val="70DE4060"/>
    <w:rsid w:val="710D58AC"/>
    <w:rsid w:val="71761B9F"/>
    <w:rsid w:val="71FA13BB"/>
    <w:rsid w:val="720867EF"/>
    <w:rsid w:val="722C04C9"/>
    <w:rsid w:val="72CFC3FC"/>
    <w:rsid w:val="72EA28D9"/>
    <w:rsid w:val="72FF7D9B"/>
    <w:rsid w:val="731B16A2"/>
    <w:rsid w:val="73A79CD9"/>
    <w:rsid w:val="73D040CE"/>
    <w:rsid w:val="73E4411B"/>
    <w:rsid w:val="745D6409"/>
    <w:rsid w:val="746F11F1"/>
    <w:rsid w:val="74995177"/>
    <w:rsid w:val="74AB4FE5"/>
    <w:rsid w:val="74E41BEE"/>
    <w:rsid w:val="761F7F3A"/>
    <w:rsid w:val="76856420"/>
    <w:rsid w:val="76D74425"/>
    <w:rsid w:val="76EF5746"/>
    <w:rsid w:val="76FE86AA"/>
    <w:rsid w:val="76FF0528"/>
    <w:rsid w:val="77045574"/>
    <w:rsid w:val="770D6A93"/>
    <w:rsid w:val="77335A07"/>
    <w:rsid w:val="77343076"/>
    <w:rsid w:val="774B0A1F"/>
    <w:rsid w:val="777EDCD6"/>
    <w:rsid w:val="77AF34F8"/>
    <w:rsid w:val="78014D8E"/>
    <w:rsid w:val="78432D95"/>
    <w:rsid w:val="786D7712"/>
    <w:rsid w:val="788A7FD7"/>
    <w:rsid w:val="78DC6412"/>
    <w:rsid w:val="78F788B9"/>
    <w:rsid w:val="78FE0CA5"/>
    <w:rsid w:val="795B78CF"/>
    <w:rsid w:val="79B33F8C"/>
    <w:rsid w:val="7A966109"/>
    <w:rsid w:val="7B101F55"/>
    <w:rsid w:val="7BDFBDF7"/>
    <w:rsid w:val="7CC95FF2"/>
    <w:rsid w:val="7D396E2D"/>
    <w:rsid w:val="7D694E9E"/>
    <w:rsid w:val="7DDB7BFC"/>
    <w:rsid w:val="7DFDF57C"/>
    <w:rsid w:val="7E1B40AE"/>
    <w:rsid w:val="7E3B1A79"/>
    <w:rsid w:val="7E4BE362"/>
    <w:rsid w:val="7E7B8CEA"/>
    <w:rsid w:val="7E830941"/>
    <w:rsid w:val="7EBC2911"/>
    <w:rsid w:val="7EE3F40F"/>
    <w:rsid w:val="7F3472CE"/>
    <w:rsid w:val="7F724BB1"/>
    <w:rsid w:val="7F756D55"/>
    <w:rsid w:val="7F986626"/>
    <w:rsid w:val="7F9D5378"/>
    <w:rsid w:val="7FB3D93E"/>
    <w:rsid w:val="7FB742CF"/>
    <w:rsid w:val="7FBB6CEB"/>
    <w:rsid w:val="7FD97BFC"/>
    <w:rsid w:val="7FDD6302"/>
    <w:rsid w:val="7FE5BBC4"/>
    <w:rsid w:val="7FEDF1A2"/>
    <w:rsid w:val="7FEF1928"/>
    <w:rsid w:val="7FEF9E0B"/>
    <w:rsid w:val="7FFB4B33"/>
    <w:rsid w:val="7FFBC002"/>
    <w:rsid w:val="9F5F21F2"/>
    <w:rsid w:val="9FF7C9A4"/>
    <w:rsid w:val="ACFA3B4B"/>
    <w:rsid w:val="B6FC9F44"/>
    <w:rsid w:val="B8CABF0E"/>
    <w:rsid w:val="BABDE969"/>
    <w:rsid w:val="BDCFB3C2"/>
    <w:rsid w:val="BDED0696"/>
    <w:rsid w:val="BE2E9E46"/>
    <w:rsid w:val="BEBCEDEA"/>
    <w:rsid w:val="BEBEDF04"/>
    <w:rsid w:val="BF7DC39C"/>
    <w:rsid w:val="BFF7C5D1"/>
    <w:rsid w:val="C5FFB1ED"/>
    <w:rsid w:val="CE9F08AC"/>
    <w:rsid w:val="CEFBDA19"/>
    <w:rsid w:val="CFDD728B"/>
    <w:rsid w:val="D78F8098"/>
    <w:rsid w:val="DD7C3D08"/>
    <w:rsid w:val="DE5FC5B7"/>
    <w:rsid w:val="DF3FB433"/>
    <w:rsid w:val="DF6B2684"/>
    <w:rsid w:val="DFE55A2A"/>
    <w:rsid w:val="DFE785C9"/>
    <w:rsid w:val="E55FED39"/>
    <w:rsid w:val="E57BA949"/>
    <w:rsid w:val="E77BCD92"/>
    <w:rsid w:val="E77F5E46"/>
    <w:rsid w:val="E9FD44C5"/>
    <w:rsid w:val="EBAF2FE0"/>
    <w:rsid w:val="EDFF833E"/>
    <w:rsid w:val="EF65483F"/>
    <w:rsid w:val="EFB60E6A"/>
    <w:rsid w:val="EFDE7EFB"/>
    <w:rsid w:val="EFED7D33"/>
    <w:rsid w:val="EFFB6C99"/>
    <w:rsid w:val="EFFB7C8A"/>
    <w:rsid w:val="F4FF036E"/>
    <w:rsid w:val="F67AEFC4"/>
    <w:rsid w:val="F7B30FD6"/>
    <w:rsid w:val="F7DFD0E6"/>
    <w:rsid w:val="F7FFD9C3"/>
    <w:rsid w:val="F9E708BC"/>
    <w:rsid w:val="FA6A1BCF"/>
    <w:rsid w:val="FB7D863F"/>
    <w:rsid w:val="FBF7CB2B"/>
    <w:rsid w:val="FC1545B4"/>
    <w:rsid w:val="FCAB2894"/>
    <w:rsid w:val="FCFD8A34"/>
    <w:rsid w:val="FD9EB9E0"/>
    <w:rsid w:val="FDEE5E35"/>
    <w:rsid w:val="FDF8AE67"/>
    <w:rsid w:val="FE4DE98C"/>
    <w:rsid w:val="FE5E1487"/>
    <w:rsid w:val="FE79C8BB"/>
    <w:rsid w:val="FEBA2B6C"/>
    <w:rsid w:val="FEFE2721"/>
    <w:rsid w:val="FF3F2220"/>
    <w:rsid w:val="FF75D420"/>
    <w:rsid w:val="FF7C5FDE"/>
    <w:rsid w:val="FF9FBA0F"/>
    <w:rsid w:val="FFAEE9A2"/>
    <w:rsid w:val="FFF54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4">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Document Map"/>
    <w:basedOn w:val="1"/>
    <w:link w:val="20"/>
    <w:unhideWhenUsed/>
    <w:qFormat/>
    <w:uiPriority w:val="0"/>
    <w:rPr>
      <w:rFonts w:ascii="宋体"/>
      <w:sz w:val="18"/>
      <w:szCs w:val="18"/>
    </w:rPr>
  </w:style>
  <w:style w:type="paragraph" w:styleId="4">
    <w:name w:val="annotation text"/>
    <w:basedOn w:val="1"/>
    <w:link w:val="21"/>
    <w:unhideWhenUsed/>
    <w:qFormat/>
    <w:uiPriority w:val="0"/>
    <w:pPr>
      <w:jc w:val="left"/>
    </w:pPr>
  </w:style>
  <w:style w:type="paragraph" w:styleId="5">
    <w:name w:val="Body Text"/>
    <w:basedOn w:val="1"/>
    <w:link w:val="22"/>
    <w:qFormat/>
    <w:uiPriority w:val="0"/>
    <w:pPr>
      <w:adjustRightInd w:val="0"/>
      <w:jc w:val="left"/>
      <w:textAlignment w:val="baseline"/>
    </w:pPr>
    <w:rPr>
      <w:szCs w:val="20"/>
    </w:rPr>
  </w:style>
  <w:style w:type="paragraph" w:styleId="6">
    <w:name w:val="Balloon Text"/>
    <w:basedOn w:val="1"/>
    <w:link w:val="23"/>
    <w:semiHidden/>
    <w:qFormat/>
    <w:uiPriority w:val="0"/>
    <w:rPr>
      <w:sz w:val="18"/>
      <w:szCs w:val="18"/>
    </w:rPr>
  </w:style>
  <w:style w:type="paragraph" w:styleId="7">
    <w:name w:val="footer"/>
    <w:basedOn w:val="1"/>
    <w:link w:val="24"/>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6"/>
    <w:semiHidden/>
    <w:qFormat/>
    <w:uiPriority w:val="0"/>
    <w:pPr>
      <w:snapToGrid w:val="0"/>
      <w:jc w:val="left"/>
    </w:pPr>
    <w:rPr>
      <w:sz w:val="18"/>
      <w:szCs w:val="18"/>
    </w:rPr>
  </w:style>
  <w:style w:type="paragraph" w:styleId="10">
    <w:name w:val="annotation subject"/>
    <w:basedOn w:val="4"/>
    <w:next w:val="4"/>
    <w:link w:val="27"/>
    <w:unhideWhenUsed/>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Table Theme"/>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styleId="18">
    <w:name w:val="annotation reference"/>
    <w:basedOn w:val="14"/>
    <w:unhideWhenUsed/>
    <w:qFormat/>
    <w:uiPriority w:val="0"/>
    <w:rPr>
      <w:sz w:val="21"/>
      <w:szCs w:val="21"/>
    </w:rPr>
  </w:style>
  <w:style w:type="character" w:styleId="19">
    <w:name w:val="footnote reference"/>
    <w:basedOn w:val="14"/>
    <w:semiHidden/>
    <w:qFormat/>
    <w:uiPriority w:val="0"/>
    <w:rPr>
      <w:vertAlign w:val="superscript"/>
    </w:rPr>
  </w:style>
  <w:style w:type="character" w:customStyle="1" w:styleId="20">
    <w:name w:val="文档结构图 Char"/>
    <w:basedOn w:val="14"/>
    <w:link w:val="3"/>
    <w:semiHidden/>
    <w:qFormat/>
    <w:uiPriority w:val="0"/>
    <w:rPr>
      <w:rFonts w:ascii="宋体"/>
      <w:kern w:val="2"/>
      <w:sz w:val="18"/>
      <w:szCs w:val="18"/>
    </w:rPr>
  </w:style>
  <w:style w:type="character" w:customStyle="1" w:styleId="21">
    <w:name w:val="批注文字 Char"/>
    <w:basedOn w:val="14"/>
    <w:link w:val="4"/>
    <w:semiHidden/>
    <w:qFormat/>
    <w:uiPriority w:val="0"/>
    <w:rPr>
      <w:kern w:val="2"/>
      <w:sz w:val="21"/>
      <w:szCs w:val="24"/>
    </w:rPr>
  </w:style>
  <w:style w:type="character" w:customStyle="1" w:styleId="22">
    <w:name w:val="正文文本 Char"/>
    <w:basedOn w:val="14"/>
    <w:link w:val="5"/>
    <w:qFormat/>
    <w:uiPriority w:val="0"/>
    <w:rPr>
      <w:kern w:val="2"/>
      <w:sz w:val="21"/>
    </w:rPr>
  </w:style>
  <w:style w:type="character" w:customStyle="1" w:styleId="23">
    <w:name w:val="批注框文本 Char"/>
    <w:basedOn w:val="14"/>
    <w:link w:val="6"/>
    <w:semiHidden/>
    <w:qFormat/>
    <w:uiPriority w:val="0"/>
    <w:rPr>
      <w:kern w:val="2"/>
      <w:sz w:val="18"/>
      <w:szCs w:val="18"/>
    </w:rPr>
  </w:style>
  <w:style w:type="character" w:customStyle="1" w:styleId="24">
    <w:name w:val="页脚 Char"/>
    <w:basedOn w:val="14"/>
    <w:link w:val="7"/>
    <w:qFormat/>
    <w:uiPriority w:val="0"/>
    <w:rPr>
      <w:kern w:val="2"/>
      <w:sz w:val="18"/>
      <w:szCs w:val="18"/>
    </w:rPr>
  </w:style>
  <w:style w:type="character" w:customStyle="1" w:styleId="25">
    <w:name w:val="页眉 Char"/>
    <w:basedOn w:val="14"/>
    <w:link w:val="8"/>
    <w:qFormat/>
    <w:uiPriority w:val="0"/>
    <w:rPr>
      <w:kern w:val="2"/>
      <w:sz w:val="18"/>
      <w:szCs w:val="18"/>
    </w:rPr>
  </w:style>
  <w:style w:type="character" w:customStyle="1" w:styleId="26">
    <w:name w:val="脚注文本 Char"/>
    <w:basedOn w:val="14"/>
    <w:link w:val="9"/>
    <w:semiHidden/>
    <w:qFormat/>
    <w:uiPriority w:val="0"/>
    <w:rPr>
      <w:kern w:val="2"/>
      <w:sz w:val="18"/>
      <w:szCs w:val="18"/>
    </w:rPr>
  </w:style>
  <w:style w:type="character" w:customStyle="1" w:styleId="27">
    <w:name w:val="批注主题 Char"/>
    <w:basedOn w:val="21"/>
    <w:link w:val="10"/>
    <w:semiHidden/>
    <w:qFormat/>
    <w:uiPriority w:val="0"/>
    <w:rPr>
      <w:b/>
      <w:bCs/>
      <w:kern w:val="2"/>
      <w:sz w:val="21"/>
      <w:szCs w:val="24"/>
    </w:rPr>
  </w:style>
  <w:style w:type="paragraph" w:styleId="28">
    <w:name w:val="List Paragraph"/>
    <w:basedOn w:val="1"/>
    <w:qFormat/>
    <w:uiPriority w:val="34"/>
    <w:pPr>
      <w:ind w:firstLine="420" w:firstLineChars="200"/>
    </w:pPr>
  </w:style>
  <w:style w:type="paragraph" w:customStyle="1" w:styleId="29">
    <w:name w:val="修订1"/>
    <w:semiHidden/>
    <w:qFormat/>
    <w:uiPriority w:val="99"/>
    <w:rPr>
      <w:rFonts w:ascii="Times New Roman" w:hAnsi="Times New Roman" w:eastAsia="宋体" w:cs="Times New Roman"/>
      <w:kern w:val="2"/>
      <w:sz w:val="21"/>
      <w:szCs w:val="24"/>
      <w:lang w:val="en-US" w:eastAsia="zh-CN" w:bidi="ar-SA"/>
    </w:rPr>
  </w:style>
  <w:style w:type="table" w:customStyle="1" w:styleId="30">
    <w:name w:val="Table Grid1"/>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修订2"/>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10172</Words>
  <Characters>10666</Characters>
  <Lines>80</Lines>
  <Paragraphs>22</Paragraphs>
  <TotalTime>1</TotalTime>
  <ScaleCrop>false</ScaleCrop>
  <LinksUpToDate>false</LinksUpToDate>
  <CharactersWithSpaces>10752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2023-04-10T02:13:00Z</dcterms:created>
  <dc:creator>zm</dc:creator>
  <cp:lastModifiedBy>融融</cp:lastModifiedBy>
  <cp:lastPrinted>2023-03-18T17:13:00Z</cp:lastPrinted>
  <dcterms:modified xsi:type="dcterms:W3CDTF">2023-08-28T09:28:18Z</dcterms:modified>
  <dc:title>签     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FDBC5CBE3DE84279B2DCDFFCAB9F74BD_13</vt:lpwstr>
  </property>
</Properties>
</file>