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溆浦县工业和信息化局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hAnsi="仿宋_GB2312"/>
          <w:b/>
          <w:sz w:val="28"/>
          <w:szCs w:val="28"/>
        </w:rPr>
        <w:t>工业和信息化局</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溆浦县工业和信息化局</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sz w:val="32"/>
          <w:szCs w:val="32"/>
        </w:rPr>
        <w:t>（一）</w:t>
      </w:r>
      <w:r>
        <w:rPr>
          <w:rFonts w:hint="eastAsia" w:asciiTheme="minorEastAsia" w:hAnsiTheme="minorEastAsia"/>
          <w:bCs/>
          <w:kern w:val="0"/>
          <w:sz w:val="32"/>
          <w:szCs w:val="32"/>
        </w:rPr>
        <w:t>拟订全县新型工业化的发展战略、规划和相关政策措施并组织实施，协调解决有关重大问题；负责组织、协调全县培育发展战略性新兴产业工作；综合管理全县工业经济，指导、协调和服务工业企业；推进信息化和工业化融合；推进全县国民经济和社会信息化。</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二）拟订并组织实施工业、信息化的发展专项规划，贯彻落实国家和省、市产业政策；拟定优化产业结构和产品结构的地方配套政策措施，并监督检查执行情况；研究和规划全县工业产业投资布局；依法组织实施相关行业的准入管理；负责工业与信息化领域的产业安全和应急管理工作；指导市直工业企业安全生产，协调处理重大安全事故。</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（三）对涉及工业和信息化领域相关法律法规的执法情况进行监督检查；协调减轻企业负担工作。</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四）组织拟订全县工业企业技术进步的发展战略、规划并组织实施；编制和组织实施技术改造规划，提出工业和信息化固定资产投资规模和方向；抓好重大工业项目的督查与协调；推进企业技术创新体系建设，指导行业技术创新和技术进步，以先进适用技术改造提升传统产业，组织实施有关科技重大政策，推进产学研结合和科研成果产业化。</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五）负责工业节能工作，参与拟订能源节约和资源综合利用规划；会同有关部门组织实施节能行动方案和资源综合利用工作；拟订并组织实施工业能源节约和资源综合利用政策；承担工业企业的节能考核和监察工作；组织推进清洁生产工作；组织协调相关重大示范工程和相关新产品、新技术、新设备、新材料的推广应用；参与编制全县生态建设规划；参与协调工业环境保护。</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（六）组织拟订信息化发展战略、专项规划及相关政策，协调解决重大问题；促进电信、广播电视和计算机网络融合；推动跨行业、跨部门和互联互通和重要信息资源的开发利用、共享；推进全县信息化建设。</w:t>
      </w:r>
    </w:p>
    <w:p>
      <w:pPr>
        <w:widowControl/>
        <w:spacing w:line="600" w:lineRule="exact"/>
        <w:ind w:firstLine="480" w:firstLineChars="150"/>
        <w:rPr>
          <w:rFonts w:asciiTheme="minorEastAsia" w:hAnsiTheme="minorEastAsia"/>
          <w:bCs/>
          <w:kern w:val="0"/>
          <w:sz w:val="32"/>
          <w:szCs w:val="32"/>
        </w:rPr>
      </w:pPr>
      <w:r>
        <w:rPr>
          <w:rFonts w:hint="eastAsia" w:asciiTheme="minorEastAsia" w:hAnsiTheme="minorEastAsia"/>
          <w:bCs/>
          <w:kern w:val="0"/>
          <w:sz w:val="32"/>
          <w:szCs w:val="32"/>
        </w:rPr>
        <w:t>（七）指导全县工业、信息化领域人才开发与培训工作；开展人才和智力对外合作交流。</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（八）负责国有工业企业遗留问题的协调处理；负责市直工业企业社会治安综合治理工作，做好企业信访稳定工作；指导集体企业的改制改革工作。</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九）负责对全县墙体材料改革和新型墙体材料的推广应用，编制并实施本市发展推广应用新墙材和限制实心粘土砖生产与使用的中长期规划和年度规划，对全县实心粘土砖生产与使用进行行政执法。加强对散装水泥的管理工作，按规定征收、管理和使用“两项基金”等专项费用。</w:t>
      </w:r>
      <w:r>
        <w:rPr>
          <w:rFonts w:hint="eastAsia" w:asciiTheme="minorEastAsia" w:hAnsiTheme="minorEastAsia"/>
          <w:bCs/>
          <w:kern w:val="0"/>
          <w:sz w:val="32"/>
          <w:szCs w:val="32"/>
        </w:rPr>
        <w:br w:type="textWrapping"/>
      </w:r>
      <w:r>
        <w:rPr>
          <w:rFonts w:hint="eastAsia" w:asciiTheme="minorEastAsia" w:hAnsiTheme="minorEastAsia"/>
          <w:bCs/>
          <w:kern w:val="0"/>
          <w:sz w:val="32"/>
          <w:szCs w:val="32"/>
        </w:rPr>
        <w:t xml:space="preserve">   （十）承办县委、县政府交办的其他事项。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58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asciiTheme="minorEastAsia" w:hAnsiTheme="minorEastAsia"/>
          <w:bCs/>
          <w:kern w:val="0"/>
          <w:sz w:val="32"/>
          <w:szCs w:val="32"/>
        </w:rPr>
        <w:t>我局机关内设股室有7个</w:t>
      </w:r>
      <w:r>
        <w:rPr>
          <w:rFonts w:hint="eastAsia" w:asciiTheme="minorEastAsia" w:hAnsiTheme="minorEastAsia"/>
          <w:bCs/>
          <w:kern w:val="0"/>
          <w:sz w:val="32"/>
          <w:szCs w:val="32"/>
        </w:rPr>
        <w:t>。本单位是行政单位，现有</w:t>
      </w:r>
      <w:r>
        <w:rPr>
          <w:rFonts w:asciiTheme="minorEastAsia" w:hAnsiTheme="minorEastAsia"/>
          <w:bCs/>
          <w:kern w:val="0"/>
          <w:sz w:val="32"/>
          <w:szCs w:val="32"/>
        </w:rPr>
        <w:t>在职干部职工4</w:t>
      </w:r>
      <w:r>
        <w:rPr>
          <w:rFonts w:hint="eastAsia" w:asciiTheme="minorEastAsia" w:hAnsiTheme="minorEastAsia"/>
          <w:bCs/>
          <w:kern w:val="0"/>
          <w:sz w:val="32"/>
          <w:szCs w:val="32"/>
        </w:rPr>
        <w:t>2</w:t>
      </w:r>
      <w:r>
        <w:rPr>
          <w:rFonts w:asciiTheme="minorEastAsia" w:hAnsiTheme="minorEastAsia"/>
          <w:bCs/>
          <w:kern w:val="0"/>
          <w:sz w:val="32"/>
          <w:szCs w:val="32"/>
        </w:rPr>
        <w:t>人，党政班子成员4人，</w:t>
      </w:r>
      <w:r>
        <w:rPr>
          <w:rFonts w:hint="eastAsia" w:asciiTheme="minorEastAsia" w:hAnsiTheme="minorEastAsia"/>
          <w:bCs/>
          <w:kern w:val="0"/>
          <w:sz w:val="32"/>
          <w:szCs w:val="32"/>
        </w:rPr>
        <w:t>内设</w:t>
      </w:r>
      <w:r>
        <w:rPr>
          <w:rFonts w:asciiTheme="minorEastAsia" w:hAnsiTheme="minorEastAsia"/>
          <w:bCs/>
          <w:kern w:val="0"/>
          <w:sz w:val="32"/>
          <w:szCs w:val="32"/>
        </w:rPr>
        <w:t>办公室、运行监测股、投资规划股、中小企业股、信息化股、行政审批股等</w:t>
      </w:r>
      <w:r>
        <w:rPr>
          <w:rFonts w:hint="eastAsia" w:asciiTheme="minorEastAsia" w:hAnsiTheme="minorEastAsia"/>
          <w:bCs/>
          <w:kern w:val="0"/>
          <w:sz w:val="32"/>
          <w:szCs w:val="32"/>
        </w:rPr>
        <w:t>8个股室；二级局2个，分别是：电力执法大队、中小企业服务中心;核定编制41名，实有人数90人，其中：行政人员17人、事业人员22人、工勤人员2人、离退休人员49人。</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（二）决算单位构成。本单位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20年部门决算汇总公开单位构成包括：溆浦县工业和信息化局本级。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部门：溆浦县工业和信息化局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3196.06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3665.89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117.88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九、节能环保支出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535.33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5381.06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十三、自然资源海洋气象等支出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十四、住房保障支出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27.16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345.40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6861.95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6864.31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80.17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77.81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6942.12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6942.12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6782" w:type="dxa"/>
        <w:tblInd w:w="0" w:type="dxa"/>
        <w:tblLayout w:type="fixed"/>
        <w:tblCellMar>
          <w:top w:w="0" w:type="dxa"/>
          <w:left w:w="0" w:type="dxa"/>
          <w:bottom w:w="0" w:type="dxa"/>
          <w:right w:w="0" w:type="dxa"/>
        </w:tblCellMar>
      </w:tblPr>
      <w:tblGrid>
        <w:gridCol w:w="2005"/>
        <w:gridCol w:w="987"/>
        <w:gridCol w:w="1018"/>
        <w:gridCol w:w="2276"/>
        <w:gridCol w:w="1354"/>
        <w:gridCol w:w="1354"/>
        <w:gridCol w:w="1354"/>
        <w:gridCol w:w="1339"/>
        <w:gridCol w:w="1237"/>
        <w:gridCol w:w="1150"/>
        <w:gridCol w:w="1354"/>
        <w:gridCol w:w="1354"/>
      </w:tblGrid>
      <w:tr>
        <w:tblPrEx>
          <w:tblCellMar>
            <w:top w:w="0" w:type="dxa"/>
            <w:left w:w="0" w:type="dxa"/>
            <w:bottom w:w="0" w:type="dxa"/>
            <w:right w:w="0" w:type="dxa"/>
          </w:tblCellMar>
        </w:tblPrEx>
        <w:trPr>
          <w:gridAfter w:val="1"/>
          <w:wAfter w:w="1354" w:type="dxa"/>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1354" w:type="dxa"/>
          <w:trHeight w:val="285" w:hRule="atLeast"/>
        </w:trPr>
        <w:tc>
          <w:tcPr>
            <w:tcW w:w="20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0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354" w:type="dxa"/>
          <w:trHeight w:val="285" w:hRule="atLeast"/>
        </w:trPr>
        <w:tc>
          <w:tcPr>
            <w:tcW w:w="4010"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276" w:type="dxa"/>
            <w:tcBorders>
              <w:top w:val="nil"/>
              <w:left w:val="nil"/>
              <w:bottom w:val="nil"/>
              <w:right w:val="nil"/>
            </w:tcBorders>
            <w:shd w:val="clear" w:color="000000" w:fill="FFFFFF"/>
            <w:noWrap/>
            <w:tcMar>
              <w:top w:w="15" w:type="dxa"/>
              <w:left w:w="15" w:type="dxa"/>
              <w:bottom w:w="0" w:type="dxa"/>
              <w:right w:w="15" w:type="dxa"/>
            </w:tcMar>
            <w:vAlign w:val="center"/>
          </w:tcPr>
          <w:p>
            <w:pPr>
              <w:ind w:right="200"/>
              <w:jc w:val="right"/>
              <w:rPr>
                <w:rFonts w:ascii="宋体" w:hAnsi="宋体" w:eastAsia="宋体" w:cs="宋体"/>
                <w:sz w:val="24"/>
                <w:szCs w:val="24"/>
              </w:rPr>
            </w:pPr>
            <w:r>
              <w:rPr>
                <w:rFonts w:hint="eastAsia" w:ascii="宋体" w:hAnsi="宋体" w:eastAsia="宋体" w:cs="宋体"/>
                <w:color w:val="000000"/>
                <w:kern w:val="0"/>
                <w:sz w:val="20"/>
                <w:szCs w:val="20"/>
              </w:rPr>
              <w:t>溆浦县工业和信息化局</w:t>
            </w: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3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354" w:type="dxa"/>
          <w:trHeight w:val="450" w:hRule="atLeast"/>
        </w:trPr>
        <w:tc>
          <w:tcPr>
            <w:tcW w:w="6286"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3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354" w:type="dxa"/>
          <w:trHeight w:val="450" w:hRule="atLeast"/>
        </w:trPr>
        <w:tc>
          <w:tcPr>
            <w:tcW w:w="299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294"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354" w:type="dxa"/>
          <w:trHeight w:val="450" w:hRule="atLeast"/>
        </w:trPr>
        <w:tc>
          <w:tcPr>
            <w:tcW w:w="299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294"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354" w:type="dxa"/>
          <w:trHeight w:val="450" w:hRule="atLeast"/>
        </w:trPr>
        <w:tc>
          <w:tcPr>
            <w:tcW w:w="6286"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354" w:type="dxa"/>
          <w:trHeight w:val="450" w:hRule="atLeast"/>
        </w:trPr>
        <w:tc>
          <w:tcPr>
            <w:tcW w:w="6286"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6861.95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3196.06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3665.89　</w:t>
            </w: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2010301</w:t>
            </w:r>
          </w:p>
          <w:p>
            <w:pPr>
              <w:jc w:val="center"/>
            </w:pP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139.97</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139.97</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2010507</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专项普查活动</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47"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2060499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其他技术研究与开发支出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165.70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165.70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2060799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其他科学技术普及支出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34.10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34.10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2080299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其他民政管理事务支出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0.5</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0.5</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2080801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死亡抚恤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38.84</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38.84</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2082899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其他退役军人事务管理支出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1.44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1.44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vAlign w:val="center"/>
          </w:tcPr>
          <w:p>
            <w:pPr>
              <w:jc w:val="right"/>
            </w:pPr>
            <w:r>
              <w:rPr>
                <w:rFonts w:hint="eastAsia"/>
              </w:rPr>
              <w:t>　</w:t>
            </w: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2100410</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突发公共卫生事件应急处理</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100.00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100.00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83"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2109901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其他卫生健康支出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17.88</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17.88</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2111001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能源节约利用</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98.23</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98.23</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2119901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其他节能环保支出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437.10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437.10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2129901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其他城乡社区支出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71.00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71.00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2130501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4.00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4.00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vAlign w:val="center"/>
          </w:tcPr>
          <w:p>
            <w:pPr>
              <w:jc w:val="right"/>
            </w:pPr>
            <w:r>
              <w:rPr>
                <w:rFonts w:hint="eastAsia"/>
              </w:rPr>
              <w:t>　</w:t>
            </w: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2150199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其他资源勘探业支出</w:t>
            </w:r>
          </w:p>
          <w:p>
            <w:pPr>
              <w:rPr>
                <w:rFonts w:ascii="宋体" w:hAnsi="宋体" w:eastAsia="宋体" w:cs="宋体"/>
                <w:sz w:val="24"/>
                <w:szCs w:val="24"/>
              </w:rPr>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15.00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15.00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vAlign w:val="center"/>
          </w:tcPr>
          <w:p>
            <w:pPr>
              <w:jc w:val="right"/>
            </w:pPr>
            <w:r>
              <w:rPr>
                <w:rFonts w:hint="eastAsia"/>
              </w:rPr>
              <w:t>　</w:t>
            </w: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2150501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362.54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201.09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161.45　</w:t>
            </w:r>
          </w:p>
        </w:tc>
        <w:tc>
          <w:tcPr>
            <w:tcW w:w="1354" w:type="dxa"/>
            <w:vAlign w:val="center"/>
          </w:tcPr>
          <w:p>
            <w:pPr>
              <w:jc w:val="right"/>
            </w:pPr>
            <w:r>
              <w:rPr>
                <w:rFonts w:hint="eastAsia"/>
              </w:rPr>
              <w:t>　</w:t>
            </w: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2150502</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一般行政管理事务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72.26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72.26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　</w:t>
            </w:r>
          </w:p>
        </w:tc>
        <w:tc>
          <w:tcPr>
            <w:tcW w:w="1354" w:type="dxa"/>
            <w:vAlign w:val="center"/>
          </w:tcPr>
          <w:p>
            <w:pPr>
              <w:jc w:val="right"/>
            </w:pPr>
            <w:r>
              <w:rPr>
                <w:rFonts w:hint="eastAsia"/>
              </w:rPr>
              <w:t>　</w:t>
            </w: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2150510</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工业和信息产业支持</w:t>
            </w:r>
          </w:p>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137.37</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137.37</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p>
          <w:p>
            <w:pPr>
              <w:jc w:val="center"/>
            </w:pPr>
            <w:r>
              <w:rPr>
                <w:rFonts w:hint="eastAsia"/>
              </w:rPr>
              <w:t>2150599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其他工业和信息产业监管支出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665.34</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665.34</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2150805</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中小企业发展专项</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2150899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其他支持中小企业发展和管理支出</w:t>
            </w:r>
          </w:p>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73.76</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73.76</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2159904</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技术改造支出</w:t>
            </w:r>
          </w:p>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2159999</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其他资源勘探工业信息等支出</w:t>
            </w:r>
          </w:p>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4029.44</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525.00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3504.44</w:t>
            </w: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2200101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0.93</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0.93</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2210103</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棚户区改造</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19.00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2210201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住房公积金</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8.16</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8.16</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trHeight w:val="450" w:hRule="atLeast"/>
        </w:trPr>
        <w:tc>
          <w:tcPr>
            <w:tcW w:w="29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pPr>
            <w:r>
              <w:rPr>
                <w:rFonts w:hint="eastAsia"/>
              </w:rPr>
              <w:t>2220511</w:t>
            </w:r>
          </w:p>
        </w:tc>
        <w:tc>
          <w:tcPr>
            <w:tcW w:w="329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应急物资储备</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345.40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345.40</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354" w:type="dxa"/>
            <w:vAlign w:val="center"/>
          </w:tcPr>
          <w:p>
            <w:pPr>
              <w:jc w:val="right"/>
            </w:pPr>
          </w:p>
        </w:tc>
      </w:tr>
      <w:tr>
        <w:tblPrEx>
          <w:tblCellMar>
            <w:top w:w="0" w:type="dxa"/>
            <w:left w:w="0" w:type="dxa"/>
            <w:bottom w:w="0" w:type="dxa"/>
            <w:right w:w="0" w:type="dxa"/>
          </w:tblCellMar>
        </w:tblPrEx>
        <w:trPr>
          <w:gridAfter w:val="1"/>
          <w:wAfter w:w="1354" w:type="dxa"/>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6"/>
        <w:tblW w:w="14863" w:type="dxa"/>
        <w:tblInd w:w="93" w:type="dxa"/>
        <w:tblLayout w:type="autofit"/>
        <w:tblCellMar>
          <w:top w:w="0" w:type="dxa"/>
          <w:left w:w="108" w:type="dxa"/>
          <w:bottom w:w="0" w:type="dxa"/>
          <w:right w:w="108" w:type="dxa"/>
        </w:tblCellMar>
      </w:tblPr>
      <w:tblGrid>
        <w:gridCol w:w="1042"/>
        <w:gridCol w:w="222"/>
        <w:gridCol w:w="452"/>
        <w:gridCol w:w="2694"/>
        <w:gridCol w:w="1701"/>
        <w:gridCol w:w="1559"/>
        <w:gridCol w:w="236"/>
        <w:gridCol w:w="1181"/>
        <w:gridCol w:w="673"/>
        <w:gridCol w:w="887"/>
        <w:gridCol w:w="1097"/>
        <w:gridCol w:w="178"/>
        <w:gridCol w:w="2552"/>
        <w:gridCol w:w="389"/>
      </w:tblGrid>
      <w:tr>
        <w:tblPrEx>
          <w:tblCellMar>
            <w:top w:w="0" w:type="dxa"/>
            <w:left w:w="108" w:type="dxa"/>
            <w:bottom w:w="0" w:type="dxa"/>
            <w:right w:w="108" w:type="dxa"/>
          </w:tblCellMar>
        </w:tblPrEx>
        <w:trPr>
          <w:gridAfter w:val="1"/>
          <w:wAfter w:w="389" w:type="dxa"/>
          <w:trHeight w:val="435" w:hRule="atLeast"/>
        </w:trPr>
        <w:tc>
          <w:tcPr>
            <w:tcW w:w="14474" w:type="dxa"/>
            <w:gridSpan w:val="13"/>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701" w:type="dxa"/>
            <w:tcBorders>
              <w:top w:val="nil"/>
              <w:left w:val="nil"/>
              <w:bottom w:val="nil"/>
              <w:right w:val="nil"/>
            </w:tcBorders>
            <w:shd w:val="clear" w:color="000000" w:fill="FFFFFF"/>
            <w:noWrap/>
            <w:vAlign w:val="center"/>
          </w:tcPr>
          <w:p>
            <w:pPr>
              <w:widowControl/>
              <w:ind w:right="400"/>
              <w:rPr>
                <w:rFonts w:ascii="宋体" w:hAnsi="宋体" w:eastAsia="宋体" w:cs="宋体"/>
                <w:kern w:val="0"/>
                <w:sz w:val="24"/>
                <w:szCs w:val="24"/>
              </w:rPr>
            </w:pP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6" w:type="dxa"/>
            <w:gridSpan w:val="2"/>
            <w:tcBorders>
              <w:top w:val="nil"/>
              <w:left w:val="nil"/>
              <w:bottom w:val="nil"/>
              <w:right w:val="nil"/>
            </w:tcBorders>
            <w:shd w:val="clear" w:color="000000" w:fill="FFFFFF"/>
            <w:noWrap/>
            <w:vAlign w:val="center"/>
          </w:tcPr>
          <w:p>
            <w:pPr>
              <w:widowControl/>
              <w:ind w:right="480"/>
              <w:rPr>
                <w:rFonts w:ascii="宋体" w:hAnsi="宋体" w:eastAsia="宋体" w:cs="宋体"/>
                <w:kern w:val="0"/>
                <w:sz w:val="24"/>
                <w:szCs w:val="24"/>
              </w:rPr>
            </w:pPr>
            <w:r>
              <w:rPr>
                <w:rFonts w:hint="eastAsia" w:ascii="宋体" w:hAnsi="宋体" w:eastAsia="宋体" w:cs="宋体"/>
                <w:kern w:val="0"/>
                <w:sz w:val="24"/>
                <w:szCs w:val="24"/>
              </w:rPr>
              <w:t xml:space="preserve">   工业和信息化局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36"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5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89" w:type="dxa"/>
          <w:trHeight w:val="450" w:hRule="atLeast"/>
        </w:trPr>
        <w:tc>
          <w:tcPr>
            <w:tcW w:w="441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6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5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389" w:type="dxa"/>
          <w:trHeight w:val="450" w:hRule="atLeast"/>
        </w:trPr>
        <w:tc>
          <w:tcPr>
            <w:tcW w:w="171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441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rPr>
          <w:gridAfter w:val="1"/>
          <w:wAfter w:w="389" w:type="dxa"/>
          <w:trHeight w:val="450" w:hRule="atLeast"/>
        </w:trPr>
        <w:tc>
          <w:tcPr>
            <w:tcW w:w="441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6864.31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575.14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6289.17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2010301</w:t>
            </w:r>
          </w:p>
          <w:p>
            <w:pPr>
              <w:jc w:val="center"/>
            </w:pP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行政运行</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139.97</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139.97</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2010507</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专项普查活动</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1.00</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1.00</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2060499</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其他技术研究与开发支出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165.70</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165.70</w:t>
            </w:r>
            <w:r>
              <w:rPr>
                <w:rFonts w:hint="eastAsia" w:ascii="宋体" w:hAnsi="宋体" w:eastAsia="宋体" w:cs="宋体"/>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2060799</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其他科学技术普及支出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34.10</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34.10</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2080299</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其他民政管理事务支出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0.5</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0.5</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2080801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死亡抚恤</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38.84</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38.84</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2082899</w:t>
            </w:r>
          </w:p>
        </w:tc>
        <w:tc>
          <w:tcPr>
            <w:tcW w:w="2694"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其他退役军人事务管理支出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1.44　</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1.44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2100410</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突发公共卫生事件应急处理</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100.00</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100.00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2109901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其他卫生健康支出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17.88</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17.88</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2111001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能源节约利用</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98.23</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98.23</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2119901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其他节能环保支出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437.10</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437.10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2129901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其他城乡社区支出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71.00</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71.00</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2130501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行政运行</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4.00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4.00</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2150199</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　其他资源勘探业支出</w:t>
            </w:r>
          </w:p>
          <w:p>
            <w:pPr>
              <w:rPr>
                <w:rFonts w:ascii="宋体" w:hAnsi="宋体" w:eastAsia="宋体" w:cs="宋体"/>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15.00　</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15.00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2150501</w:t>
            </w:r>
          </w:p>
        </w:tc>
        <w:tc>
          <w:tcPr>
            <w:tcW w:w="2694"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行政运行</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364.90　</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217.40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147.49</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2150502</w:t>
            </w:r>
          </w:p>
        </w:tc>
        <w:tc>
          <w:tcPr>
            <w:tcW w:w="2694"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一般行政管理事务</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72.26　</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72.26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2150510</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工业和信息产业支持</w:t>
            </w:r>
          </w:p>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137.37</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137.37</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p>
          <w:p>
            <w:pPr>
              <w:jc w:val="center"/>
            </w:pPr>
            <w:r>
              <w:rPr>
                <w:rFonts w:hint="eastAsia"/>
              </w:rPr>
              <w:t>2150599</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其他工业和信息产业监管支出</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665.34</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20.93</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644.41</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2150805</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中小企业发展专项</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3.00</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3.00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2150899</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其他支持中小企业发展和管理支出</w:t>
            </w:r>
          </w:p>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73.76</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73.76</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2159904</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技术改造支出</w:t>
            </w:r>
          </w:p>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20.00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2159999</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其他资源勘探工业信息等支出</w:t>
            </w:r>
          </w:p>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4029.44</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jc w:val="right"/>
            </w:pPr>
            <w:r>
              <w:rPr>
                <w:rFonts w:hint="eastAsia"/>
              </w:rPr>
              <w:t>4029.44</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2200101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行政运行</w:t>
            </w:r>
          </w:p>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0.93</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0.93</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2210103</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棚户区改造</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19.00</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19.00</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2210201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住房公积金</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8.16</w:t>
            </w:r>
          </w:p>
        </w:tc>
        <w:tc>
          <w:tcPr>
            <w:tcW w:w="1559" w:type="dxa"/>
            <w:tcBorders>
              <w:top w:val="nil"/>
              <w:left w:val="nil"/>
              <w:bottom w:val="single" w:color="auto" w:sz="4" w:space="0"/>
              <w:right w:val="single" w:color="auto" w:sz="4" w:space="0"/>
            </w:tcBorders>
            <w:shd w:val="clear" w:color="auto" w:fill="auto"/>
            <w:noWrap/>
            <w:vAlign w:val="center"/>
          </w:tcPr>
          <w:p>
            <w:pPr>
              <w:jc w:val="right"/>
            </w:pPr>
            <w:r>
              <w:rPr>
                <w:rFonts w:hint="eastAsia"/>
              </w:rPr>
              <w:t>8.16</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2220511</w:t>
            </w:r>
          </w:p>
        </w:tc>
        <w:tc>
          <w:tcPr>
            <w:tcW w:w="2694" w:type="dxa"/>
            <w:tcBorders>
              <w:top w:val="nil"/>
              <w:left w:val="nil"/>
              <w:bottom w:val="single" w:color="auto" w:sz="4" w:space="0"/>
              <w:right w:val="single" w:color="auto" w:sz="4" w:space="0"/>
            </w:tcBorders>
            <w:shd w:val="clear" w:color="000000" w:fill="FFFFFF"/>
            <w:noWrap/>
            <w:vAlign w:val="center"/>
          </w:tcPr>
          <w:p>
            <w:r>
              <w:rPr>
                <w:rFonts w:hint="eastAsia"/>
              </w:rPr>
              <w:t>应急物资储备</w:t>
            </w:r>
          </w:p>
        </w:tc>
        <w:tc>
          <w:tcPr>
            <w:tcW w:w="1701" w:type="dxa"/>
            <w:tcBorders>
              <w:top w:val="nil"/>
              <w:left w:val="nil"/>
              <w:bottom w:val="single" w:color="auto" w:sz="4" w:space="0"/>
              <w:right w:val="single" w:color="auto" w:sz="4" w:space="0"/>
            </w:tcBorders>
            <w:shd w:val="clear" w:color="auto" w:fill="auto"/>
            <w:noWrap/>
            <w:vAlign w:val="center"/>
          </w:tcPr>
          <w:p>
            <w:pPr>
              <w:jc w:val="right"/>
            </w:pPr>
            <w:r>
              <w:rPr>
                <w:rFonts w:hint="eastAsia"/>
              </w:rPr>
              <w:t>345.40</w:t>
            </w:r>
          </w:p>
        </w:tc>
        <w:tc>
          <w:tcPr>
            <w:tcW w:w="1559" w:type="dxa"/>
            <w:tcBorders>
              <w:top w:val="nil"/>
              <w:left w:val="nil"/>
              <w:bottom w:val="single" w:color="auto" w:sz="4" w:space="0"/>
              <w:right w:val="single" w:color="auto" w:sz="4" w:space="0"/>
            </w:tcBorders>
            <w:shd w:val="clear" w:color="auto" w:fill="auto"/>
            <w:noWrap/>
            <w:vAlign w:val="center"/>
          </w:tcPr>
          <w:p>
            <w:pPr>
              <w:jc w:val="right"/>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345.40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9" w:type="dxa"/>
          <w:trHeight w:val="450" w:hRule="atLeast"/>
        </w:trPr>
        <w:tc>
          <w:tcPr>
            <w:tcW w:w="17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p>
        </w:tc>
        <w:tc>
          <w:tcPr>
            <w:tcW w:w="2694" w:type="dxa"/>
            <w:tcBorders>
              <w:top w:val="nil"/>
              <w:left w:val="nil"/>
              <w:bottom w:val="single" w:color="auto" w:sz="4" w:space="0"/>
              <w:right w:val="single" w:color="auto" w:sz="4" w:space="0"/>
            </w:tcBorders>
            <w:shd w:val="clear" w:color="000000" w:fill="FFFFFF"/>
            <w:noWrap/>
            <w:vAlign w:val="center"/>
          </w:tcP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部门：溆浦县工业和信息化局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3196.06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140.97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140.97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40.78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40.78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117.88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117.88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九、节能环保支出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535.33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535.33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1730.91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1730.91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十三、自然资源海洋气象等支出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十四、住房保障支出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345.40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345.40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3196.06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3214.16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3214.16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18.10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18.10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3214.16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3214.16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3214.16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3214.16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560.34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2653.82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pPr>
            <w:r>
              <w:rPr>
                <w:rFonts w:hint="eastAsia"/>
              </w:rPr>
              <w:t>2010301</w:t>
            </w:r>
          </w:p>
          <w:p>
            <w:pPr>
              <w:jc w:val="center"/>
            </w:pP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pPr>
            <w:r>
              <w:rPr>
                <w:rFonts w:hint="eastAsia"/>
              </w:rPr>
              <w:t>139.97</w:t>
            </w:r>
          </w:p>
        </w:tc>
        <w:tc>
          <w:tcPr>
            <w:tcW w:w="3492" w:type="dxa"/>
            <w:tcBorders>
              <w:top w:val="nil"/>
              <w:left w:val="nil"/>
              <w:bottom w:val="single" w:color="auto" w:sz="4" w:space="0"/>
              <w:right w:val="single" w:color="auto" w:sz="4" w:space="0"/>
            </w:tcBorders>
            <w:shd w:val="clear" w:color="auto" w:fill="auto"/>
            <w:vAlign w:val="center"/>
          </w:tcPr>
          <w:p>
            <w:pPr>
              <w:jc w:val="right"/>
            </w:pPr>
            <w:r>
              <w:rPr>
                <w:rFonts w:hint="eastAsia"/>
              </w:rPr>
              <w:t>139.97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pPr>
            <w:r>
              <w:rPr>
                <w:rFonts w:hint="eastAsia"/>
              </w:rPr>
              <w:t>2010507</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专项普查活动</w:t>
            </w:r>
          </w:p>
        </w:tc>
        <w:tc>
          <w:tcPr>
            <w:tcW w:w="3000" w:type="dxa"/>
            <w:tcBorders>
              <w:top w:val="nil"/>
              <w:left w:val="nil"/>
              <w:bottom w:val="single" w:color="auto" w:sz="4" w:space="0"/>
              <w:right w:val="single" w:color="auto" w:sz="4" w:space="0"/>
            </w:tcBorders>
            <w:shd w:val="clear" w:color="auto" w:fill="auto"/>
            <w:vAlign w:val="center"/>
          </w:tcPr>
          <w:p>
            <w:pPr>
              <w:jc w:val="right"/>
            </w:pPr>
            <w:r>
              <w:rPr>
                <w:rFonts w:hint="eastAsia"/>
              </w:rPr>
              <w:t>1.00</w:t>
            </w:r>
          </w:p>
        </w:tc>
        <w:tc>
          <w:tcPr>
            <w:tcW w:w="3492" w:type="dxa"/>
            <w:tcBorders>
              <w:top w:val="nil"/>
              <w:left w:val="nil"/>
              <w:bottom w:val="single" w:color="auto" w:sz="4" w:space="0"/>
              <w:right w:val="single" w:color="auto" w:sz="4" w:space="0"/>
            </w:tcBorders>
            <w:shd w:val="clear" w:color="auto" w:fill="auto"/>
            <w:vAlign w:val="center"/>
          </w:tcPr>
          <w:p>
            <w:pPr>
              <w:jc w:val="right"/>
            </w:pPr>
            <w:r>
              <w:rPr>
                <w:rFonts w:hint="eastAsia"/>
              </w:rPr>
              <w:t>1.00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pPr>
            <w:r>
              <w:rPr>
                <w:rFonts w:hint="eastAsia"/>
              </w:rPr>
              <w:t>2060499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其他技术研究与开发支出</w:t>
            </w:r>
          </w:p>
        </w:tc>
        <w:tc>
          <w:tcPr>
            <w:tcW w:w="3000" w:type="dxa"/>
            <w:tcBorders>
              <w:top w:val="nil"/>
              <w:left w:val="nil"/>
              <w:bottom w:val="single" w:color="auto" w:sz="4" w:space="0"/>
              <w:right w:val="single" w:color="auto" w:sz="4" w:space="0"/>
            </w:tcBorders>
            <w:shd w:val="clear" w:color="auto" w:fill="auto"/>
            <w:vAlign w:val="center"/>
          </w:tcPr>
          <w:p>
            <w:pPr>
              <w:jc w:val="right"/>
            </w:pPr>
            <w:r>
              <w:rPr>
                <w:rFonts w:hint="eastAsia"/>
              </w:rPr>
              <w:t>165.70</w:t>
            </w:r>
          </w:p>
        </w:tc>
        <w:tc>
          <w:tcPr>
            <w:tcW w:w="3492" w:type="dxa"/>
            <w:tcBorders>
              <w:top w:val="nil"/>
              <w:left w:val="nil"/>
              <w:bottom w:val="single" w:color="auto" w:sz="4" w:space="0"/>
              <w:right w:val="single" w:color="auto" w:sz="4" w:space="0"/>
            </w:tcBorders>
            <w:shd w:val="clear" w:color="auto" w:fill="auto"/>
            <w:vAlign w:val="center"/>
          </w:tcPr>
          <w:p>
            <w:pPr>
              <w:jc w:val="right"/>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rPr>
              <w:t>165.70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pPr>
            <w:r>
              <w:rPr>
                <w:rFonts w:hint="eastAsia"/>
              </w:rPr>
              <w:t>2060799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其他科学技术普及支出</w:t>
            </w:r>
          </w:p>
        </w:tc>
        <w:tc>
          <w:tcPr>
            <w:tcW w:w="3000" w:type="dxa"/>
            <w:tcBorders>
              <w:top w:val="nil"/>
              <w:left w:val="nil"/>
              <w:bottom w:val="single" w:color="auto" w:sz="4" w:space="0"/>
              <w:right w:val="single" w:color="auto" w:sz="4" w:space="0"/>
            </w:tcBorders>
            <w:shd w:val="clear" w:color="auto" w:fill="auto"/>
            <w:vAlign w:val="center"/>
          </w:tcPr>
          <w:p>
            <w:pPr>
              <w:jc w:val="right"/>
            </w:pPr>
            <w:r>
              <w:rPr>
                <w:rFonts w:hint="eastAsia"/>
              </w:rPr>
              <w:t>34.10</w:t>
            </w:r>
          </w:p>
        </w:tc>
        <w:tc>
          <w:tcPr>
            <w:tcW w:w="3492" w:type="dxa"/>
            <w:tcBorders>
              <w:top w:val="nil"/>
              <w:left w:val="nil"/>
              <w:bottom w:val="single" w:color="auto" w:sz="4" w:space="0"/>
              <w:right w:val="single" w:color="auto" w:sz="4" w:space="0"/>
            </w:tcBorders>
            <w:shd w:val="clear" w:color="auto" w:fill="auto"/>
            <w:vAlign w:val="center"/>
          </w:tcPr>
          <w:p>
            <w:pPr>
              <w:jc w:val="right"/>
            </w:pPr>
            <w:r>
              <w:rPr>
                <w:rFonts w:hint="eastAsia"/>
              </w:rPr>
              <w:t>34.10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pPr>
            <w:r>
              <w:rPr>
                <w:rFonts w:hint="eastAsia"/>
              </w:rPr>
              <w:t>2080299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其他民政管理事务支出</w:t>
            </w:r>
          </w:p>
        </w:tc>
        <w:tc>
          <w:tcPr>
            <w:tcW w:w="3000" w:type="dxa"/>
            <w:tcBorders>
              <w:top w:val="nil"/>
              <w:left w:val="nil"/>
              <w:bottom w:val="single" w:color="auto" w:sz="4" w:space="0"/>
              <w:right w:val="single" w:color="auto" w:sz="4" w:space="0"/>
            </w:tcBorders>
            <w:shd w:val="clear" w:color="auto" w:fill="auto"/>
            <w:vAlign w:val="center"/>
          </w:tcPr>
          <w:p>
            <w:pPr>
              <w:jc w:val="right"/>
            </w:pPr>
            <w:r>
              <w:rPr>
                <w:rFonts w:hint="eastAsia"/>
              </w:rPr>
              <w:t>0.5</w:t>
            </w:r>
          </w:p>
        </w:tc>
        <w:tc>
          <w:tcPr>
            <w:tcW w:w="3492" w:type="dxa"/>
            <w:tcBorders>
              <w:top w:val="nil"/>
              <w:left w:val="nil"/>
              <w:bottom w:val="single" w:color="auto" w:sz="4" w:space="0"/>
              <w:right w:val="single" w:color="auto" w:sz="4" w:space="0"/>
            </w:tcBorders>
            <w:shd w:val="clear" w:color="auto" w:fill="auto"/>
            <w:vAlign w:val="center"/>
          </w:tcPr>
          <w:p>
            <w:pPr>
              <w:jc w:val="right"/>
            </w:pPr>
            <w:r>
              <w:rPr>
                <w:rFonts w:hint="eastAsia"/>
              </w:rPr>
              <w:t>0.5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2080801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死亡抚恤</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38.84</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38.84</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2082899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sz w:val="24"/>
                <w:szCs w:val="24"/>
              </w:rPr>
            </w:pPr>
            <w:r>
              <w:rPr>
                <w:rFonts w:hint="eastAsia"/>
              </w:rPr>
              <w:t>　其他退役军人事务管理支出</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1.44　</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1.44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2100410</w:t>
            </w:r>
          </w:p>
        </w:tc>
        <w:tc>
          <w:tcPr>
            <w:tcW w:w="3527" w:type="dxa"/>
            <w:tcBorders>
              <w:top w:val="nil"/>
              <w:left w:val="nil"/>
              <w:bottom w:val="single" w:color="auto" w:sz="8" w:space="0"/>
              <w:right w:val="single" w:color="auto" w:sz="4" w:space="0"/>
            </w:tcBorders>
            <w:shd w:val="clear" w:color="auto" w:fill="auto"/>
            <w:vAlign w:val="center"/>
          </w:tcPr>
          <w:p>
            <w:r>
              <w:rPr>
                <w:rFonts w:hint="eastAsia"/>
              </w:rPr>
              <w:t>突发公共卫生事件应急处理</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100.00</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100.00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2109901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其他卫生健康支出</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17.88</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17.88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2111001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能源节约利用</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98.23</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98.23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2119901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其他节能环保支出</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437.10</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437.10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2129901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其他城乡社区支出</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71.00</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71.00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2130501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rPr>
              <w:t>4.00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rPr>
              <w:t>4.00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2150199</w:t>
            </w:r>
          </w:p>
        </w:tc>
        <w:tc>
          <w:tcPr>
            <w:tcW w:w="3527" w:type="dxa"/>
            <w:tcBorders>
              <w:top w:val="nil"/>
              <w:left w:val="nil"/>
              <w:bottom w:val="single" w:color="auto" w:sz="8" w:space="0"/>
              <w:right w:val="single" w:color="auto" w:sz="4" w:space="0"/>
            </w:tcBorders>
            <w:shd w:val="clear" w:color="auto" w:fill="auto"/>
            <w:vAlign w:val="center"/>
          </w:tcPr>
          <w:p>
            <w:r>
              <w:rPr>
                <w:rFonts w:hint="eastAsia"/>
              </w:rPr>
              <w:t>　其他资源勘探业支出</w:t>
            </w:r>
          </w:p>
          <w:p>
            <w:pPr>
              <w:rPr>
                <w:rFonts w:ascii="宋体" w:hAnsi="宋体" w:eastAsia="宋体" w:cs="宋体"/>
                <w:sz w:val="24"/>
                <w:szCs w:val="24"/>
              </w:rPr>
            </w:pP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15.00　</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2150501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sz w:val="24"/>
                <w:szCs w:val="24"/>
              </w:rPr>
            </w:pPr>
            <w:r>
              <w:rPr>
                <w:rFonts w:hint="eastAsia"/>
              </w:rPr>
              <w:t>　行政运行</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219.19</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202.60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2150502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sz w:val="24"/>
                <w:szCs w:val="24"/>
              </w:rPr>
            </w:pPr>
            <w:r>
              <w:rPr>
                <w:rFonts w:hint="eastAsia"/>
              </w:rPr>
              <w:t>　一般行政管理事务</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72.26　</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72.26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2150510</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工业和信息产业支持</w:t>
            </w:r>
          </w:p>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137.37</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137.37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p>
          <w:p>
            <w:pPr>
              <w:jc w:val="center"/>
            </w:pPr>
            <w:r>
              <w:rPr>
                <w:rFonts w:hint="eastAsia"/>
              </w:rPr>
              <w:t>2150599</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其他工业和信息产业监管支出</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665.34</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20.93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644.41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2150805</w:t>
            </w:r>
          </w:p>
        </w:tc>
        <w:tc>
          <w:tcPr>
            <w:tcW w:w="3527" w:type="dxa"/>
            <w:tcBorders>
              <w:top w:val="nil"/>
              <w:left w:val="nil"/>
              <w:bottom w:val="single" w:color="auto" w:sz="8" w:space="0"/>
              <w:right w:val="single" w:color="auto" w:sz="4" w:space="0"/>
            </w:tcBorders>
            <w:shd w:val="clear" w:color="auto" w:fill="auto"/>
            <w:vAlign w:val="center"/>
          </w:tcPr>
          <w:p>
            <w:r>
              <w:rPr>
                <w:rFonts w:hint="eastAsia"/>
              </w:rPr>
              <w:t>中小企业发展专项</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3.00</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2150899</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其他支持中小企业发展和管理支出</w:t>
            </w:r>
          </w:p>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73.76</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73.76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2159904</w:t>
            </w:r>
          </w:p>
        </w:tc>
        <w:tc>
          <w:tcPr>
            <w:tcW w:w="3527" w:type="dxa"/>
            <w:tcBorders>
              <w:top w:val="nil"/>
              <w:left w:val="nil"/>
              <w:bottom w:val="single" w:color="auto" w:sz="8" w:space="0"/>
              <w:right w:val="single" w:color="auto" w:sz="4" w:space="0"/>
            </w:tcBorders>
            <w:shd w:val="clear" w:color="auto" w:fill="auto"/>
            <w:vAlign w:val="center"/>
          </w:tcPr>
          <w:p>
            <w:r>
              <w:rPr>
                <w:rFonts w:hint="eastAsia"/>
              </w:rPr>
              <w:t>技术改造支出</w:t>
            </w:r>
          </w:p>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20.00</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20.00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2159999</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其他资源勘探工业信息等支出</w:t>
            </w:r>
          </w:p>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525.00</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jc w:val="right"/>
            </w:pPr>
            <w:r>
              <w:rPr>
                <w:rFonts w:hint="eastAsia"/>
              </w:rPr>
              <w:t>525.00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2200101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行政运行</w:t>
            </w:r>
          </w:p>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0.93</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0.93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2210103</w:t>
            </w:r>
          </w:p>
        </w:tc>
        <w:tc>
          <w:tcPr>
            <w:tcW w:w="3527" w:type="dxa"/>
            <w:tcBorders>
              <w:top w:val="nil"/>
              <w:left w:val="nil"/>
              <w:bottom w:val="single" w:color="auto" w:sz="8" w:space="0"/>
              <w:right w:val="single" w:color="auto" w:sz="4" w:space="0"/>
            </w:tcBorders>
            <w:shd w:val="clear" w:color="auto" w:fill="auto"/>
            <w:vAlign w:val="center"/>
          </w:tcPr>
          <w:p>
            <w:r>
              <w:rPr>
                <w:rFonts w:hint="eastAsia"/>
              </w:rPr>
              <w:t>棚户区改造</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19.00</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19.00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2210201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住房公积金</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8.16</w:t>
            </w:r>
          </w:p>
        </w:tc>
        <w:tc>
          <w:tcPr>
            <w:tcW w:w="3492" w:type="dxa"/>
            <w:tcBorders>
              <w:top w:val="nil"/>
              <w:left w:val="nil"/>
              <w:bottom w:val="single" w:color="auto" w:sz="8" w:space="0"/>
              <w:right w:val="single" w:color="auto" w:sz="4" w:space="0"/>
            </w:tcBorders>
            <w:shd w:val="clear" w:color="auto" w:fill="auto"/>
            <w:vAlign w:val="center"/>
          </w:tcPr>
          <w:p>
            <w:pPr>
              <w:jc w:val="right"/>
            </w:pPr>
            <w:r>
              <w:rPr>
                <w:rFonts w:hint="eastAsia"/>
              </w:rPr>
              <w:t>8.16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pPr>
            <w:r>
              <w:rPr>
                <w:rFonts w:hint="eastAsia"/>
              </w:rPr>
              <w:t>2220511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应急物资储备</w:t>
            </w:r>
          </w:p>
        </w:tc>
        <w:tc>
          <w:tcPr>
            <w:tcW w:w="3000" w:type="dxa"/>
            <w:tcBorders>
              <w:top w:val="nil"/>
              <w:left w:val="nil"/>
              <w:bottom w:val="single" w:color="auto" w:sz="8" w:space="0"/>
              <w:right w:val="single" w:color="auto" w:sz="4" w:space="0"/>
            </w:tcBorders>
            <w:shd w:val="clear" w:color="auto" w:fill="auto"/>
            <w:vAlign w:val="center"/>
          </w:tcPr>
          <w:p>
            <w:pPr>
              <w:jc w:val="right"/>
            </w:pPr>
            <w:r>
              <w:rPr>
                <w:rFonts w:hint="eastAsia"/>
              </w:rPr>
              <w:t>345.40</w:t>
            </w:r>
          </w:p>
        </w:tc>
        <w:tc>
          <w:tcPr>
            <w:tcW w:w="3492" w:type="dxa"/>
            <w:tcBorders>
              <w:top w:val="nil"/>
              <w:left w:val="nil"/>
              <w:bottom w:val="single" w:color="auto" w:sz="8" w:space="0"/>
              <w:right w:val="single" w:color="auto" w:sz="4" w:space="0"/>
            </w:tcBorders>
            <w:shd w:val="clear" w:color="auto" w:fill="auto"/>
            <w:vAlign w:val="center"/>
          </w:tcPr>
          <w:p>
            <w:pPr>
              <w:jc w:val="right"/>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rPr>
              <w:t>345.40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339"/>
        <w:gridCol w:w="3366"/>
        <w:gridCol w:w="1056"/>
        <w:gridCol w:w="1115"/>
        <w:gridCol w:w="2021"/>
        <w:gridCol w:w="850"/>
        <w:gridCol w:w="1101"/>
        <w:gridCol w:w="3719"/>
        <w:gridCol w:w="1047"/>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溆浦县工业和信息化局                              公开06 表                                                           单位：万元</w:t>
            </w:r>
          </w:p>
        </w:tc>
      </w:tr>
      <w:tr>
        <w:tblPrEx>
          <w:tblCellMar>
            <w:top w:w="0" w:type="dxa"/>
            <w:left w:w="108" w:type="dxa"/>
            <w:bottom w:w="0" w:type="dxa"/>
            <w:right w:w="108" w:type="dxa"/>
          </w:tblCellMar>
        </w:tblPrEx>
        <w:trPr>
          <w:trHeight w:val="113"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361.75</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145.39</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146.99</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1.93</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86.44</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2.26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75.67</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5.92</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3.47</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11.58</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3.47</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2.75</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2.97</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4.01</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27.22</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34.09</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2.04</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0.24</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49.74</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0.80</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34.85</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11.08</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0.66</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1.15</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12.86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2.05</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0.41</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23.85</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1.10</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61.84</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411.49</w:t>
            </w:r>
          </w:p>
        </w:tc>
        <w:tc>
          <w:tcPr>
            <w:tcW w:w="880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148.86</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工业和信息化局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溆浦县工业和信息化局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000" w:type="dxa"/>
            <w:gridSpan w:val="6"/>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溆浦县工业和信息化局没有政府性基金收入，也没有使用政府性基金安排的支出，故本表无数据</w:t>
            </w: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工信局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2020年度收、支总计6942.12万元。与上年3789.65万元相比，增加3152.47万元，增长83.19%，主要是因为中央对企业、尤其是中小企业的扶持力度增大，补贴资金增幅较大。</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本年收入合计6861.95万元，其中：财政拨款收入3196.06万元，占46.58%；上级补助收入0万元，占0%；事业收入0万元，占0%；经营收入0万元，占0%；附属单位上缴收入0万元，占0%；其他收入3665.89万元，占53.42%。</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本年支出合计6864.31万元，其中：基本支出575.14万元，占8.38%；项目支出6289.17万元，占91.62%；上缴上级支出0万元，占0%；经营支出0万元，占0%；对附属单位补助支出0万元，占0%。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2020年度财政拨款收、支总计3214.16万元，与上年3605.09万元相比，减少390.93万元,减少10.84%，主要是因为大力压缩一般性支出，严格控制三公经费开支，一般预算拨款比上年减少了269万元，减幅7.79%。</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3214.16万元，占本年支出合计的46.82%，与上年相比，财政拨款支出减少251.87万元，减少7.27%，主要是因为大力压缩一般性支出，严格控制三公经费开支，全年做到了三公经费开支为0，会议费开支为0，机关运行经费比上年减少15万元，减幅9.24%。</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3214.16万元，主要用于以下方面：一般公共服务（类）支出140.97万元，占4.39%；科学技术（类）支出199.80万元，占6.22%;社会保障和就业（类）支出40.78万元，占1.27%；卫生健康（类）支出（类）支出117.88万元，占3.67%；节能环保（类）支出535.33万元，占16.66%；城乡社区（类）支出71.00万元，占2.21%；农林水（类）支出4.00万元，占0.12%；资源勘探信息等支出1730.91万元，占53.85%；自然资源海洋气象（类）支出0.93万元，占0.03%；住房保障（类）支出27.16万元，占0.85%；粮油物资储备（类）支出345.40万元，占10.75%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2020年度财政拨款支出年初预算数为3214.16万元，支出决算数为3214.16万元，完成年初预算的100%，其中：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1、一般公共服务（类）政府办公厅（室）及相关机构事务（款）行政运行（项）。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年初预算为139.97万元，支出决算为139.97万元，完成年初预算的100%。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2、一般公共服务（类）统计信息事务（款）专项普查活动（项）。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年初预算为1.00万元，支出决算为1.00万元，完成年初预算的100%。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3、科学技术（类）技术研究与开发（款）其他技术研究与开发（项）。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年初预算为165.70万元，支出决算为165.70万元，完成年初预算的100%。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4、科学技术（类）科学技术普及（款）其他科学技术普及支出（项）。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年初预算为34.10万元，支出决算为34.10万元，完成年初预算的100%。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5、社会保障和就业支出（类）民政事务管理（款）其他民政事务管理（项）。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年初预算为0.5万元，支出决算为0.5万元，完成年初预算的100%。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6、社会保障和就业（类）抚恤（款）死亡抚恤（项）。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年初预算为38.84万元，支出决算为38.84万元，完成年初预算的100%。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7、社会保障和就业（类）退役军人管理事务（款）其他退役军人事务管理支出（项）。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年初预算为1.44万元，支出决算为1.44万元，完成年初预算的100%。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8、卫生健康支出（类）公共卫生（款）突发公共卫生事件应急处理（项）。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年初预算为100万元，支出决算为100万元，完成年初预算的100%。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9、卫生健康支出（类）其他卫生健康支出（款）其他卫生健康支出（项）。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年初预算为17.88万元，支出决算为17.88万元，完成年初预算的100%。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10、节能环保支出（类）能源节约利用（款）能源节约利用（项）。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年初预算为98.23万元，支出决算为98.23万元，完成年初预算的100%。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11、节能环保支出（类）其他节能环保支出（款）其他节能环保支出（项）。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年初预算为437.10万元，支出决算为437.10万元，完成年初预算的100%。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12、城乡社区支出（类）其他城乡社区支出（款）其他城乡社区支出（项）。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年初预算为71万元，支出决算为71万元，完成年初预算的100%。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13、农林水支出（类）扶贫（款）行政运行（项）。</w:t>
      </w:r>
    </w:p>
    <w:p>
      <w:pPr>
        <w:pStyle w:val="10"/>
        <w:ind w:left="105" w:leftChars="5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年初预算为4.00万元，支出决算为4.00万元，完成年初预算的100%。</w:t>
      </w:r>
    </w:p>
    <w:p>
      <w:pPr>
        <w:pStyle w:val="10"/>
        <w:ind w:left="105" w:leftChars="5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14、资源勘探信息等支出（类）资源勘探开发（款）其他资源勘探开发支出（项）。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年初预算为15万元，支出决算为15万元，完成年初预算的100%。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15、资源勘探信息等支出（类）工业和信息产业监管（款）行政运行（项）。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年初预算为219.19万元，支出决算为219.19万元，完成年初预算的100%。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16、资源勘探信息等支出（类）工业和信息产业监管（款）一般行政管理事务（项）。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年初预算为72.26万元，支出决算为72.26万元，完成年初预算的100%。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17、资源勘探信息等支出（类）工业和信息产业监管（款）工业和信息产业支持（项）。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年初预算为137.37万元，支出决算为137.37万元，完成年初预算的100%。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18、资源勘探信息等支出（类）工业和信息产业监管（款）其他工业和信息产业监管支出（项）。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年初预算为665.34万元，支出决算为665.34万元，完成年初预算的100%。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19、资源勘探信息等支出（类）支持中小企业发展和管理支出（款）中小企业发展专项（项）。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年初预算为3.00万元，支出决算为3.00万元，完成年初预算的100%。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20、资源勘探信息等支出（类）支持中小企业发展和管理支出（款）其他支持中小企业发展和管理支出（项）。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年初预算为73.76万元，支出决算为73.76万元，完成年初预算的100%。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21、资源勘探信息等支出（类）其他资源勘探信息等支出（款）技术改造支出（项）。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年初预算为20.00万元，支出决算为20.00万元，完成年初预算的100%。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22、资源勘探信息等支出（类）其他资源勘探信息等支出（款）其他资源勘探信息等支出（项）。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年初预算为525.00万元，支出决算为525.00万元，完成年初预算的100%。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23、自然资源海洋气象等支出（类）自然资源事务（款）行政运行（项）。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年初预算为0.93万元，支出决算为0.93万元，完成年初预算的100%。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24、住房保障支出（类）保障性安居工程支出（款）棚户区改造（项）。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年初预算为19万元，支出决算为19万元，完成年初预算的100%。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25、住房保障支出（类）住房改革支出（款）住房公积金（项）。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年初预算为8.16万元，支出决算为8.16万元，完成年初预算的100%。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26、粮油物资储备支出（类）重要商品储备（款）应急物资储备（项）。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年初预算为345.40万元，支出决算为345.40万元，完成年初预算的100%。</w:t>
      </w:r>
    </w:p>
    <w:p>
      <w:pPr>
        <w:pStyle w:val="10"/>
        <w:ind w:firstLine="800" w:firstLineChars="25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560.34万元，其中：人员经费411.49万元，占基本支出的73.44%,主要包括：基本工资:146.99万元、津贴补贴86.44万元、奖金75.67万元、伙食补助费11.58万元职业年金缴费2.97万元、其他社会保障缴费4.01万元、住房公积金34.09万元、抚恤金34.85万元、生活补助11.08万元、救济费0.66万元、奖励金2.05万元、其他对个人和家庭的补助1.10万元；公用经费148.86万元，占基本支出的26.56%，主要包括办公费1.93万元、印刷费2.26万元、咨询费5.92万元、水费0.06万元、电费2.75万元、邮电费2.00万元、差旅费27.22万元、维修费2.04万元、租赁费0.24万元、培训费0.06万元、专用材料费0.80万元、劳务费1.15万元、工会经费12.86万元、福利费0.41万元、其他交通费用23.85万元、其他商品服务支出61.84万元、办公设备购置费3.47万元。</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“三公”经费财政拨款支出预算为2.12万元，支出决算为0万元，完成预算的0%，其中：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因公出国（境）费支出预算为0万元，支出决算为0万元，与上年相比没有变化。</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2.12万元，支出决算为0万元，完成预算的0%，决算数小于预算数的主要原因是严格控制三公经费开支，减少一切非必要性开支。与上年相比减少0.61万元，减少100%,减少（增长）的主要原因是严格履行中央八项规定，严格控制三公经费开支。</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本单位无公车，故没有公务用车购置费及运行维护费支出开支。</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2020年度“三公”经费财政拨款支出决算中，公务接待费支出决算0万元，占0%,因公出国（境）费支出决算0万元，占0%,公务用车购置费及运行维护费支出决算0万元，占0%。其中：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3、公务用车购置费及运行维护费支出决算为0万元，截止2020年12月31日，我单位开支财政拨款的公务用车保有量为0辆。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stheme="minorBidi"/>
          <w:color w:val="auto"/>
          <w:kern w:val="2"/>
          <w:sz w:val="32"/>
          <w:szCs w:val="32"/>
        </w:rPr>
        <w:t>2020年度本单位无政府性基金收支。</w:t>
      </w:r>
    </w:p>
    <w:p>
      <w:pPr>
        <w:pStyle w:val="10"/>
        <w:rPr>
          <w:rFonts w:hAnsi="黑体"/>
          <w:b/>
          <w:sz w:val="32"/>
          <w:szCs w:val="32"/>
        </w:rPr>
      </w:pPr>
      <w:r>
        <w:rPr>
          <w:rFonts w:hint="eastAsia" w:hAnsi="黑体"/>
          <w:b/>
          <w:sz w:val="32"/>
          <w:szCs w:val="32"/>
        </w:rPr>
        <w:t>九、关于机关运行经费支出说明</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本部门2020年度机关运行经费支出148.86万元，比上年决算数减少15.15万元，降低9.24%。主要原因是：</w:t>
      </w:r>
      <w:r>
        <w:rPr>
          <w:rFonts w:hint="eastAsia" w:cs="黑体" w:asciiTheme="minorEastAsia" w:hAnsiTheme="minorEastAsia"/>
          <w:color w:val="000000"/>
          <w:kern w:val="0"/>
          <w:sz w:val="32"/>
          <w:szCs w:val="32"/>
        </w:rPr>
        <w:t>本单位严格执行中央八项规定，贯彻落实“过紧日子”精神，在“六保六稳”的前提下，大力压缩一般性支出，确保财政资金达到最高的使用效率。</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2020年本部门开支会议费0万元；开支培训费0.06万元，用于开展职业技能培训，人数1人，内容为信息化管理培训。</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本部门2020年度政府采购支出总额0万元，其中：政府采购货物支出0万元、政府采购工程支出0 万元、政府采购服务支出0万元。授予中小企业合同金额0万元，占政府采购支出总额的0%，其中：授予小微企业合同金额0万元，占政府采购支出总额的0%。</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截至2020年12月31日，本单位共有车辆0辆；单位价值50万元以上通用设备0台（套）；单位价值100万元以上专用设备0台（套）。</w:t>
      </w:r>
    </w:p>
    <w:p>
      <w:pPr>
        <w:pStyle w:val="10"/>
        <w:rPr>
          <w:rFonts w:hAnsi="黑体"/>
          <w:b/>
          <w:sz w:val="32"/>
          <w:szCs w:val="32"/>
        </w:rPr>
      </w:pPr>
      <w:r>
        <w:rPr>
          <w:rFonts w:hint="eastAsia" w:hAnsi="黑体"/>
          <w:b/>
          <w:sz w:val="32"/>
          <w:szCs w:val="32"/>
        </w:rPr>
        <w:t>十三、关于2020年度预算绩效情况的说明</w:t>
      </w:r>
    </w:p>
    <w:p>
      <w:pPr>
        <w:pStyle w:val="5"/>
        <w:shd w:val="clear" w:color="auto" w:fill="F3F3F3"/>
        <w:spacing w:before="0" w:beforeAutospacing="0" w:after="0" w:afterAutospacing="0" w:line="480" w:lineRule="auto"/>
        <w:ind w:firstLine="48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w:t>
      </w:r>
      <w:r>
        <w:rPr>
          <w:rFonts w:hint="eastAsia" w:cs="黑体" w:asciiTheme="minorEastAsia" w:hAnsiTheme="minorEastAsia" w:eastAsiaTheme="minorEastAsia"/>
          <w:color w:val="000000"/>
          <w:sz w:val="32"/>
          <w:szCs w:val="32"/>
        </w:rPr>
        <w:t>1、实行重点管控，确保“三公”等经费只减不增；2、严格审核审批，严控经费支出；3、建立了经费支出定期汇报和公示机制，经费支出的公开透明性得到提高；4、着力稳增长；5、着力抓项目；6、着力提质效；7、着力促融合；8、着力优环境。</w:t>
      </w:r>
    </w:p>
    <w:p>
      <w:pPr>
        <w:pStyle w:val="5"/>
        <w:shd w:val="clear" w:color="auto" w:fill="FFFFFF"/>
        <w:spacing w:before="0" w:beforeAutospacing="0" w:after="0" w:afterAutospacing="0"/>
        <w:ind w:firstLine="640" w:firstLineChars="200"/>
        <w:rPr>
          <w:rFonts w:cs="黑体" w:asciiTheme="minorEastAsia" w:hAnsiTheme="minorEastAsia" w:eastAsiaTheme="minorEastAsia"/>
          <w:color w:val="000000"/>
          <w:sz w:val="32"/>
          <w:szCs w:val="32"/>
        </w:rPr>
      </w:pPr>
      <w:r>
        <w:rPr>
          <w:rFonts w:hint="eastAsia" w:asciiTheme="minorEastAsia" w:hAnsiTheme="minorEastAsia" w:eastAsiaTheme="minorEastAsia"/>
          <w:sz w:val="32"/>
          <w:szCs w:val="32"/>
        </w:rPr>
        <w:t>本单位2020年绩效目标是：</w:t>
      </w:r>
      <w:r>
        <w:rPr>
          <w:rFonts w:hint="eastAsia" w:ascii="微软雅黑" w:hAnsi="微软雅黑" w:eastAsia="微软雅黑"/>
          <w:color w:val="000000"/>
          <w:sz w:val="18"/>
          <w:szCs w:val="18"/>
        </w:rPr>
        <w:t xml:space="preserve"> </w:t>
      </w:r>
      <w:r>
        <w:rPr>
          <w:rFonts w:hint="eastAsia" w:cs="黑体" w:asciiTheme="minorEastAsia" w:hAnsiTheme="minorEastAsia" w:eastAsiaTheme="minorEastAsia"/>
          <w:color w:val="000000"/>
          <w:sz w:val="32"/>
          <w:szCs w:val="32"/>
        </w:rPr>
        <w:t>1、加强工业经济调度；2、促进企业科技创新； 3、有序推进项目建设； 4、强力推进环境整治。5、积极化解信访积案；6、全面加强自身建设；7、为实现我县经济高质量发展而努力。经过一年的努力，已完成绩效目标。</w:t>
      </w:r>
    </w:p>
    <w:p>
      <w:pPr>
        <w:spacing w:line="64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本单位《2020</w:t>
      </w:r>
      <w:r>
        <w:rPr>
          <w:rFonts w:cs="黑体" w:asciiTheme="minorEastAsia" w:hAnsiTheme="minorEastAsia"/>
          <w:color w:val="000000"/>
          <w:kern w:val="0"/>
          <w:sz w:val="32"/>
          <w:szCs w:val="32"/>
        </w:rPr>
        <w:t>年整体支出绩效自评报告</w:t>
      </w:r>
      <w:r>
        <w:rPr>
          <w:rFonts w:hint="eastAsia" w:cs="黑体" w:asciiTheme="minorEastAsia" w:hAnsiTheme="minorEastAsia"/>
          <w:color w:val="000000"/>
          <w:sz w:val="32"/>
          <w:szCs w:val="32"/>
        </w:rPr>
        <w:t>》已经按照要求在政府门户网公示。具体内容见附件。</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ind w:firstLine="640" w:firstLineChars="200"/>
        <w:jc w:val="left"/>
        <w:rPr>
          <w:rFonts w:hint="eastAsia" w:asciiTheme="minorEastAsia" w:hAnsiTheme="minorEastAsia"/>
          <w:sz w:val="32"/>
          <w:szCs w:val="32"/>
        </w:rPr>
      </w:pPr>
    </w:p>
    <w:p>
      <w:pPr>
        <w:widowControl/>
        <w:ind w:firstLine="640" w:firstLineChars="200"/>
        <w:jc w:val="left"/>
        <w:rPr>
          <w:rFonts w:hint="eastAsia" w:asciiTheme="minorEastAsia" w:hAnsiTheme="minorEastAsia"/>
          <w:sz w:val="32"/>
          <w:szCs w:val="32"/>
        </w:rPr>
      </w:pPr>
    </w:p>
    <w:p>
      <w:pPr>
        <w:widowControl/>
        <w:ind w:firstLine="640" w:firstLineChars="200"/>
        <w:jc w:val="left"/>
        <w:rPr>
          <w:rFonts w:hint="eastAsia" w:asciiTheme="minorEastAsia" w:hAnsiTheme="minorEastAsia"/>
          <w:sz w:val="32"/>
          <w:szCs w:val="32"/>
        </w:rPr>
      </w:pPr>
    </w:p>
    <w:p>
      <w:pPr>
        <w:widowControl/>
        <w:ind w:firstLine="640" w:firstLineChars="200"/>
        <w:jc w:val="left"/>
        <w:rPr>
          <w:rFonts w:ascii="黑体" w:eastAsia="黑体" w:cs="黑体"/>
          <w:color w:val="000000"/>
          <w:kern w:val="0"/>
          <w:sz w:val="70"/>
          <w:szCs w:val="70"/>
        </w:rPr>
      </w:pPr>
      <w:r>
        <w:rPr>
          <w:rFonts w:hint="eastAsia" w:asciiTheme="minorEastAsia" w:hAnsiTheme="minorEastAsia"/>
          <w:sz w:val="32"/>
          <w:szCs w:val="32"/>
        </w:rPr>
        <w:t>1、财政拨款收入：指县财政当年拨付的资金。</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2、基本支出：指部门为保障其机构正常运转、完成日常工作任务的年度基本支出，包括人员经费和公用经费两部分。</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pStyle w:val="10"/>
        <w:ind w:firstLine="640" w:firstLineChars="200"/>
        <w:rPr>
          <w:rFonts w:hint="eastAsia" w:asciiTheme="minorEastAsia" w:hAnsiTheme="minorEastAsia" w:eastAsiaTheme="minorEastAsia"/>
          <w:sz w:val="32"/>
          <w:szCs w:val="32"/>
        </w:rPr>
      </w:pP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一、部门概况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我局机关在职干部职工42人，党政班子成员4人，内设股室有办公室、运行监测股、投资规划股、中小企业股、信息化股、行政审批股等7个。我局的主要职能是：</w:t>
      </w:r>
      <w:r>
        <w:rPr>
          <w:rFonts w:asciiTheme="minorEastAsia" w:hAnsiTheme="minorEastAsia" w:eastAsiaTheme="minorEastAsia"/>
          <w:sz w:val="32"/>
          <w:szCs w:val="32"/>
        </w:rPr>
        <w:t>综合管理全县工业经济和县属国有工业企业，指导、协调和服务各种经济成分、各种规模类型的工业企业。</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二、部门整体支出管理及使用情况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我局2020年支出6864.31万元。其中基本支出575.14万元；1、工资福利支出361.75万元；2、商品和服务支出160.18万元；3、对个人和家庭的补助49.74万元；4、其它支出3.47万元。项目支出6289.17万元；1、商品服务支出245.12万元，2、其他支出6044.05万元；“三公”经费：公务接待为0万元;公车购置和维护费及出国经费均为零。</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三、资产管理情况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底，县经信局固定资产112.82万元，全部为在用固定资产，固定资产使用率为100%。我局制定了资产管理制度，并得到有效执行:资产保存完整、配置合理、处置规范；资产账务管理合规，账实帐卡相符；资产有偿使用及处置收入及时足额上缴；每年定期清查盘点资产一次；资产购置按标准配备、产权明晰。</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四、部门整体支出绩效情况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（一）部门履职情况</w:t>
      </w:r>
    </w:p>
    <w:p>
      <w:pPr>
        <w:pStyle w:val="10"/>
        <w:ind w:firstLine="640" w:firstLineChars="200"/>
        <w:rPr>
          <w:rFonts w:hint="eastAsia" w:asciiTheme="minorEastAsia" w:hAnsiTheme="minorEastAsia" w:eastAsiaTheme="minorEastAsia"/>
          <w:sz w:val="32"/>
          <w:szCs w:val="32"/>
        </w:rPr>
      </w:pPr>
      <w:r>
        <w:rPr>
          <w:rFonts w:asciiTheme="minorEastAsia" w:hAnsiTheme="minorEastAsia" w:eastAsiaTheme="minorEastAsia"/>
          <w:sz w:val="32"/>
          <w:szCs w:val="32"/>
        </w:rPr>
        <w:t>1、工业经济运行稳中有升。</w:t>
      </w:r>
      <w:r>
        <w:rPr>
          <w:rFonts w:hint="eastAsia" w:asciiTheme="minorEastAsia" w:hAnsiTheme="minorEastAsia" w:eastAsiaTheme="minorEastAsia"/>
          <w:sz w:val="32"/>
          <w:szCs w:val="32"/>
        </w:rPr>
        <w:t>2020年，全县规模工业企业实现工业增加值增速为5.6%（全市平均增速为5.6%），全市排名第五位；全县工业投资完成20.98亿元，同比增长9%；累计工业用电量45436.3万千瓦时，同比增长7.02%；新增规模工业企业任务数7家，实际完成8家。</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疫情防控和复工复产有序推进。今年我局认真执行县委、县政府的“战时”决定，全力抓好疫情防控工作，迅速成立三个工作专班，一组负责电力保障及瓦庄村重点人员的摸底排查工作，联片规模工业企业的疫情防控工作; 二组负责保障通信畅通,系统单位重点人员的摸底排查及数据报送工作,联片规模工业企业的疫情防控工作;三组负责用盐保障及深子湖镇三个联系村重点人员的摸底排查工作,联片规模工业企业的疫情防控工作。工业统筹抓好企业复工复产，指导全县规模工业企业在做好疫情防控的前提下，有计划的复工复产，同时，积极为企业复工复产筹措防护物资，共提供口罩100000只、测温仪100个、消毒水10000公斤。召开企业负责人座谈会，梳理企业复工复产存在的主要问题，涉及15家企业共18条问题，及时汇报并积极对接相关部门，同时，为18家复工复产企业办理22张绿色通行证，有力促进企业复工复产，全县87家规模工业企业较快恢复生产。</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脱贫攻坚扎实有效。一是加快贫困地区通讯建设，全年共新建4G基站90座，建设5G基站118座，新建光纤宽带约70公里，目前，我县农村地区行政村4G覆盖率100%，光纤通达率100%。二是大力推动农网升级，全力实施电网升级，提升供电质量，中低压电网新建工程9个点共总投资260万元，4个行政村总投资231万元的农村电网改造工程，已全部完工正式投运。三是做好驻村帮扶，2020年我局就结对帮扶工作始终按照县委、县政府的要求，开展走访，定期调度，结对帮扶有条不紊落实到位。</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环保整治成效明显。江龙锰业公司渣场整理项目已完成了渣库清表、整形及覆膜、覆土等整改任务工程量，建设挡土墙1000米、雨水沟2000米、监测井2座、渗滤液收集池2座，撒播草种200公斤；；浩峰矿业有限公司废水超标排放项目已完成整改完成，污水处理站完成一级沉淀池、二级沉淀池、废水收集池浇注，预埋管道安装完毕，订购了污水处理设备，尾矿库区完成水毁沟渠的修复，铺设涵管260米，修建了尾矿坝坝体排水沟、尾矿库南侧山体截洪沟基础700米，混凝土浇注220米，厂区雨污分流沟400米，涵管160米。均按正常程序整改，并销号，</w:t>
      </w:r>
      <w:r>
        <w:rPr>
          <w:rFonts w:hint="eastAsia" w:asciiTheme="minorEastAsia" w:hAnsiTheme="minorEastAsia" w:eastAsiaTheme="minorEastAsia"/>
        </w:rPr>
        <w:t>得到华南局长江办、省、市领导好评。</w:t>
      </w:r>
      <w:r>
        <w:rPr>
          <w:rFonts w:hint="eastAsia" w:asciiTheme="minorEastAsia" w:hAnsiTheme="minorEastAsia" w:eastAsiaTheme="minorEastAsia"/>
          <w:sz w:val="32"/>
          <w:szCs w:val="32"/>
        </w:rPr>
        <w:t>龙潭石材、低庄硅砂等环保问题的日常巡察，强化企业环保意识，加大环保投入，积极督促企业环保问题整改，涉及龙潭石材、低庄硅砂的环保问题整改已销号。</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六稳、六保”措施有力。为应对疫情防控，支持企业复工复产，一是制定了《2020年溆浦县工业企业帮扶工作方案》，按照“一企一案一专班”支持重点企业复工复产，我县规模以上工业企业有96家，除7家准备退出的企业，其余89家均在正常生产。二是认真梳理、并向企业大力宣传国家、省、市支持企业应对疫情和复工复产一系列惠企政策，帮助企业获得各类政策性扶持资金453.86万元，帮助企业获得年利率不高于4.55％的银行贷款资金6.48亿元。三是切实做好涉企保证金清理核查、拖欠民营企业账款清理工作。</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工业招商落地开花。依托我县风电资源优势，重点引进风力、光伏发电项目，打造新能源产业集群，实现工业产业招商“质”的突破，在2019年签约龙庄湾风电场、小横垅风电场、舒溶溪-木溪风电场、江口风电场等项目的有利局面推动下，2020年签约大唐华银溆浦山地光伏发电项目，合同引资达21.9亿元。</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安全生产态势平稳。把安全生产工作作为局重点工作摆上议事日程，做到有计划、有部署、有落实。一是明确工作责任。年初及时调整安全生产工作领导小组，把安全生产工作分解到具体股室、具体人员。落实“一岗双责、党政同责”责任制，局班子成员在分管业务工作的同时也要管好安全生产工作。二是强化日常监管。突出抓好清明、五一期间等重要节日以及汛期的安全生产监督检查工作，抓好有色、冶金、危险化学品、有限空间、粉尘防爆、涉氨制冷等重点行业领域的安全工作。三是组织对全县工业行业企业开展了安全生产重大风险源摸底排查、安全生产集中整治，全年累计排查工业和信息化领域企业378次，整治隐患78处；排查电力领域隐患393处，已整改到位345处；完成县安委会交办的23个生产安全隐患整治任。</w:t>
      </w:r>
      <w:bookmarkStart w:id="3" w:name="_GoBack"/>
      <w:bookmarkEnd w:id="3"/>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统战举措有序。以习近平新时代中国特色社会主义思想为指导，认真贯彻落实党中央关于做好民营经济统战工作的一系列重要指示精神，2020年，我局始终重视和关心党的统战工作，把统战工作纳入年度工作计划，纳入到党组工作的重要议事日程，明确专人负责，实施目标管理。建立局统战工作制度，与民营企业党外人士保持经常联系，组织和发动他们为全县工业经济工作献计献策，多做贡献。</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抓群团有条不紊。以服务型党组织创建为总抓手，切实加强对群团工作的领导，始终把工会、共青团、妇联工作放到中心工作的大格局中通盘考虑。工会方面，开展了系统乒乓球赛和采摘甘桔活动，着力增强工信战线社团凝聚力。妇联、团支部倡议组织全体干部职工给贫困户在校学生捐赠口罩5000个</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（二）部门支出绩效</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1、行政运转保障。</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财政拨款支出主要保障部门机构正常运转、完成日常工作任务以及承担全县经济和信息化事业发展相关工作。</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2、机关厉行节约。</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公务接待费：2020年预算金额2.1万元，2020年决算时公务接待费实际支出0万元。</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五、存在的主要问题</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支出压力大，加强财政投入。我局工作运转经费较少，为维持工作正常开展需要的经费较多，如专项整治、精准扶贫等属于县政府布置的工作任务，县年初预审不足，导致单位财政支出一直得不到应有的保障。</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六、改进措施和有关建议</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1、加强财务管理，提高资金使用率。继续完善相关财务管理制度，加强财务管理的透明和公开，保障专项资金专款专用，推动我局工作健康稳步发展。</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2、建议财政增加工作经费，保证我局更好的完成各项工作。</w:t>
      </w:r>
    </w:p>
    <w:p>
      <w:pPr>
        <w:pStyle w:val="10"/>
        <w:ind w:firstLine="640" w:firstLineChars="200"/>
        <w:rPr>
          <w:rFonts w:asciiTheme="minorEastAsia" w:hAnsiTheme="minorEastAsia" w:eastAsiaTheme="minorEastAsia"/>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54302"/>
    <w:rsid w:val="00055DAA"/>
    <w:rsid w:val="00057507"/>
    <w:rsid w:val="00061F7B"/>
    <w:rsid w:val="000658A3"/>
    <w:rsid w:val="00071E4D"/>
    <w:rsid w:val="00074155"/>
    <w:rsid w:val="000A3F69"/>
    <w:rsid w:val="00103957"/>
    <w:rsid w:val="00152C6D"/>
    <w:rsid w:val="00162D39"/>
    <w:rsid w:val="001678BD"/>
    <w:rsid w:val="00173DDB"/>
    <w:rsid w:val="001A06FF"/>
    <w:rsid w:val="001A67DB"/>
    <w:rsid w:val="001C3C29"/>
    <w:rsid w:val="001D51E5"/>
    <w:rsid w:val="001E080D"/>
    <w:rsid w:val="001E27BE"/>
    <w:rsid w:val="001E53D0"/>
    <w:rsid w:val="001F0C3B"/>
    <w:rsid w:val="001F2A47"/>
    <w:rsid w:val="002018FF"/>
    <w:rsid w:val="00202C82"/>
    <w:rsid w:val="00214427"/>
    <w:rsid w:val="002242AD"/>
    <w:rsid w:val="00226CB7"/>
    <w:rsid w:val="00254B92"/>
    <w:rsid w:val="002631C6"/>
    <w:rsid w:val="00264552"/>
    <w:rsid w:val="00264EF9"/>
    <w:rsid w:val="00265724"/>
    <w:rsid w:val="0027426B"/>
    <w:rsid w:val="002E0A30"/>
    <w:rsid w:val="002F141D"/>
    <w:rsid w:val="003130C4"/>
    <w:rsid w:val="00316C4B"/>
    <w:rsid w:val="0032192B"/>
    <w:rsid w:val="003479BD"/>
    <w:rsid w:val="0037197D"/>
    <w:rsid w:val="003768D5"/>
    <w:rsid w:val="003C47E6"/>
    <w:rsid w:val="003C4FC2"/>
    <w:rsid w:val="00416E61"/>
    <w:rsid w:val="0042790C"/>
    <w:rsid w:val="004506F9"/>
    <w:rsid w:val="00453DCF"/>
    <w:rsid w:val="004717A2"/>
    <w:rsid w:val="00473DF3"/>
    <w:rsid w:val="00487911"/>
    <w:rsid w:val="00491741"/>
    <w:rsid w:val="004A2150"/>
    <w:rsid w:val="004D0224"/>
    <w:rsid w:val="004E6AD9"/>
    <w:rsid w:val="00500E5F"/>
    <w:rsid w:val="00506F37"/>
    <w:rsid w:val="005122EF"/>
    <w:rsid w:val="0051441A"/>
    <w:rsid w:val="00517C33"/>
    <w:rsid w:val="00523644"/>
    <w:rsid w:val="0054069E"/>
    <w:rsid w:val="00544866"/>
    <w:rsid w:val="005767CC"/>
    <w:rsid w:val="00590D9F"/>
    <w:rsid w:val="005938FA"/>
    <w:rsid w:val="00595D26"/>
    <w:rsid w:val="005A74E6"/>
    <w:rsid w:val="005B404E"/>
    <w:rsid w:val="005D4D55"/>
    <w:rsid w:val="005E2CFB"/>
    <w:rsid w:val="005F382A"/>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0449E"/>
    <w:rsid w:val="00717621"/>
    <w:rsid w:val="00720C44"/>
    <w:rsid w:val="00720FF1"/>
    <w:rsid w:val="00727A53"/>
    <w:rsid w:val="00783B75"/>
    <w:rsid w:val="00787B42"/>
    <w:rsid w:val="007C4539"/>
    <w:rsid w:val="007F3657"/>
    <w:rsid w:val="00812ED5"/>
    <w:rsid w:val="00821DDA"/>
    <w:rsid w:val="008277D9"/>
    <w:rsid w:val="00841EA5"/>
    <w:rsid w:val="0084478C"/>
    <w:rsid w:val="0086638C"/>
    <w:rsid w:val="008700E6"/>
    <w:rsid w:val="008A3E8D"/>
    <w:rsid w:val="008C2A53"/>
    <w:rsid w:val="009237C4"/>
    <w:rsid w:val="009442D9"/>
    <w:rsid w:val="00944C48"/>
    <w:rsid w:val="00950252"/>
    <w:rsid w:val="00966812"/>
    <w:rsid w:val="00967F5D"/>
    <w:rsid w:val="009A0F95"/>
    <w:rsid w:val="009B3ADF"/>
    <w:rsid w:val="009C3B52"/>
    <w:rsid w:val="009D11E9"/>
    <w:rsid w:val="009E6817"/>
    <w:rsid w:val="009E6E9A"/>
    <w:rsid w:val="00A01D2B"/>
    <w:rsid w:val="00A2233C"/>
    <w:rsid w:val="00A42218"/>
    <w:rsid w:val="00A70249"/>
    <w:rsid w:val="00A70B02"/>
    <w:rsid w:val="00A71D9F"/>
    <w:rsid w:val="00A92E9F"/>
    <w:rsid w:val="00AB0B2E"/>
    <w:rsid w:val="00B037CD"/>
    <w:rsid w:val="00B33BEA"/>
    <w:rsid w:val="00B57C9F"/>
    <w:rsid w:val="00B63572"/>
    <w:rsid w:val="00B845B3"/>
    <w:rsid w:val="00B85D8B"/>
    <w:rsid w:val="00BB4A40"/>
    <w:rsid w:val="00BD6C3E"/>
    <w:rsid w:val="00BE3674"/>
    <w:rsid w:val="00C10681"/>
    <w:rsid w:val="00C3049A"/>
    <w:rsid w:val="00C31B1E"/>
    <w:rsid w:val="00C60F76"/>
    <w:rsid w:val="00C77645"/>
    <w:rsid w:val="00C84ACF"/>
    <w:rsid w:val="00CE04C3"/>
    <w:rsid w:val="00CE76A0"/>
    <w:rsid w:val="00D148C6"/>
    <w:rsid w:val="00D17A8A"/>
    <w:rsid w:val="00D415BA"/>
    <w:rsid w:val="00D644EE"/>
    <w:rsid w:val="00DD06FF"/>
    <w:rsid w:val="00DD5FE9"/>
    <w:rsid w:val="00DF103F"/>
    <w:rsid w:val="00E00C7A"/>
    <w:rsid w:val="00E322A1"/>
    <w:rsid w:val="00E37D6C"/>
    <w:rsid w:val="00E55B68"/>
    <w:rsid w:val="00E67BE6"/>
    <w:rsid w:val="00E8683C"/>
    <w:rsid w:val="00EA2B72"/>
    <w:rsid w:val="00ED4128"/>
    <w:rsid w:val="00EE4DB3"/>
    <w:rsid w:val="00F07FB6"/>
    <w:rsid w:val="00F74360"/>
    <w:rsid w:val="00F9472D"/>
    <w:rsid w:val="00FB462F"/>
    <w:rsid w:val="00FC3121"/>
    <w:rsid w:val="00FE16FA"/>
    <w:rsid w:val="00FE328A"/>
    <w:rsid w:val="00FE6269"/>
    <w:rsid w:val="25C7571F"/>
    <w:rsid w:val="752C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 w:type="character" w:customStyle="1" w:styleId="13">
    <w:name w:val="15"/>
    <w:basedOn w:val="7"/>
    <w:qFormat/>
    <w:uiPriority w:val="0"/>
    <w:rPr>
      <w:rFonts w:hint="default" w:ascii="Times New Roman" w:hAnsi="Times New Roman" w:cs="Times New Roman"/>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42EC0-C908-4155-840B-134EE05DA0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2734</Words>
  <Characters>15584</Characters>
  <Lines>129</Lines>
  <Paragraphs>36</Paragraphs>
  <TotalTime>979</TotalTime>
  <ScaleCrop>false</ScaleCrop>
  <LinksUpToDate>false</LinksUpToDate>
  <CharactersWithSpaces>18282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XXH_01</cp:lastModifiedBy>
  <cp:lastPrinted>2021-10-24T06:24:00Z</cp:lastPrinted>
  <dcterms:modified xsi:type="dcterms:W3CDTF">2022-03-04T08:47:43Z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7AE8185E8F8F44A18153E5D11FD95D3C</vt:lpwstr>
  </property>
</Properties>
</file>