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0FEB5">
      <w:pPr>
        <w:jc w:val="center"/>
        <w:rPr>
          <w:rFonts w:ascii="方正小标宋_GBK"/>
          <w:b/>
          <w:bCs/>
          <w:sz w:val="42"/>
          <w:szCs w:val="42"/>
        </w:rPr>
      </w:pPr>
      <w:r>
        <w:rPr>
          <w:rFonts w:hint="eastAsia" w:ascii="方正小标宋_GBK" w:hAnsi="方正小标宋_GBK"/>
          <w:b/>
          <w:bCs/>
          <w:sz w:val="42"/>
          <w:szCs w:val="42"/>
          <w:lang w:val="en-US" w:eastAsia="zh-CN"/>
        </w:rPr>
        <w:t>溆浦县工信局涉企行政检查事项清单</w:t>
      </w:r>
    </w:p>
    <w:tbl>
      <w:tblPr>
        <w:tblStyle w:val="5"/>
        <w:tblW w:w="13960" w:type="dxa"/>
        <w:jc w:val="center"/>
        <w:tblLayout w:type="fixed"/>
        <w:tblCellMar>
          <w:top w:w="0" w:type="dxa"/>
          <w:left w:w="108" w:type="dxa"/>
          <w:bottom w:w="0" w:type="dxa"/>
          <w:right w:w="108" w:type="dxa"/>
        </w:tblCellMar>
      </w:tblPr>
      <w:tblGrid>
        <w:gridCol w:w="718"/>
        <w:gridCol w:w="1125"/>
        <w:gridCol w:w="1200"/>
        <w:gridCol w:w="3982"/>
        <w:gridCol w:w="1125"/>
        <w:gridCol w:w="930"/>
        <w:gridCol w:w="2340"/>
        <w:gridCol w:w="720"/>
        <w:gridCol w:w="1155"/>
        <w:gridCol w:w="665"/>
      </w:tblGrid>
      <w:tr w14:paraId="2377A23B">
        <w:tblPrEx>
          <w:tblCellMar>
            <w:top w:w="0" w:type="dxa"/>
            <w:left w:w="108" w:type="dxa"/>
            <w:bottom w:w="0" w:type="dxa"/>
            <w:right w:w="108" w:type="dxa"/>
          </w:tblCellMar>
        </w:tblPrEx>
        <w:trPr>
          <w:trHeight w:val="661" w:hRule="atLeast"/>
          <w:jc w:val="center"/>
        </w:trPr>
        <w:tc>
          <w:tcPr>
            <w:tcW w:w="718" w:type="dxa"/>
            <w:vMerge w:val="restart"/>
            <w:tcBorders>
              <w:top w:val="single" w:color="auto" w:sz="4" w:space="0"/>
              <w:left w:val="single" w:color="auto" w:sz="4" w:space="0"/>
              <w:bottom w:val="single" w:color="000000" w:sz="4" w:space="0"/>
              <w:right w:val="single" w:color="auto" w:sz="4" w:space="0"/>
            </w:tcBorders>
            <w:noWrap/>
            <w:vAlign w:val="center"/>
          </w:tcPr>
          <w:p w14:paraId="1321081D">
            <w:pPr>
              <w:widowControl/>
              <w:spacing w:line="240" w:lineRule="exact"/>
              <w:jc w:val="center"/>
              <w:rPr>
                <w:rFonts w:ascii="仿宋_GB2312" w:hAnsi="等线" w:cs="宋体"/>
                <w:b/>
                <w:bCs/>
                <w:kern w:val="0"/>
              </w:rPr>
            </w:pPr>
            <w:r>
              <w:rPr>
                <w:rFonts w:ascii="仿宋_GB2312" w:hAnsi="仿宋_GB2312" w:cs="宋体"/>
                <w:b/>
                <w:bCs/>
                <w:kern w:val="0"/>
              </w:rPr>
              <w:t>序号</w:t>
            </w:r>
          </w:p>
        </w:tc>
        <w:tc>
          <w:tcPr>
            <w:tcW w:w="1125" w:type="dxa"/>
            <w:vMerge w:val="restart"/>
            <w:tcBorders>
              <w:top w:val="single" w:color="auto" w:sz="4" w:space="0"/>
              <w:left w:val="nil"/>
              <w:bottom w:val="single" w:color="000000" w:sz="4" w:space="0"/>
              <w:right w:val="single" w:color="auto" w:sz="4" w:space="0"/>
            </w:tcBorders>
            <w:noWrap/>
            <w:vAlign w:val="center"/>
          </w:tcPr>
          <w:p w14:paraId="778747B5">
            <w:pPr>
              <w:widowControl/>
              <w:spacing w:line="240" w:lineRule="exact"/>
              <w:jc w:val="center"/>
              <w:rPr>
                <w:rFonts w:hint="default" w:ascii="仿宋_GB2312" w:hAnsi="等线" w:eastAsia="宋体" w:cs="宋体"/>
                <w:b/>
                <w:bCs/>
                <w:kern w:val="0"/>
                <w:lang w:val="en-US" w:eastAsia="zh-CN"/>
              </w:rPr>
            </w:pPr>
            <w:r>
              <w:rPr>
                <w:rFonts w:hint="eastAsia" w:ascii="仿宋_GB2312" w:hAnsi="仿宋_GB2312" w:cs="宋体"/>
                <w:b/>
                <w:bCs/>
                <w:kern w:val="0"/>
                <w:lang w:val="en-US" w:eastAsia="zh-CN"/>
              </w:rPr>
              <w:t>检查事项</w:t>
            </w:r>
          </w:p>
        </w:tc>
        <w:tc>
          <w:tcPr>
            <w:tcW w:w="1200" w:type="dxa"/>
            <w:vMerge w:val="restart"/>
            <w:tcBorders>
              <w:top w:val="single" w:color="auto" w:sz="4" w:space="0"/>
              <w:left w:val="nil"/>
              <w:bottom w:val="single" w:color="000000" w:sz="4" w:space="0"/>
              <w:right w:val="single" w:color="auto" w:sz="4" w:space="0"/>
            </w:tcBorders>
            <w:vAlign w:val="center"/>
          </w:tcPr>
          <w:p w14:paraId="52C06AE9">
            <w:pPr>
              <w:widowControl/>
              <w:spacing w:line="240" w:lineRule="exact"/>
              <w:jc w:val="center"/>
              <w:rPr>
                <w:rFonts w:hint="default" w:ascii="仿宋_GB2312" w:hAnsi="等线" w:eastAsia="宋体" w:cs="宋体"/>
                <w:b/>
                <w:bCs/>
                <w:kern w:val="0"/>
                <w:lang w:val="en-US" w:eastAsia="zh-CN"/>
              </w:rPr>
            </w:pPr>
            <w:r>
              <w:rPr>
                <w:rFonts w:hint="eastAsia" w:ascii="仿宋_GB2312" w:hAnsi="仿宋_GB2312" w:cs="宋体"/>
                <w:b/>
                <w:bCs/>
                <w:kern w:val="0"/>
                <w:lang w:val="en-US" w:eastAsia="zh-CN"/>
              </w:rPr>
              <w:t>检查主体（实施层级）</w:t>
            </w:r>
          </w:p>
        </w:tc>
        <w:tc>
          <w:tcPr>
            <w:tcW w:w="3982" w:type="dxa"/>
            <w:vMerge w:val="restart"/>
            <w:tcBorders>
              <w:top w:val="single" w:color="auto" w:sz="4" w:space="0"/>
              <w:left w:val="nil"/>
              <w:bottom w:val="single" w:color="000000" w:sz="4" w:space="0"/>
              <w:right w:val="single" w:color="auto" w:sz="4" w:space="0"/>
            </w:tcBorders>
            <w:noWrap/>
            <w:vAlign w:val="center"/>
          </w:tcPr>
          <w:p w14:paraId="6315DDEE">
            <w:pPr>
              <w:widowControl/>
              <w:spacing w:line="240" w:lineRule="exact"/>
              <w:jc w:val="center"/>
              <w:rPr>
                <w:rFonts w:hint="default" w:ascii="仿宋_GB2312" w:hAnsi="等线" w:eastAsia="宋体" w:cs="宋体"/>
                <w:b/>
                <w:bCs/>
                <w:kern w:val="0"/>
                <w:lang w:val="en-US" w:eastAsia="zh-CN"/>
              </w:rPr>
            </w:pPr>
            <w:r>
              <w:rPr>
                <w:rFonts w:hint="eastAsia" w:ascii="仿宋_GB2312" w:hAnsi="等线" w:cs="宋体"/>
                <w:b/>
                <w:bCs/>
                <w:kern w:val="0"/>
                <w:lang w:val="en-US" w:eastAsia="zh-CN"/>
              </w:rPr>
              <w:t>实施依据</w:t>
            </w:r>
          </w:p>
        </w:tc>
        <w:tc>
          <w:tcPr>
            <w:tcW w:w="1125" w:type="dxa"/>
            <w:vMerge w:val="restart"/>
            <w:tcBorders>
              <w:top w:val="single" w:color="auto" w:sz="4" w:space="0"/>
              <w:left w:val="nil"/>
              <w:bottom w:val="single" w:color="000000" w:sz="4" w:space="0"/>
              <w:right w:val="single" w:color="auto" w:sz="4" w:space="0"/>
            </w:tcBorders>
            <w:vAlign w:val="center"/>
          </w:tcPr>
          <w:p w14:paraId="3C8A90BB">
            <w:pPr>
              <w:widowControl/>
              <w:spacing w:line="240" w:lineRule="exact"/>
              <w:jc w:val="center"/>
              <w:rPr>
                <w:rFonts w:hint="default" w:ascii="仿宋_GB2312" w:hAnsi="等线" w:eastAsia="宋体" w:cs="宋体"/>
                <w:b/>
                <w:bCs/>
                <w:kern w:val="0"/>
                <w:lang w:val="en-US" w:eastAsia="zh-CN"/>
              </w:rPr>
            </w:pPr>
            <w:r>
              <w:rPr>
                <w:rFonts w:hint="eastAsia" w:ascii="仿宋_GB2312" w:hAnsi="仿宋_GB2312" w:cs="宋体"/>
                <w:b/>
                <w:bCs/>
                <w:kern w:val="0"/>
                <w:lang w:val="en-US" w:eastAsia="zh-CN"/>
              </w:rPr>
              <w:t>承办机构</w:t>
            </w:r>
          </w:p>
        </w:tc>
        <w:tc>
          <w:tcPr>
            <w:tcW w:w="930" w:type="dxa"/>
            <w:vMerge w:val="restart"/>
            <w:tcBorders>
              <w:top w:val="single" w:color="auto" w:sz="4" w:space="0"/>
              <w:left w:val="nil"/>
              <w:bottom w:val="single" w:color="000000" w:sz="4" w:space="0"/>
              <w:right w:val="single" w:color="auto" w:sz="4" w:space="0"/>
            </w:tcBorders>
            <w:vAlign w:val="center"/>
          </w:tcPr>
          <w:p w14:paraId="1F0D3FC6">
            <w:pPr>
              <w:widowControl/>
              <w:spacing w:line="240" w:lineRule="exact"/>
              <w:jc w:val="center"/>
              <w:rPr>
                <w:rFonts w:hint="default" w:ascii="仿宋_GB2312" w:hAnsi="等线" w:eastAsia="宋体" w:cs="宋体"/>
                <w:b/>
                <w:bCs/>
                <w:kern w:val="0"/>
                <w:lang w:val="en-US" w:eastAsia="zh-CN"/>
              </w:rPr>
            </w:pPr>
            <w:r>
              <w:rPr>
                <w:rFonts w:hint="eastAsia" w:ascii="仿宋_GB2312" w:hAnsi="仿宋_GB2312" w:cs="宋体"/>
                <w:b/>
                <w:bCs/>
                <w:kern w:val="0"/>
                <w:lang w:val="en-US" w:eastAsia="zh-CN"/>
              </w:rPr>
              <w:t>检查对象</w:t>
            </w:r>
          </w:p>
        </w:tc>
        <w:tc>
          <w:tcPr>
            <w:tcW w:w="2340" w:type="dxa"/>
            <w:vMerge w:val="restart"/>
            <w:tcBorders>
              <w:top w:val="single" w:color="auto" w:sz="4" w:space="0"/>
              <w:left w:val="nil"/>
              <w:bottom w:val="single" w:color="000000" w:sz="4" w:space="0"/>
              <w:right w:val="single" w:color="auto" w:sz="4" w:space="0"/>
            </w:tcBorders>
            <w:vAlign w:val="center"/>
          </w:tcPr>
          <w:p w14:paraId="1993CF57">
            <w:pPr>
              <w:widowControl/>
              <w:spacing w:line="240" w:lineRule="exact"/>
              <w:jc w:val="center"/>
              <w:rPr>
                <w:rFonts w:hint="default" w:ascii="仿宋_GB2312" w:hAnsi="等线" w:eastAsia="宋体" w:cs="宋体"/>
                <w:b/>
                <w:bCs/>
                <w:kern w:val="0"/>
                <w:lang w:val="en-US" w:eastAsia="zh-CN"/>
              </w:rPr>
            </w:pPr>
            <w:r>
              <w:rPr>
                <w:rFonts w:hint="eastAsia" w:ascii="仿宋_GB2312" w:hAnsi="仿宋_GB2312" w:cs="宋体"/>
                <w:b/>
                <w:bCs/>
                <w:kern w:val="0"/>
                <w:lang w:val="en-US" w:eastAsia="zh-CN"/>
              </w:rPr>
              <w:t>检查内容</w:t>
            </w:r>
          </w:p>
        </w:tc>
        <w:tc>
          <w:tcPr>
            <w:tcW w:w="720" w:type="dxa"/>
            <w:vMerge w:val="restart"/>
            <w:tcBorders>
              <w:top w:val="single" w:color="auto" w:sz="4" w:space="0"/>
              <w:left w:val="nil"/>
              <w:bottom w:val="single" w:color="000000" w:sz="4" w:space="0"/>
              <w:right w:val="single" w:color="auto" w:sz="4" w:space="0"/>
            </w:tcBorders>
            <w:vAlign w:val="center"/>
          </w:tcPr>
          <w:p w14:paraId="661BC743">
            <w:pPr>
              <w:widowControl/>
              <w:spacing w:line="240" w:lineRule="exact"/>
              <w:jc w:val="center"/>
              <w:rPr>
                <w:rFonts w:hint="default" w:ascii="仿宋_GB2312" w:hAnsi="等线" w:eastAsia="宋体" w:cs="宋体"/>
                <w:b/>
                <w:bCs/>
                <w:kern w:val="0"/>
                <w:lang w:val="en-US" w:eastAsia="zh-CN"/>
              </w:rPr>
            </w:pPr>
            <w:r>
              <w:rPr>
                <w:rFonts w:hint="eastAsia" w:ascii="仿宋_GB2312" w:hAnsi="仿宋_GB2312" w:cs="宋体"/>
                <w:b/>
                <w:bCs/>
                <w:kern w:val="0"/>
                <w:lang w:val="en-US" w:eastAsia="zh-CN"/>
              </w:rPr>
              <w:t>检查方式</w:t>
            </w:r>
          </w:p>
        </w:tc>
        <w:tc>
          <w:tcPr>
            <w:tcW w:w="1155" w:type="dxa"/>
            <w:vMerge w:val="restart"/>
            <w:tcBorders>
              <w:top w:val="single" w:color="auto" w:sz="4" w:space="0"/>
              <w:left w:val="nil"/>
              <w:bottom w:val="single" w:color="000000" w:sz="4" w:space="0"/>
              <w:right w:val="single" w:color="auto" w:sz="4" w:space="0"/>
            </w:tcBorders>
            <w:vAlign w:val="center"/>
          </w:tcPr>
          <w:p w14:paraId="39D5536F">
            <w:pPr>
              <w:widowControl/>
              <w:spacing w:line="240" w:lineRule="exact"/>
              <w:jc w:val="center"/>
              <w:rPr>
                <w:rFonts w:hint="default" w:ascii="仿宋_GB2312" w:hAnsi="等线" w:eastAsia="宋体" w:cs="宋体"/>
                <w:b/>
                <w:bCs/>
                <w:kern w:val="0"/>
                <w:lang w:val="en-US" w:eastAsia="zh-CN"/>
              </w:rPr>
            </w:pPr>
            <w:r>
              <w:rPr>
                <w:rFonts w:hint="eastAsia" w:ascii="仿宋_GB2312" w:hAnsi="仿宋_GB2312" w:cs="宋体"/>
                <w:b/>
                <w:bCs/>
                <w:kern w:val="0"/>
                <w:lang w:val="en-US" w:eastAsia="zh-CN"/>
              </w:rPr>
              <w:t>检查频次</w:t>
            </w:r>
          </w:p>
        </w:tc>
        <w:tc>
          <w:tcPr>
            <w:tcW w:w="665" w:type="dxa"/>
            <w:vMerge w:val="restart"/>
            <w:tcBorders>
              <w:top w:val="single" w:color="auto" w:sz="4" w:space="0"/>
              <w:left w:val="nil"/>
              <w:bottom w:val="single" w:color="000000" w:sz="4" w:space="0"/>
              <w:right w:val="single" w:color="auto" w:sz="4" w:space="0"/>
            </w:tcBorders>
            <w:vAlign w:val="center"/>
          </w:tcPr>
          <w:p w14:paraId="5971B457">
            <w:pPr>
              <w:widowControl/>
              <w:spacing w:line="240" w:lineRule="exact"/>
              <w:jc w:val="center"/>
              <w:rPr>
                <w:rFonts w:hint="eastAsia" w:ascii="仿宋_GB2312" w:hAnsi="等线" w:eastAsia="宋体" w:cs="宋体"/>
                <w:b/>
                <w:bCs/>
                <w:kern w:val="0"/>
                <w:lang w:eastAsia="zh-CN"/>
              </w:rPr>
            </w:pPr>
            <w:r>
              <w:rPr>
                <w:rFonts w:hint="eastAsia" w:ascii="仿宋_GB2312" w:hAnsi="仿宋_GB2312" w:cs="宋体"/>
                <w:b/>
                <w:bCs/>
                <w:kern w:val="0"/>
                <w:lang w:val="en-US" w:eastAsia="zh-CN"/>
              </w:rPr>
              <w:t>备注</w:t>
            </w:r>
          </w:p>
        </w:tc>
      </w:tr>
      <w:tr w14:paraId="06CD6BDF">
        <w:tblPrEx>
          <w:tblCellMar>
            <w:top w:w="0" w:type="dxa"/>
            <w:left w:w="108" w:type="dxa"/>
            <w:bottom w:w="0" w:type="dxa"/>
            <w:right w:w="108" w:type="dxa"/>
          </w:tblCellMar>
        </w:tblPrEx>
        <w:trPr>
          <w:trHeight w:val="783" w:hRule="atLeast"/>
          <w:jc w:val="center"/>
        </w:trPr>
        <w:tc>
          <w:tcPr>
            <w:tcW w:w="718" w:type="dxa"/>
            <w:vMerge w:val="continue"/>
            <w:tcBorders>
              <w:top w:val="single" w:color="auto" w:sz="4" w:space="0"/>
              <w:left w:val="single" w:color="auto" w:sz="4" w:space="0"/>
              <w:bottom w:val="single" w:color="auto" w:sz="4" w:space="0"/>
              <w:right w:val="single" w:color="auto" w:sz="4" w:space="0"/>
            </w:tcBorders>
            <w:vAlign w:val="center"/>
          </w:tcPr>
          <w:p w14:paraId="17C0F95C">
            <w:pPr>
              <w:widowControl/>
              <w:jc w:val="left"/>
              <w:rPr>
                <w:rFonts w:ascii="仿宋_GB2312" w:hAnsi="等线" w:cs="宋体"/>
                <w:b/>
                <w:bCs/>
                <w:kern w:val="0"/>
              </w:rPr>
            </w:pPr>
          </w:p>
        </w:tc>
        <w:tc>
          <w:tcPr>
            <w:tcW w:w="1125" w:type="dxa"/>
            <w:vMerge w:val="continue"/>
            <w:tcBorders>
              <w:top w:val="single" w:color="auto" w:sz="4" w:space="0"/>
              <w:left w:val="nil"/>
              <w:bottom w:val="single" w:color="auto" w:sz="4" w:space="0"/>
              <w:right w:val="single" w:color="auto" w:sz="4" w:space="0"/>
            </w:tcBorders>
            <w:vAlign w:val="center"/>
          </w:tcPr>
          <w:p w14:paraId="4DE00AD4">
            <w:pPr>
              <w:widowControl/>
              <w:jc w:val="left"/>
              <w:rPr>
                <w:rFonts w:ascii="仿宋_GB2312" w:hAnsi="等线" w:cs="宋体"/>
                <w:b/>
                <w:bCs/>
                <w:kern w:val="0"/>
              </w:rPr>
            </w:pPr>
          </w:p>
        </w:tc>
        <w:tc>
          <w:tcPr>
            <w:tcW w:w="1200" w:type="dxa"/>
            <w:vMerge w:val="continue"/>
            <w:tcBorders>
              <w:top w:val="single" w:color="auto" w:sz="4" w:space="0"/>
              <w:left w:val="nil"/>
              <w:bottom w:val="single" w:color="auto" w:sz="4" w:space="0"/>
              <w:right w:val="single" w:color="auto" w:sz="4" w:space="0"/>
            </w:tcBorders>
            <w:vAlign w:val="center"/>
          </w:tcPr>
          <w:p w14:paraId="3793D0DA">
            <w:pPr>
              <w:widowControl/>
              <w:jc w:val="left"/>
              <w:rPr>
                <w:rFonts w:ascii="仿宋_GB2312" w:hAnsi="等线" w:cs="宋体"/>
                <w:b/>
                <w:bCs/>
                <w:kern w:val="0"/>
              </w:rPr>
            </w:pPr>
          </w:p>
        </w:tc>
        <w:tc>
          <w:tcPr>
            <w:tcW w:w="3982" w:type="dxa"/>
            <w:vMerge w:val="continue"/>
            <w:tcBorders>
              <w:top w:val="single" w:color="auto" w:sz="4" w:space="0"/>
              <w:left w:val="nil"/>
              <w:bottom w:val="single" w:color="auto" w:sz="4" w:space="0"/>
              <w:right w:val="single" w:color="auto" w:sz="4" w:space="0"/>
            </w:tcBorders>
            <w:vAlign w:val="center"/>
          </w:tcPr>
          <w:p w14:paraId="3F2F51E7">
            <w:pPr>
              <w:widowControl/>
              <w:jc w:val="left"/>
              <w:rPr>
                <w:rFonts w:ascii="仿宋_GB2312" w:hAnsi="等线" w:cs="宋体"/>
                <w:b/>
                <w:bCs/>
                <w:kern w:val="0"/>
              </w:rPr>
            </w:pPr>
          </w:p>
        </w:tc>
        <w:tc>
          <w:tcPr>
            <w:tcW w:w="1125" w:type="dxa"/>
            <w:vMerge w:val="continue"/>
            <w:tcBorders>
              <w:top w:val="single" w:color="auto" w:sz="4" w:space="0"/>
              <w:left w:val="nil"/>
              <w:bottom w:val="single" w:color="auto" w:sz="4" w:space="0"/>
              <w:right w:val="single" w:color="auto" w:sz="4" w:space="0"/>
            </w:tcBorders>
            <w:vAlign w:val="center"/>
          </w:tcPr>
          <w:p w14:paraId="741ADC4D">
            <w:pPr>
              <w:widowControl/>
              <w:jc w:val="left"/>
              <w:rPr>
                <w:rFonts w:ascii="仿宋_GB2312" w:hAnsi="等线" w:cs="宋体"/>
                <w:b/>
                <w:bCs/>
                <w:kern w:val="0"/>
              </w:rPr>
            </w:pPr>
          </w:p>
        </w:tc>
        <w:tc>
          <w:tcPr>
            <w:tcW w:w="930" w:type="dxa"/>
            <w:vMerge w:val="continue"/>
            <w:tcBorders>
              <w:top w:val="single" w:color="auto" w:sz="4" w:space="0"/>
              <w:left w:val="nil"/>
              <w:bottom w:val="single" w:color="auto" w:sz="4" w:space="0"/>
              <w:right w:val="single" w:color="auto" w:sz="4" w:space="0"/>
            </w:tcBorders>
            <w:vAlign w:val="center"/>
          </w:tcPr>
          <w:p w14:paraId="3337C815">
            <w:pPr>
              <w:widowControl/>
              <w:jc w:val="left"/>
              <w:rPr>
                <w:rFonts w:ascii="仿宋_GB2312" w:hAnsi="等线" w:cs="宋体"/>
                <w:b/>
                <w:bCs/>
                <w:kern w:val="0"/>
              </w:rPr>
            </w:pPr>
          </w:p>
        </w:tc>
        <w:tc>
          <w:tcPr>
            <w:tcW w:w="2340" w:type="dxa"/>
            <w:vMerge w:val="continue"/>
            <w:tcBorders>
              <w:top w:val="single" w:color="auto" w:sz="4" w:space="0"/>
              <w:left w:val="nil"/>
              <w:bottom w:val="single" w:color="auto" w:sz="4" w:space="0"/>
              <w:right w:val="single" w:color="auto" w:sz="4" w:space="0"/>
            </w:tcBorders>
            <w:vAlign w:val="center"/>
          </w:tcPr>
          <w:p w14:paraId="6EF54FC6">
            <w:pPr>
              <w:widowControl/>
              <w:jc w:val="left"/>
              <w:rPr>
                <w:rFonts w:ascii="仿宋_GB2312" w:hAnsi="等线" w:cs="宋体"/>
                <w:b/>
                <w:bCs/>
                <w:kern w:val="0"/>
              </w:rPr>
            </w:pPr>
          </w:p>
        </w:tc>
        <w:tc>
          <w:tcPr>
            <w:tcW w:w="720" w:type="dxa"/>
            <w:vMerge w:val="continue"/>
            <w:tcBorders>
              <w:top w:val="single" w:color="auto" w:sz="4" w:space="0"/>
              <w:left w:val="nil"/>
              <w:bottom w:val="single" w:color="auto" w:sz="4" w:space="0"/>
              <w:right w:val="single" w:color="auto" w:sz="4" w:space="0"/>
            </w:tcBorders>
            <w:vAlign w:val="center"/>
          </w:tcPr>
          <w:p w14:paraId="02BB236B">
            <w:pPr>
              <w:widowControl/>
              <w:jc w:val="left"/>
              <w:rPr>
                <w:rFonts w:ascii="仿宋_GB2312" w:hAnsi="等线" w:cs="宋体"/>
                <w:b/>
                <w:bCs/>
                <w:kern w:val="0"/>
              </w:rPr>
            </w:pPr>
          </w:p>
        </w:tc>
        <w:tc>
          <w:tcPr>
            <w:tcW w:w="1155" w:type="dxa"/>
            <w:vMerge w:val="continue"/>
            <w:tcBorders>
              <w:top w:val="single" w:color="auto" w:sz="4" w:space="0"/>
              <w:left w:val="nil"/>
              <w:bottom w:val="single" w:color="auto" w:sz="4" w:space="0"/>
              <w:right w:val="single" w:color="auto" w:sz="4" w:space="0"/>
            </w:tcBorders>
            <w:vAlign w:val="center"/>
          </w:tcPr>
          <w:p w14:paraId="62564703">
            <w:pPr>
              <w:widowControl/>
              <w:jc w:val="left"/>
              <w:rPr>
                <w:rFonts w:ascii="仿宋_GB2312" w:hAnsi="等线" w:cs="宋体"/>
                <w:b/>
                <w:bCs/>
                <w:kern w:val="0"/>
              </w:rPr>
            </w:pPr>
          </w:p>
        </w:tc>
        <w:tc>
          <w:tcPr>
            <w:tcW w:w="665" w:type="dxa"/>
            <w:vMerge w:val="continue"/>
            <w:tcBorders>
              <w:top w:val="single" w:color="auto" w:sz="4" w:space="0"/>
              <w:left w:val="nil"/>
              <w:bottom w:val="single" w:color="auto" w:sz="4" w:space="0"/>
              <w:right w:val="single" w:color="auto" w:sz="4" w:space="0"/>
            </w:tcBorders>
            <w:vAlign w:val="center"/>
          </w:tcPr>
          <w:p w14:paraId="2565A441">
            <w:pPr>
              <w:widowControl/>
              <w:jc w:val="left"/>
              <w:rPr>
                <w:rFonts w:ascii="仿宋_GB2312" w:hAnsi="等线" w:cs="宋体"/>
                <w:b/>
                <w:bCs/>
                <w:kern w:val="0"/>
              </w:rPr>
            </w:pPr>
          </w:p>
        </w:tc>
      </w:tr>
      <w:tr w14:paraId="51EC9C00">
        <w:tblPrEx>
          <w:tblCellMar>
            <w:top w:w="0" w:type="dxa"/>
            <w:left w:w="108" w:type="dxa"/>
            <w:bottom w:w="0" w:type="dxa"/>
            <w:right w:w="108" w:type="dxa"/>
          </w:tblCellMar>
        </w:tblPrEx>
        <w:trPr>
          <w:trHeight w:val="2246"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208C32EC">
            <w:pPr>
              <w:spacing w:line="500" w:lineRule="exact"/>
              <w:jc w:val="center"/>
              <w:rPr>
                <w:rFonts w:hint="eastAsia" w:asciiTheme="minorEastAsia" w:hAnsiTheme="minorEastAsia" w:eastAsiaTheme="minorEastAsia" w:cstheme="minorEastAsia"/>
                <w:b/>
                <w:bCs/>
                <w:kern w:val="0"/>
                <w:sz w:val="18"/>
                <w:szCs w:val="18"/>
                <w:lang w:val="en-US" w:eastAsia="zh-CN"/>
              </w:rPr>
            </w:pPr>
            <w:r>
              <w:rPr>
                <w:rFonts w:hint="eastAsia" w:asciiTheme="minorEastAsia" w:hAnsiTheme="minorEastAsia" w:eastAsiaTheme="minorEastAsia" w:cstheme="minorEastAsia"/>
                <w:b/>
                <w:bCs/>
                <w:kern w:val="0"/>
                <w:sz w:val="18"/>
                <w:szCs w:val="18"/>
                <w:lang w:val="en-US" w:eastAsia="zh-CN"/>
              </w:rPr>
              <w:t>1</w:t>
            </w:r>
          </w:p>
        </w:tc>
        <w:tc>
          <w:tcPr>
            <w:tcW w:w="1125" w:type="dxa"/>
            <w:tcBorders>
              <w:top w:val="single" w:color="auto" w:sz="4" w:space="0"/>
              <w:left w:val="single" w:color="auto" w:sz="4" w:space="0"/>
              <w:bottom w:val="single" w:color="auto" w:sz="4" w:space="0"/>
              <w:right w:val="single" w:color="auto" w:sz="4" w:space="0"/>
            </w:tcBorders>
            <w:noWrap/>
            <w:vAlign w:val="center"/>
          </w:tcPr>
          <w:p w14:paraId="05EDC33C">
            <w:pPr>
              <w:widowControl/>
              <w:spacing w:line="240" w:lineRule="auto"/>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对全县电力建设、电力生产、电力使用、电网经营企业行政检查</w:t>
            </w:r>
          </w:p>
        </w:tc>
        <w:tc>
          <w:tcPr>
            <w:tcW w:w="1200" w:type="dxa"/>
            <w:tcBorders>
              <w:top w:val="single" w:color="auto" w:sz="4" w:space="0"/>
              <w:left w:val="single" w:color="auto" w:sz="4" w:space="0"/>
              <w:bottom w:val="single" w:color="auto" w:sz="4" w:space="0"/>
              <w:right w:val="single" w:color="auto" w:sz="4" w:space="0"/>
            </w:tcBorders>
            <w:noWrap/>
            <w:vAlign w:val="center"/>
          </w:tcPr>
          <w:p w14:paraId="31DA3567">
            <w:pPr>
              <w:widowControl/>
              <w:spacing w:line="240" w:lineRule="auto"/>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溆浦县工业和信息化局</w:t>
            </w:r>
          </w:p>
        </w:tc>
        <w:tc>
          <w:tcPr>
            <w:tcW w:w="3982" w:type="dxa"/>
            <w:tcBorders>
              <w:top w:val="single" w:color="auto" w:sz="4" w:space="0"/>
              <w:left w:val="single" w:color="auto" w:sz="4" w:space="0"/>
              <w:bottom w:val="single" w:color="auto" w:sz="4" w:space="0"/>
              <w:right w:val="single" w:color="auto" w:sz="4" w:space="0"/>
            </w:tcBorders>
            <w:noWrap/>
            <w:vAlign w:val="center"/>
          </w:tcPr>
          <w:p w14:paraId="2E8148DE">
            <w:pPr>
              <w:widowControl/>
              <w:spacing w:line="240" w:lineRule="auto"/>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《中华人民共和国电力法》（1996年4月1日起施行）第六条　国务院电力管理部门负责全国电力事业的监督管理。县级以上地方人民政府经济综合主管部门是本行政区域内的电力管理部门，负责电力事业的监督管理。</w:t>
            </w:r>
          </w:p>
        </w:tc>
        <w:tc>
          <w:tcPr>
            <w:tcW w:w="1125" w:type="dxa"/>
            <w:tcBorders>
              <w:top w:val="single" w:color="auto" w:sz="4" w:space="0"/>
              <w:left w:val="single" w:color="auto" w:sz="4" w:space="0"/>
              <w:bottom w:val="single" w:color="auto" w:sz="4" w:space="0"/>
              <w:right w:val="single" w:color="auto" w:sz="4" w:space="0"/>
            </w:tcBorders>
            <w:noWrap/>
            <w:vAlign w:val="center"/>
          </w:tcPr>
          <w:p w14:paraId="76B84949">
            <w:pPr>
              <w:widowControl/>
              <w:spacing w:line="240" w:lineRule="auto"/>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溆浦县工业和信息化局</w:t>
            </w:r>
          </w:p>
        </w:tc>
        <w:tc>
          <w:tcPr>
            <w:tcW w:w="930" w:type="dxa"/>
            <w:tcBorders>
              <w:top w:val="single" w:color="auto" w:sz="4" w:space="0"/>
              <w:left w:val="single" w:color="auto" w:sz="4" w:space="0"/>
              <w:bottom w:val="single" w:color="auto" w:sz="4" w:space="0"/>
              <w:right w:val="single" w:color="auto" w:sz="4" w:space="0"/>
            </w:tcBorders>
            <w:noWrap/>
            <w:vAlign w:val="center"/>
          </w:tcPr>
          <w:p w14:paraId="2D82D801">
            <w:pPr>
              <w:widowControl/>
              <w:spacing w:line="240" w:lineRule="auto"/>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全县电力建设、电力生产、电力使用、电网经营等企业</w:t>
            </w:r>
          </w:p>
        </w:tc>
        <w:tc>
          <w:tcPr>
            <w:tcW w:w="2340" w:type="dxa"/>
            <w:tcBorders>
              <w:top w:val="single" w:color="auto" w:sz="4" w:space="0"/>
              <w:left w:val="single" w:color="auto" w:sz="4" w:space="0"/>
              <w:bottom w:val="single" w:color="auto" w:sz="4" w:space="0"/>
              <w:right w:val="single" w:color="auto" w:sz="4" w:space="0"/>
            </w:tcBorders>
            <w:noWrap/>
            <w:vAlign w:val="center"/>
          </w:tcPr>
          <w:p w14:paraId="7404ABF8">
            <w:pPr>
              <w:widowControl/>
              <w:numPr>
                <w:ilvl w:val="0"/>
                <w:numId w:val="0"/>
              </w:numPr>
              <w:spacing w:line="240" w:lineRule="auto"/>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1.电力建设监督检查</w:t>
            </w:r>
          </w:p>
          <w:p w14:paraId="25E850DA">
            <w:pPr>
              <w:pStyle w:val="2"/>
              <w:numPr>
                <w:ilvl w:val="0"/>
                <w:numId w:val="0"/>
              </w:numP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2.</w:t>
            </w:r>
            <w:r>
              <w:rPr>
                <w:rFonts w:hint="default" w:asciiTheme="minorEastAsia" w:hAnsiTheme="minorEastAsia" w:eastAsiaTheme="minorEastAsia" w:cstheme="minorEastAsia"/>
                <w:color w:val="auto"/>
                <w:kern w:val="0"/>
                <w:sz w:val="18"/>
                <w:szCs w:val="18"/>
                <w:lang w:val="en-US" w:eastAsia="zh-CN" w:bidi="ar-SA"/>
              </w:rPr>
              <w:t>电力生产与电网管理</w:t>
            </w:r>
            <w:r>
              <w:rPr>
                <w:rFonts w:hint="eastAsia" w:asciiTheme="minorEastAsia" w:hAnsiTheme="minorEastAsia" w:eastAsiaTheme="minorEastAsia" w:cstheme="minorEastAsia"/>
                <w:color w:val="auto"/>
                <w:kern w:val="0"/>
                <w:sz w:val="18"/>
                <w:szCs w:val="18"/>
                <w:lang w:val="en-US" w:eastAsia="zh-CN" w:bidi="ar-SA"/>
              </w:rPr>
              <w:t>监督检查</w:t>
            </w:r>
          </w:p>
          <w:p w14:paraId="1F1675E4">
            <w:pPr>
              <w:pStyle w:val="2"/>
              <w:numPr>
                <w:ilvl w:val="0"/>
                <w:numId w:val="0"/>
              </w:numP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3.电力供应与使用监督检查</w:t>
            </w:r>
          </w:p>
          <w:p w14:paraId="775C3D3E">
            <w:pPr>
              <w:pStyle w:val="2"/>
              <w:numPr>
                <w:ilvl w:val="0"/>
                <w:numId w:val="0"/>
              </w:numP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4.电价与电费监督检查</w:t>
            </w:r>
          </w:p>
          <w:p w14:paraId="6ECCE482">
            <w:pPr>
              <w:pStyle w:val="2"/>
              <w:numPr>
                <w:ilvl w:val="0"/>
                <w:numId w:val="0"/>
              </w:numPr>
              <w:rPr>
                <w:rFonts w:hint="default"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5.电力设施保护监督检查</w:t>
            </w:r>
          </w:p>
        </w:tc>
        <w:tc>
          <w:tcPr>
            <w:tcW w:w="720" w:type="dxa"/>
            <w:tcBorders>
              <w:top w:val="single" w:color="auto" w:sz="4" w:space="0"/>
              <w:left w:val="single" w:color="auto" w:sz="4" w:space="0"/>
              <w:bottom w:val="single" w:color="auto" w:sz="4" w:space="0"/>
              <w:right w:val="single" w:color="auto" w:sz="4" w:space="0"/>
            </w:tcBorders>
            <w:noWrap/>
            <w:vAlign w:val="center"/>
          </w:tcPr>
          <w:p w14:paraId="05A7C318">
            <w:pPr>
              <w:widowControl/>
              <w:spacing w:line="240" w:lineRule="auto"/>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现场执法与非现场执法相结合</w:t>
            </w:r>
          </w:p>
        </w:tc>
        <w:tc>
          <w:tcPr>
            <w:tcW w:w="1155" w:type="dxa"/>
            <w:tcBorders>
              <w:top w:val="single" w:color="auto" w:sz="4" w:space="0"/>
              <w:left w:val="single" w:color="auto" w:sz="4" w:space="0"/>
              <w:bottom w:val="single" w:color="auto" w:sz="4" w:space="0"/>
              <w:right w:val="single" w:color="auto" w:sz="4" w:space="0"/>
            </w:tcBorders>
            <w:noWrap/>
            <w:vAlign w:val="center"/>
          </w:tcPr>
          <w:p w14:paraId="5A118C09">
            <w:pPr>
              <w:widowControl/>
              <w:spacing w:line="240" w:lineRule="auto"/>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按本单位每年3月底前报经县司法局备案审查的涉企年度行政检查计划执行</w:t>
            </w:r>
          </w:p>
        </w:tc>
        <w:tc>
          <w:tcPr>
            <w:tcW w:w="665" w:type="dxa"/>
            <w:tcBorders>
              <w:top w:val="single" w:color="auto" w:sz="4" w:space="0"/>
              <w:left w:val="single" w:color="auto" w:sz="4" w:space="0"/>
              <w:bottom w:val="single" w:color="auto" w:sz="4" w:space="0"/>
              <w:right w:val="single" w:color="auto" w:sz="4" w:space="0"/>
            </w:tcBorders>
            <w:noWrap/>
            <w:vAlign w:val="center"/>
          </w:tcPr>
          <w:p w14:paraId="3FF6571E">
            <w:pPr>
              <w:widowControl/>
              <w:spacing w:line="240" w:lineRule="auto"/>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一般检查</w:t>
            </w:r>
          </w:p>
        </w:tc>
      </w:tr>
      <w:tr w14:paraId="4C8DC355">
        <w:tblPrEx>
          <w:tblCellMar>
            <w:top w:w="0" w:type="dxa"/>
            <w:left w:w="108" w:type="dxa"/>
            <w:bottom w:w="0" w:type="dxa"/>
            <w:right w:w="108" w:type="dxa"/>
          </w:tblCellMar>
        </w:tblPrEx>
        <w:trPr>
          <w:trHeight w:val="3699"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1279F440">
            <w:pPr>
              <w:spacing w:line="500" w:lineRule="exact"/>
              <w:jc w:val="center"/>
              <w:rPr>
                <w:rFonts w:hint="eastAsia" w:ascii="仿宋_GB2312" w:hAnsi="等线" w:eastAsia="宋体" w:cs="宋体"/>
                <w:b/>
                <w:bCs/>
                <w:kern w:val="0"/>
                <w:sz w:val="24"/>
                <w:szCs w:val="24"/>
                <w:lang w:val="en-US" w:eastAsia="zh-CN"/>
              </w:rPr>
            </w:pPr>
            <w:r>
              <w:rPr>
                <w:rFonts w:hint="eastAsia" w:ascii="仿宋_GB2312" w:hAnsi="等线" w:cs="宋体"/>
                <w:b/>
                <w:bCs/>
                <w:kern w:val="0"/>
                <w:sz w:val="24"/>
                <w:szCs w:val="24"/>
                <w:lang w:val="en-US" w:eastAsia="zh-CN"/>
              </w:rPr>
              <w:t>2</w:t>
            </w:r>
          </w:p>
        </w:tc>
        <w:tc>
          <w:tcPr>
            <w:tcW w:w="1125" w:type="dxa"/>
            <w:tcBorders>
              <w:top w:val="single" w:color="auto" w:sz="4" w:space="0"/>
              <w:left w:val="single" w:color="auto" w:sz="4" w:space="0"/>
              <w:bottom w:val="single" w:color="auto" w:sz="4" w:space="0"/>
              <w:right w:val="single" w:color="auto" w:sz="4" w:space="0"/>
            </w:tcBorders>
            <w:noWrap/>
            <w:vAlign w:val="center"/>
          </w:tcPr>
          <w:p w14:paraId="460A899F">
            <w:pPr>
              <w:widowControl/>
              <w:spacing w:line="240" w:lineRule="auto"/>
              <w:jc w:val="center"/>
              <w:rPr>
                <w:rFonts w:ascii="仿宋_GB2312" w:hAnsi="等线" w:cs="宋体"/>
                <w:color w:val="00B050"/>
                <w:kern w:val="0"/>
                <w:sz w:val="24"/>
                <w:szCs w:val="24"/>
              </w:rPr>
            </w:pPr>
            <w:r>
              <w:rPr>
                <w:rFonts w:hint="eastAsia" w:asciiTheme="minorEastAsia" w:hAnsiTheme="minorEastAsia" w:eastAsiaTheme="minorEastAsia" w:cstheme="minorEastAsia"/>
                <w:color w:val="auto"/>
                <w:kern w:val="0"/>
                <w:sz w:val="18"/>
                <w:szCs w:val="18"/>
                <w:lang w:eastAsia="zh-CN"/>
              </w:rPr>
              <w:t>对全县民用爆炸物品生产、销售企业行政检查</w:t>
            </w:r>
          </w:p>
        </w:tc>
        <w:tc>
          <w:tcPr>
            <w:tcW w:w="1200" w:type="dxa"/>
            <w:tcBorders>
              <w:top w:val="single" w:color="auto" w:sz="4" w:space="0"/>
              <w:left w:val="single" w:color="auto" w:sz="4" w:space="0"/>
              <w:bottom w:val="single" w:color="auto" w:sz="4" w:space="0"/>
              <w:right w:val="single" w:color="auto" w:sz="4" w:space="0"/>
            </w:tcBorders>
            <w:noWrap/>
            <w:vAlign w:val="center"/>
          </w:tcPr>
          <w:p w14:paraId="7EC57F40">
            <w:pPr>
              <w:widowControl/>
              <w:spacing w:line="240" w:lineRule="auto"/>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溆浦</w:t>
            </w:r>
            <w:bookmarkStart w:id="0" w:name="_GoBack"/>
            <w:bookmarkEnd w:id="0"/>
            <w:r>
              <w:rPr>
                <w:rFonts w:hint="eastAsia" w:asciiTheme="minorEastAsia" w:hAnsiTheme="minorEastAsia" w:eastAsiaTheme="minorEastAsia" w:cstheme="minorEastAsia"/>
                <w:color w:val="auto"/>
                <w:kern w:val="0"/>
                <w:sz w:val="18"/>
                <w:szCs w:val="18"/>
                <w:lang w:eastAsia="zh-CN"/>
              </w:rPr>
              <w:t>县工业和信息化局</w:t>
            </w:r>
          </w:p>
        </w:tc>
        <w:tc>
          <w:tcPr>
            <w:tcW w:w="3982" w:type="dxa"/>
            <w:tcBorders>
              <w:top w:val="single" w:color="auto" w:sz="4" w:space="0"/>
              <w:left w:val="single" w:color="auto" w:sz="4" w:space="0"/>
              <w:bottom w:val="single" w:color="auto" w:sz="4" w:space="0"/>
              <w:right w:val="single" w:color="auto" w:sz="4" w:space="0"/>
            </w:tcBorders>
            <w:noWrap/>
            <w:vAlign w:val="center"/>
          </w:tcPr>
          <w:p w14:paraId="5FC2B2D5">
            <w:pPr>
              <w:widowControl/>
              <w:spacing w:line="240" w:lineRule="auto"/>
              <w:jc w:val="center"/>
              <w:rPr>
                <w:rFonts w:hint="eastAsia" w:ascii="仿宋_GB2312" w:hAnsi="等线" w:eastAsia="宋体" w:cs="宋体"/>
                <w:color w:val="00B050"/>
                <w:kern w:val="0"/>
                <w:sz w:val="24"/>
                <w:szCs w:val="24"/>
                <w:lang w:eastAsia="zh-CN"/>
              </w:rPr>
            </w:pPr>
            <w:r>
              <w:rPr>
                <w:rFonts w:hint="eastAsia" w:asciiTheme="minorEastAsia" w:hAnsiTheme="minorEastAsia" w:eastAsiaTheme="minorEastAsia" w:cstheme="minorEastAsia"/>
                <w:color w:val="auto"/>
                <w:kern w:val="0"/>
                <w:sz w:val="18"/>
                <w:szCs w:val="18"/>
                <w:lang w:eastAsia="zh-CN"/>
              </w:rPr>
              <w:t>《民用爆炸物品安全生产许可实施办法》（工业和信息化部令第30号）第三条设区的市和县级人民政府民用爆炸物品行业主管部门在各自职责范围内依法对民用爆炸物品安全生产工作实施监督管理；《民用爆炸物品销售许可实施办法》（工业和信息化部令第29号）第四条地(市)、县级人民政府民用爆炸物品主管部门，协助省级国防科技工业主管部门做好本行政区内民用爆炸物品销售许可的监督管理工作，其职责由省级国防科技工业主管部门规定；《民用爆炸物品安全管理条例》。</w:t>
            </w:r>
          </w:p>
        </w:tc>
        <w:tc>
          <w:tcPr>
            <w:tcW w:w="1125" w:type="dxa"/>
            <w:tcBorders>
              <w:top w:val="single" w:color="auto" w:sz="4" w:space="0"/>
              <w:left w:val="single" w:color="auto" w:sz="4" w:space="0"/>
              <w:bottom w:val="single" w:color="auto" w:sz="4" w:space="0"/>
              <w:right w:val="single" w:color="auto" w:sz="4" w:space="0"/>
            </w:tcBorders>
            <w:noWrap/>
            <w:vAlign w:val="center"/>
          </w:tcPr>
          <w:p w14:paraId="5E96745F">
            <w:pPr>
              <w:widowControl/>
              <w:spacing w:line="240" w:lineRule="auto"/>
              <w:jc w:val="center"/>
              <w:rPr>
                <w:rFonts w:ascii="仿宋_GB2312" w:hAnsi="等线" w:cs="宋体"/>
                <w:color w:val="FF0000"/>
                <w:kern w:val="0"/>
                <w:sz w:val="24"/>
                <w:szCs w:val="24"/>
              </w:rPr>
            </w:pPr>
            <w:r>
              <w:rPr>
                <w:rFonts w:hint="eastAsia" w:asciiTheme="minorEastAsia" w:hAnsiTheme="minorEastAsia" w:eastAsiaTheme="minorEastAsia" w:cstheme="minorEastAsia"/>
                <w:color w:val="auto"/>
                <w:kern w:val="0"/>
                <w:sz w:val="18"/>
                <w:szCs w:val="18"/>
                <w:lang w:eastAsia="zh-CN"/>
              </w:rPr>
              <w:t>溆浦县工业和信息化局</w:t>
            </w:r>
          </w:p>
        </w:tc>
        <w:tc>
          <w:tcPr>
            <w:tcW w:w="930" w:type="dxa"/>
            <w:tcBorders>
              <w:top w:val="single" w:color="auto" w:sz="4" w:space="0"/>
              <w:left w:val="single" w:color="auto" w:sz="4" w:space="0"/>
              <w:bottom w:val="single" w:color="auto" w:sz="4" w:space="0"/>
              <w:right w:val="single" w:color="auto" w:sz="4" w:space="0"/>
            </w:tcBorders>
            <w:noWrap/>
            <w:vAlign w:val="center"/>
          </w:tcPr>
          <w:p w14:paraId="4BBE56BA">
            <w:pPr>
              <w:widowControl/>
              <w:spacing w:line="240" w:lineRule="auto"/>
              <w:jc w:val="center"/>
              <w:rPr>
                <w:rFonts w:ascii="仿宋_GB2312" w:hAnsi="等线" w:cs="宋体"/>
                <w:color w:val="FF0000"/>
                <w:kern w:val="0"/>
                <w:sz w:val="24"/>
                <w:szCs w:val="24"/>
              </w:rPr>
            </w:pPr>
            <w:r>
              <w:rPr>
                <w:rFonts w:hint="eastAsia" w:asciiTheme="minorEastAsia" w:hAnsiTheme="minorEastAsia" w:eastAsiaTheme="minorEastAsia" w:cstheme="minorEastAsia"/>
                <w:color w:val="auto"/>
                <w:kern w:val="0"/>
                <w:sz w:val="18"/>
                <w:szCs w:val="18"/>
                <w:lang w:eastAsia="zh-CN"/>
              </w:rPr>
              <w:t>全县民用爆炸物品生产、销售企业</w:t>
            </w:r>
          </w:p>
        </w:tc>
        <w:tc>
          <w:tcPr>
            <w:tcW w:w="2340" w:type="dxa"/>
            <w:tcBorders>
              <w:top w:val="single" w:color="auto" w:sz="4" w:space="0"/>
              <w:left w:val="single" w:color="auto" w:sz="4" w:space="0"/>
              <w:bottom w:val="single" w:color="auto" w:sz="4" w:space="0"/>
              <w:right w:val="single" w:color="auto" w:sz="4" w:space="0"/>
            </w:tcBorders>
            <w:noWrap/>
            <w:vAlign w:val="center"/>
          </w:tcPr>
          <w:p w14:paraId="044112F8">
            <w:pPr>
              <w:widowControl/>
              <w:spacing w:line="240" w:lineRule="auto"/>
              <w:jc w:val="center"/>
              <w:rPr>
                <w:rFonts w:ascii="仿宋_GB2312" w:hAnsi="等线" w:cs="宋体"/>
                <w:color w:val="FF0000"/>
                <w:kern w:val="0"/>
                <w:sz w:val="24"/>
                <w:szCs w:val="24"/>
              </w:rPr>
            </w:pPr>
            <w:r>
              <w:rPr>
                <w:rFonts w:hint="eastAsia" w:asciiTheme="minorEastAsia" w:hAnsiTheme="minorEastAsia" w:eastAsiaTheme="minorEastAsia" w:cstheme="minorEastAsia"/>
                <w:color w:val="auto"/>
                <w:kern w:val="0"/>
                <w:sz w:val="18"/>
                <w:szCs w:val="18"/>
                <w:lang w:eastAsia="zh-CN"/>
              </w:rPr>
              <w:t>厂房、库房、作业场所和安全设施、设备、工艺、产品符合有关安全生产法律、法规和《民用爆破器材工程设计安全规范》(GB50089)、《民用爆炸物品生产、销售企业安全管理规程》(GB28263)等标准和规程的要求;现场混装作业系统还应当符合《现场混装炸药生产安全管理规程》(WJ9072)的要求。</w:t>
            </w:r>
          </w:p>
        </w:tc>
        <w:tc>
          <w:tcPr>
            <w:tcW w:w="720" w:type="dxa"/>
            <w:tcBorders>
              <w:top w:val="single" w:color="auto" w:sz="4" w:space="0"/>
              <w:left w:val="single" w:color="auto" w:sz="4" w:space="0"/>
              <w:bottom w:val="single" w:color="auto" w:sz="4" w:space="0"/>
              <w:right w:val="single" w:color="auto" w:sz="4" w:space="0"/>
            </w:tcBorders>
            <w:noWrap/>
            <w:vAlign w:val="center"/>
          </w:tcPr>
          <w:p w14:paraId="4F8164D7">
            <w:pPr>
              <w:widowControl/>
              <w:spacing w:line="240" w:lineRule="auto"/>
              <w:jc w:val="center"/>
              <w:rPr>
                <w:rFonts w:ascii="仿宋_GB2312" w:hAnsi="等线" w:cs="宋体"/>
                <w:kern w:val="0"/>
                <w:sz w:val="24"/>
                <w:szCs w:val="24"/>
              </w:rPr>
            </w:pPr>
            <w:r>
              <w:rPr>
                <w:rFonts w:hint="eastAsia" w:asciiTheme="minorEastAsia" w:hAnsiTheme="minorEastAsia" w:eastAsiaTheme="minorEastAsia" w:cstheme="minorEastAsia"/>
                <w:color w:val="auto"/>
                <w:kern w:val="0"/>
                <w:sz w:val="18"/>
                <w:szCs w:val="18"/>
                <w:lang w:eastAsia="zh-CN"/>
              </w:rPr>
              <w:t>现场执法与非现场执法相结合</w:t>
            </w:r>
          </w:p>
        </w:tc>
        <w:tc>
          <w:tcPr>
            <w:tcW w:w="1155" w:type="dxa"/>
            <w:tcBorders>
              <w:top w:val="single" w:color="auto" w:sz="4" w:space="0"/>
              <w:left w:val="single" w:color="auto" w:sz="4" w:space="0"/>
              <w:bottom w:val="single" w:color="auto" w:sz="4" w:space="0"/>
              <w:right w:val="single" w:color="auto" w:sz="4" w:space="0"/>
            </w:tcBorders>
            <w:noWrap/>
            <w:vAlign w:val="center"/>
          </w:tcPr>
          <w:p w14:paraId="76B7425B">
            <w:pPr>
              <w:widowControl/>
              <w:spacing w:line="240" w:lineRule="auto"/>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按本单位每年3月底前报经县司法局备案审查的涉企年度行政检查计划执行</w:t>
            </w:r>
          </w:p>
        </w:tc>
        <w:tc>
          <w:tcPr>
            <w:tcW w:w="665" w:type="dxa"/>
            <w:tcBorders>
              <w:top w:val="single" w:color="auto" w:sz="4" w:space="0"/>
              <w:left w:val="single" w:color="auto" w:sz="4" w:space="0"/>
              <w:bottom w:val="single" w:color="auto" w:sz="4" w:space="0"/>
              <w:right w:val="single" w:color="auto" w:sz="4" w:space="0"/>
            </w:tcBorders>
            <w:noWrap/>
            <w:vAlign w:val="center"/>
          </w:tcPr>
          <w:p w14:paraId="056AF4F6">
            <w:pPr>
              <w:widowControl/>
              <w:spacing w:line="240" w:lineRule="auto"/>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一般检查</w:t>
            </w:r>
          </w:p>
        </w:tc>
      </w:tr>
    </w:tbl>
    <w:p w14:paraId="5C09B79E">
      <w:pPr>
        <w:rPr>
          <w:rFonts w:hint="eastAsia" w:eastAsia="宋体"/>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F502B"/>
    <w:rsid w:val="0B375B18"/>
    <w:rsid w:val="0B5E3EAB"/>
    <w:rsid w:val="0D2D420C"/>
    <w:rsid w:val="28846321"/>
    <w:rsid w:val="2B7F502B"/>
    <w:rsid w:val="2F173298"/>
    <w:rsid w:val="398973D2"/>
    <w:rsid w:val="3BAC5D09"/>
    <w:rsid w:val="42D034E1"/>
    <w:rsid w:val="557E100F"/>
    <w:rsid w:val="55EF387B"/>
    <w:rsid w:val="56D9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kern w:val="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763</Words>
  <Characters>796</Characters>
  <Lines>0</Lines>
  <Paragraphs>0</Paragraphs>
  <TotalTime>20</TotalTime>
  <ScaleCrop>false</ScaleCrop>
  <LinksUpToDate>false</LinksUpToDate>
  <CharactersWithSpaces>797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2025-03-19T00:13:00Z</dcterms:created>
  <dc:creator>liu</dc:creator>
  <cp:lastModifiedBy>一米阳光</cp:lastModifiedBy>
  <cp:lastPrinted>2025-03-26T06:41:17Z</cp:lastPrinted>
  <dcterms:modified xsi:type="dcterms:W3CDTF">2025-03-26T06:41:22Z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DF61CF786DF24780B07FEBB08989EF31_13</vt:lpwstr>
  </property>
  <property fmtid="{D5CDD505-2E9C-101B-9397-08002B2CF9AE}" pid="4" name="KSOTemplateDocerSaveRecord">
    <vt:lpwstr>eyJoZGlkIjoiYzA1NDI2YTM4NjBlZWY2NTAwYzEyMWRiNWUwYWYxOTYiLCJ1c2VySWQiOiIyNTYzOTg5NTgifQ==</vt:lpwstr>
  </property>
</Properties>
</file>