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850DD3">
      <w:pPr>
        <w:jc w:val="center"/>
        <w:rPr>
          <w:rFonts w:ascii="方正粗黑宋简体" w:hAnsi="方正粗黑宋简体" w:eastAsia="方正粗黑宋简体"/>
          <w:color w:val="333333"/>
          <w:sz w:val="44"/>
          <w:szCs w:val="44"/>
        </w:rPr>
      </w:pPr>
      <w:bookmarkStart w:id="3" w:name="_GoBack"/>
      <w:bookmarkEnd w:id="3"/>
      <w:r>
        <w:rPr>
          <w:rFonts w:hint="eastAsia" w:ascii="方正粗黑宋简体" w:hAnsi="方正粗黑宋简体" w:eastAsia="方正粗黑宋简体"/>
          <w:color w:val="333333"/>
          <w:sz w:val="44"/>
          <w:szCs w:val="44"/>
        </w:rPr>
        <w:t>溆浦县发展和改革局</w:t>
      </w:r>
    </w:p>
    <w:p w14:paraId="1D8B460A">
      <w:pPr>
        <w:jc w:val="center"/>
        <w:rPr>
          <w:rFonts w:ascii="方正粗黑宋简体" w:hAnsi="方正粗黑宋简体" w:eastAsia="方正粗黑宋简体"/>
          <w:color w:val="333333"/>
          <w:sz w:val="44"/>
          <w:szCs w:val="44"/>
        </w:rPr>
      </w:pPr>
      <w:r>
        <w:rPr>
          <w:rFonts w:hint="eastAsia" w:ascii="方正粗黑宋简体" w:hAnsi="方正粗黑宋简体" w:eastAsia="方正粗黑宋简体"/>
          <w:color w:val="333333"/>
          <w:sz w:val="44"/>
          <w:szCs w:val="44"/>
        </w:rPr>
        <w:t>2024年预算整体支出绩效自评报告</w:t>
      </w:r>
    </w:p>
    <w:p w14:paraId="675CDB96">
      <w:pPr>
        <w:jc w:val="center"/>
        <w:rPr>
          <w:rFonts w:ascii="仿宋" w:hAnsi="仿宋" w:eastAsia="仿宋"/>
          <w:color w:val="333333"/>
          <w:sz w:val="32"/>
          <w:szCs w:val="32"/>
        </w:rPr>
      </w:pPr>
    </w:p>
    <w:p w14:paraId="0B6312B4">
      <w:pPr>
        <w:pStyle w:val="10"/>
        <w:numPr>
          <w:ilvl w:val="0"/>
          <w:numId w:val="1"/>
        </w:numPr>
        <w:ind w:firstLineChars="0"/>
        <w:jc w:val="left"/>
        <w:rPr>
          <w:rFonts w:ascii="仿宋" w:hAnsi="仿宋" w:eastAsia="仿宋"/>
          <w:sz w:val="32"/>
          <w:szCs w:val="32"/>
        </w:rPr>
      </w:pPr>
      <w:r>
        <w:rPr>
          <w:rFonts w:hint="eastAsia" w:ascii="仿宋" w:hAnsi="仿宋" w:eastAsia="仿宋"/>
          <w:sz w:val="32"/>
          <w:szCs w:val="32"/>
        </w:rPr>
        <w:t>单位基本情况</w:t>
      </w:r>
    </w:p>
    <w:p w14:paraId="3728BC6A">
      <w:pPr>
        <w:ind w:left="640"/>
        <w:jc w:val="left"/>
        <w:rPr>
          <w:rFonts w:ascii="仿宋" w:hAnsi="仿宋" w:eastAsia="仿宋"/>
          <w:sz w:val="32"/>
          <w:szCs w:val="32"/>
        </w:rPr>
      </w:pPr>
      <w:bookmarkStart w:id="0" w:name="_Hlk197417074"/>
      <w:r>
        <w:rPr>
          <w:rFonts w:hint="eastAsia" w:ascii="仿宋" w:hAnsi="仿宋" w:eastAsia="仿宋"/>
          <w:sz w:val="32"/>
          <w:szCs w:val="32"/>
        </w:rPr>
        <w:t>（一）</w:t>
      </w:r>
      <w:bookmarkEnd w:id="0"/>
      <w:r>
        <w:rPr>
          <w:rFonts w:hint="eastAsia" w:ascii="仿宋" w:hAnsi="仿宋" w:eastAsia="仿宋"/>
          <w:sz w:val="32"/>
          <w:szCs w:val="32"/>
        </w:rPr>
        <w:t>机构设置情况</w:t>
      </w:r>
    </w:p>
    <w:p w14:paraId="4A29BDA9">
      <w:pPr>
        <w:widowControl/>
        <w:spacing w:line="600" w:lineRule="exact"/>
        <w:ind w:firstLine="640" w:firstLineChars="200"/>
        <w:rPr>
          <w:rFonts w:ascii="仿宋" w:hAnsi="仿宋" w:eastAsia="仿宋" w:cs="宋体"/>
          <w:kern w:val="0"/>
          <w:sz w:val="32"/>
          <w:szCs w:val="32"/>
        </w:rPr>
      </w:pPr>
      <w:r>
        <w:rPr>
          <w:rFonts w:hint="eastAsia" w:ascii="仿宋" w:hAnsi="仿宋" w:eastAsia="仿宋"/>
          <w:sz w:val="32"/>
          <w:szCs w:val="32"/>
          <w:shd w:val="clear" w:color="auto" w:fill="FFFFFF"/>
        </w:rPr>
        <w:t>溆浦县发展和改革局，为县人民政府工作部门，是全额财政拨款行政单位。</w:t>
      </w:r>
      <w:bookmarkStart w:id="1" w:name="OLE_LINK1"/>
      <w:r>
        <w:rPr>
          <w:rFonts w:hint="eastAsia" w:ascii="仿宋" w:hAnsi="仿宋" w:eastAsia="仿宋" w:cs="宋体"/>
          <w:kern w:val="0"/>
          <w:sz w:val="32"/>
          <w:szCs w:val="32"/>
        </w:rPr>
        <w:t>内设行政业务职能股室 16 个；二级机构 3个，分别是：溆浦县招投标事务中心、溆浦县价格认证中心、溆浦县重点建设项目事务中心；下属及派出机构 0个。</w:t>
      </w:r>
    </w:p>
    <w:p w14:paraId="3C75E384">
      <w:pPr>
        <w:widowControl/>
        <w:spacing w:line="600" w:lineRule="exact"/>
        <w:ind w:firstLine="640" w:firstLineChars="200"/>
        <w:rPr>
          <w:rFonts w:ascii="仿宋" w:hAnsi="仿宋" w:eastAsia="仿宋" w:cs="宋体"/>
          <w:kern w:val="0"/>
          <w:sz w:val="32"/>
          <w:szCs w:val="32"/>
        </w:rPr>
      </w:pPr>
      <w:r>
        <w:rPr>
          <w:rFonts w:hint="eastAsia" w:ascii="仿宋" w:hAnsi="仿宋" w:eastAsia="仿宋"/>
          <w:sz w:val="32"/>
          <w:szCs w:val="32"/>
        </w:rPr>
        <w:t>（二）</w:t>
      </w:r>
      <w:r>
        <w:rPr>
          <w:rFonts w:hint="eastAsia" w:ascii="仿宋" w:hAnsi="仿宋" w:eastAsia="仿宋" w:cs="宋体"/>
          <w:kern w:val="0"/>
          <w:sz w:val="32"/>
          <w:szCs w:val="32"/>
        </w:rPr>
        <w:t>人员编制情况</w:t>
      </w:r>
    </w:p>
    <w:p w14:paraId="3E588493">
      <w:pPr>
        <w:widowControl/>
        <w:spacing w:line="600" w:lineRule="exact"/>
        <w:ind w:firstLine="640" w:firstLineChars="200"/>
        <w:rPr>
          <w:rFonts w:ascii="仿宋" w:hAnsi="仿宋" w:eastAsia="仿宋" w:cs="宋体"/>
          <w:kern w:val="0"/>
          <w:sz w:val="32"/>
          <w:szCs w:val="32"/>
        </w:rPr>
      </w:pPr>
      <w:r>
        <w:rPr>
          <w:rFonts w:hint="eastAsia" w:ascii="仿宋" w:hAnsi="仿宋" w:eastAsia="仿宋" w:cs="宋体"/>
          <w:kern w:val="0"/>
          <w:sz w:val="32"/>
          <w:szCs w:val="32"/>
        </w:rPr>
        <w:t>核定编制66名，实有人数 63人，其中：行政人员 22人、事业人员41 人、工勤人员0人、离退休人员 78人。</w:t>
      </w:r>
    </w:p>
    <w:bookmarkEnd w:id="1"/>
    <w:p w14:paraId="70485253">
      <w:pPr>
        <w:ind w:left="640" w:firstLine="160" w:firstLineChars="50"/>
        <w:jc w:val="left"/>
        <w:rPr>
          <w:rFonts w:ascii="仿宋" w:hAnsi="仿宋" w:eastAsia="仿宋" w:cs="宋体"/>
          <w:kern w:val="0"/>
          <w:sz w:val="32"/>
          <w:szCs w:val="32"/>
        </w:rPr>
      </w:pPr>
      <w:r>
        <w:rPr>
          <w:rFonts w:hint="eastAsia" w:ascii="仿宋" w:hAnsi="仿宋" w:eastAsia="仿宋" w:cs="宋体"/>
          <w:kern w:val="0"/>
          <w:sz w:val="32"/>
          <w:szCs w:val="32"/>
        </w:rPr>
        <w:t>（三</w:t>
      </w:r>
      <w:r>
        <w:rPr>
          <w:rFonts w:ascii="仿宋" w:hAnsi="仿宋" w:eastAsia="仿宋" w:cs="宋体"/>
          <w:kern w:val="0"/>
          <w:sz w:val="32"/>
          <w:szCs w:val="32"/>
        </w:rPr>
        <w:t>）</w:t>
      </w:r>
      <w:r>
        <w:rPr>
          <w:rFonts w:hint="eastAsia" w:ascii="仿宋" w:hAnsi="仿宋" w:eastAsia="仿宋" w:cs="宋体"/>
          <w:kern w:val="0"/>
          <w:sz w:val="32"/>
          <w:szCs w:val="32"/>
        </w:rPr>
        <w:t>主要职能职责</w:t>
      </w:r>
    </w:p>
    <w:p w14:paraId="2DD9B39E">
      <w:pPr>
        <w:pStyle w:val="10"/>
        <w:ind w:left="160" w:firstLine="640"/>
        <w:rPr>
          <w:rFonts w:ascii="仿宋" w:hAnsi="仿宋" w:eastAsia="仿宋" w:cs="仿宋"/>
          <w:sz w:val="32"/>
          <w:szCs w:val="32"/>
        </w:rPr>
      </w:pPr>
      <w:r>
        <w:rPr>
          <w:rFonts w:hint="eastAsia" w:ascii="仿宋" w:hAnsi="仿宋" w:eastAsia="仿宋"/>
          <w:sz w:val="32"/>
          <w:szCs w:val="32"/>
        </w:rPr>
        <w:t>1、</w:t>
      </w:r>
      <w:r>
        <w:rPr>
          <w:rFonts w:hint="eastAsia" w:ascii="仿宋" w:hAnsi="仿宋" w:eastAsia="仿宋" w:cs="仿宋"/>
          <w:sz w:val="32"/>
          <w:szCs w:val="32"/>
        </w:rPr>
        <w:t>拟订并组织实施全县国民经济和社会发展战略、中长期规划和年度计划。研究拟订全县国民经济和社会发展、经济体制改革和对外开放的有关制度，牵头推进供给侧结构性改革。受县政府委托向县人民代表大会提交国民经济和社会发展计划的报告。</w:t>
      </w:r>
    </w:p>
    <w:p w14:paraId="3A6310F0">
      <w:pPr>
        <w:pStyle w:val="10"/>
        <w:ind w:left="160" w:firstLine="640"/>
        <w:rPr>
          <w:rFonts w:ascii="仿宋" w:hAnsi="仿宋" w:eastAsia="仿宋" w:cs="仿宋"/>
          <w:sz w:val="32"/>
          <w:szCs w:val="32"/>
        </w:rPr>
      </w:pPr>
      <w:r>
        <w:rPr>
          <w:rFonts w:hint="eastAsia" w:ascii="仿宋" w:hAnsi="仿宋" w:eastAsia="仿宋" w:cs="仿宋"/>
          <w:sz w:val="32"/>
          <w:szCs w:val="32"/>
        </w:rPr>
        <w:t>2、研究提出加快建设现代化经济体系、推动高质量发展的总体目标，重大任务以及相关政策。研究提出全县国民经济和社会发展主要目标，监测预测预警宏观经济和社会发展态势趋势，提出宏观调控政策建议，综合协调宏观经济政策，研究应对措施。</w:t>
      </w:r>
    </w:p>
    <w:p w14:paraId="157EF236">
      <w:pPr>
        <w:ind w:firstLine="640" w:firstLineChars="200"/>
        <w:rPr>
          <w:rFonts w:ascii="仿宋" w:hAnsi="仿宋" w:eastAsia="仿宋" w:cs="仿宋"/>
          <w:sz w:val="32"/>
          <w:szCs w:val="32"/>
        </w:rPr>
      </w:pPr>
      <w:r>
        <w:rPr>
          <w:rFonts w:hint="eastAsia" w:ascii="仿宋" w:hAnsi="仿宋" w:eastAsia="仿宋" w:cs="仿宋"/>
          <w:sz w:val="32"/>
          <w:szCs w:val="32"/>
        </w:rPr>
        <w:t>3、负责投资综合管理，拟订全县全社会固定资产投资总规模和投资结构的调控目标、政策及措施。统筹安排县级财政性建设资金和投资项目，编制下达政府投资年度计划。规划全县重大建设项目和生产力布局,按权限审批、核准、审核、备案重大项目。会同相关部门组织实施市场准入负面清单制度。</w:t>
      </w:r>
    </w:p>
    <w:p w14:paraId="6F93C172">
      <w:pPr>
        <w:ind w:firstLine="640" w:firstLineChars="200"/>
        <w:rPr>
          <w:rFonts w:ascii="仿宋" w:hAnsi="仿宋" w:eastAsia="仿宋" w:cs="仿宋"/>
          <w:sz w:val="32"/>
          <w:szCs w:val="32"/>
        </w:rPr>
      </w:pPr>
      <w:r>
        <w:rPr>
          <w:rFonts w:hint="eastAsia" w:ascii="仿宋" w:hAnsi="仿宋" w:eastAsia="仿宋" w:cs="仿宋"/>
          <w:sz w:val="32"/>
          <w:szCs w:val="32"/>
        </w:rPr>
        <w:t>4、推进落实区域协调发展战略、新型城镇化战略和重大政策，组织拟订相关区城规划和政策。负责拟定湘南湘西承接产业转移示范区建设、物流枢纽承载城市建设、乡村振兴战略规划和政策。研究制订并统筹促进县内区域协调发展的战略、规划和重大政策。拟订并组织实施全县易地扶贫搬迁、以工代赈规划和计划。</w:t>
      </w:r>
    </w:p>
    <w:p w14:paraId="42FAC5BB">
      <w:pPr>
        <w:ind w:firstLine="800" w:firstLineChars="250"/>
        <w:rPr>
          <w:rFonts w:ascii="仿宋" w:hAnsi="仿宋" w:eastAsia="仿宋" w:cs="仿宋"/>
          <w:sz w:val="32"/>
          <w:szCs w:val="32"/>
        </w:rPr>
      </w:pPr>
      <w:r>
        <w:rPr>
          <w:rFonts w:hint="eastAsia" w:ascii="仿宋" w:hAnsi="仿宋" w:eastAsia="仿宋" w:cs="仿宋"/>
          <w:sz w:val="32"/>
          <w:szCs w:val="32"/>
        </w:rPr>
        <w:t>5、组织拟订综合性产业政策，负责协调第一、三产业发展的重大问题并统筹衔接相关发展规划和重大政策。负责社会发展与国民经济发展的政策衔接，组织拟订社会发展战略、总体规划。协调社会领域事业和产业发展政策及改革重大问题。推进可持续发展战略，推动生态文明建设和改革，协调生态环境保护与修复、能源资源节约和综合利用等工作。完善固定资产投资项目节能评估和审查制度。研究提出全县能源发展战略、规划、产业政策并组织实施；规划能源重大建设项目布局，按权限核准、审核、申报和安排能源重大建设项目。</w:t>
      </w:r>
    </w:p>
    <w:p w14:paraId="2FF09245">
      <w:pPr>
        <w:ind w:firstLine="640" w:firstLineChars="200"/>
        <w:rPr>
          <w:rFonts w:ascii="仿宋" w:hAnsi="仿宋" w:eastAsia="仿宋" w:cs="仿宋"/>
          <w:sz w:val="32"/>
          <w:szCs w:val="32"/>
        </w:rPr>
      </w:pPr>
      <w:r>
        <w:rPr>
          <w:rFonts w:hint="eastAsia" w:ascii="仿宋" w:hAnsi="仿宋" w:eastAsia="仿宋" w:cs="仿宋"/>
          <w:sz w:val="32"/>
          <w:szCs w:val="32"/>
        </w:rPr>
        <w:t>6、拟订全县价格改革方案和年度计划，研究提出价格调控目标和政策建议，组织实施价格总水平调控。组织起草有关价格收费政策，承担县政府管理的重要商品和服务价格管理工作。承担行政事业性收费管理工作。承担价格监测、市场价格形势分析和涉案物价格鉴证工作。负责价格成本调查和监审。</w:t>
      </w:r>
    </w:p>
    <w:p w14:paraId="5A6FDFD1">
      <w:pPr>
        <w:ind w:firstLine="640" w:firstLineChars="200"/>
        <w:rPr>
          <w:rFonts w:ascii="仿宋" w:hAnsi="仿宋" w:eastAsia="仿宋" w:cs="仿宋"/>
          <w:sz w:val="32"/>
          <w:szCs w:val="32"/>
        </w:rPr>
      </w:pPr>
      <w:r>
        <w:rPr>
          <w:rFonts w:hint="eastAsia" w:ascii="仿宋" w:hAnsi="仿宋" w:eastAsia="仿宋" w:cs="仿宋"/>
          <w:sz w:val="32"/>
          <w:szCs w:val="32"/>
        </w:rPr>
        <w:t>7、牵头组织监督公共资源交易活动，指导、协调全县工程建设项目招标投标工作，负责权限内工程建设项目招标事项核准和县级工业项目招标投标活动的监管。</w:t>
      </w:r>
    </w:p>
    <w:p w14:paraId="62FF6B5F">
      <w:pPr>
        <w:ind w:firstLine="640" w:firstLineChars="200"/>
        <w:rPr>
          <w:rFonts w:ascii="仿宋" w:hAnsi="仿宋" w:eastAsia="仿宋" w:cs="仿宋"/>
          <w:sz w:val="32"/>
          <w:szCs w:val="32"/>
        </w:rPr>
      </w:pPr>
      <w:r>
        <w:rPr>
          <w:rFonts w:hint="eastAsia" w:ascii="仿宋" w:hAnsi="仿宋" w:eastAsia="仿宋" w:cs="仿宋"/>
          <w:sz w:val="32"/>
          <w:szCs w:val="32"/>
        </w:rPr>
        <w:t>8、会同有关部门拟订推动全县经济建设与国防建设协调发展的战略和规划，协调有关重大问题。组织编制全县国民经济动员规划，协调和组织实施全县国民经济动员有关工作。</w:t>
      </w:r>
    </w:p>
    <w:p w14:paraId="3AC52725">
      <w:pPr>
        <w:ind w:firstLine="640" w:firstLineChars="200"/>
        <w:rPr>
          <w:rFonts w:ascii="仿宋" w:hAnsi="仿宋" w:eastAsia="仿宋" w:cs="仿宋"/>
          <w:sz w:val="32"/>
          <w:szCs w:val="32"/>
        </w:rPr>
      </w:pPr>
      <w:r>
        <w:rPr>
          <w:rFonts w:hint="eastAsia" w:ascii="仿宋" w:hAnsi="仿宋" w:eastAsia="仿宋" w:cs="仿宋"/>
          <w:sz w:val="32"/>
          <w:szCs w:val="32"/>
        </w:rPr>
        <w:t>9、研究提出全县粮食宏观调控及粮食流通的中长期规划，拟订全县粮食市场体系建设与发展规划，承担全县粮食流通宏观调控的具体工作。</w:t>
      </w:r>
    </w:p>
    <w:p w14:paraId="49E0286F">
      <w:pPr>
        <w:ind w:firstLine="640" w:firstLineChars="200"/>
        <w:rPr>
          <w:rFonts w:ascii="仿宋" w:hAnsi="仿宋" w:eastAsia="仿宋" w:cs="仿宋"/>
          <w:sz w:val="32"/>
          <w:szCs w:val="32"/>
        </w:rPr>
      </w:pPr>
      <w:r>
        <w:rPr>
          <w:rFonts w:hint="eastAsia" w:ascii="仿宋" w:hAnsi="仿宋" w:eastAsia="仿宋" w:cs="仿宋"/>
          <w:sz w:val="32"/>
          <w:szCs w:val="32"/>
        </w:rPr>
        <w:t>10、管理全县粮食、棉花和食糖储备，负责全县储备粮棉行政管理。监测全县粮食和战略物资供求变化并预测预警，承担全县粮食流通宏观调控的具体工作，承担粮食安全责任制考核日常工作。</w:t>
      </w:r>
    </w:p>
    <w:p w14:paraId="33F60FA3">
      <w:pPr>
        <w:ind w:firstLine="640" w:firstLineChars="200"/>
        <w:rPr>
          <w:rFonts w:ascii="仿宋" w:hAnsi="仿宋" w:eastAsia="仿宋" w:cs="仿宋"/>
          <w:sz w:val="32"/>
          <w:szCs w:val="32"/>
        </w:rPr>
      </w:pPr>
      <w:r>
        <w:rPr>
          <w:rFonts w:hint="eastAsia" w:ascii="仿宋" w:hAnsi="仿宋" w:eastAsia="仿宋" w:cs="仿宋"/>
          <w:sz w:val="32"/>
          <w:szCs w:val="32"/>
        </w:rPr>
        <w:t>11、拟订粮食和物资储备仓储管理有关技术标准和规范并组织实施。负责粮食流通、加工行业安全生产工作的监督管理，承担全县物资储备承储单位安全生产的监管责任。</w:t>
      </w:r>
    </w:p>
    <w:p w14:paraId="00F79DFC">
      <w:pPr>
        <w:ind w:firstLine="640" w:firstLineChars="200"/>
        <w:rPr>
          <w:rFonts w:ascii="仿宋" w:hAnsi="仿宋" w:eastAsia="仿宋" w:cs="仿宋"/>
          <w:sz w:val="32"/>
          <w:szCs w:val="32"/>
        </w:rPr>
      </w:pPr>
      <w:r>
        <w:rPr>
          <w:rFonts w:hint="eastAsia" w:ascii="仿宋" w:hAnsi="仿宋" w:eastAsia="仿宋" w:cs="仿宋"/>
          <w:sz w:val="32"/>
          <w:szCs w:val="32"/>
        </w:rPr>
        <w:t>12、拟订全县储备基础设施、粮食流通设施建设规划并组织实施，管理有关储备基础设施和粮食流通设施全县投资项目。负责对管理的政府储备、企业储备以及储备政策落实情况进行监督检査。负责粮食收购、储存、运输环节粮食质量安全和原粮卫生的监督管理，组织实施全县粮食库存检查工作。</w:t>
      </w:r>
    </w:p>
    <w:p w14:paraId="312268C2">
      <w:pPr>
        <w:ind w:firstLine="640" w:firstLineChars="200"/>
        <w:rPr>
          <w:rFonts w:ascii="仿宋" w:hAnsi="仿宋" w:eastAsia="仿宋" w:cs="仿宋"/>
          <w:sz w:val="32"/>
          <w:szCs w:val="32"/>
        </w:rPr>
      </w:pPr>
      <w:r>
        <w:rPr>
          <w:rFonts w:hint="eastAsia" w:ascii="仿宋" w:hAnsi="仿宋" w:eastAsia="仿宋" w:cs="仿宋"/>
          <w:sz w:val="32"/>
          <w:szCs w:val="32"/>
        </w:rPr>
        <w:t>13、负责粮食流通行业管理，制定行业发展规划、政策，拟订粮食流通和物资储备有关标准、粮食质量标准，制定有关技术规范并监督执行。</w:t>
      </w:r>
    </w:p>
    <w:p w14:paraId="490195EA">
      <w:pPr>
        <w:ind w:firstLine="640" w:firstLineChars="200"/>
        <w:rPr>
          <w:rFonts w:ascii="仿宋" w:hAnsi="仿宋" w:eastAsia="仿宋" w:cs="仿宋"/>
          <w:sz w:val="32"/>
          <w:szCs w:val="32"/>
        </w:rPr>
      </w:pPr>
      <w:r>
        <w:rPr>
          <w:rFonts w:hint="eastAsia" w:ascii="仿宋" w:hAnsi="仿宋" w:eastAsia="仿宋" w:cs="仿宋"/>
          <w:sz w:val="32"/>
          <w:szCs w:val="32"/>
        </w:rPr>
        <w:t>14、承担国防动员工作统筹规划、综合协调、督导落实等职能，牵头承办国防动员建设管理和组织实施涉及各部门之间的协调落实工作；具体承担县国防动员委员会联合办公室相关日常事务工作。</w:t>
      </w:r>
    </w:p>
    <w:p w14:paraId="35090ADB">
      <w:pPr>
        <w:ind w:firstLine="640" w:firstLineChars="200"/>
        <w:jc w:val="left"/>
        <w:rPr>
          <w:rFonts w:ascii="仿宋" w:hAnsi="仿宋" w:eastAsia="仿宋" w:cs="仿宋"/>
          <w:sz w:val="32"/>
          <w:szCs w:val="32"/>
        </w:rPr>
      </w:pPr>
      <w:r>
        <w:rPr>
          <w:rFonts w:hint="eastAsia" w:ascii="仿宋" w:hAnsi="仿宋" w:eastAsia="仿宋" w:cs="仿宋"/>
          <w:sz w:val="32"/>
          <w:szCs w:val="32"/>
        </w:rPr>
        <w:t>15、完成县委、县政府交办的其他任务。</w:t>
      </w:r>
    </w:p>
    <w:p w14:paraId="08F2F63B">
      <w:pPr>
        <w:ind w:firstLine="640" w:firstLineChars="200"/>
        <w:jc w:val="left"/>
        <w:rPr>
          <w:rFonts w:ascii="仿宋" w:hAnsi="仿宋" w:eastAsia="仿宋"/>
          <w:sz w:val="32"/>
          <w:szCs w:val="32"/>
        </w:rPr>
      </w:pPr>
      <w:r>
        <w:rPr>
          <w:rFonts w:hint="eastAsia" w:ascii="仿宋" w:hAnsi="仿宋" w:eastAsia="仿宋"/>
          <w:sz w:val="32"/>
          <w:szCs w:val="32"/>
        </w:rPr>
        <w:t>（四）绩效目标设定情况</w:t>
      </w:r>
    </w:p>
    <w:p w14:paraId="6B65D694">
      <w:pPr>
        <w:ind w:firstLine="640" w:firstLineChars="200"/>
        <w:rPr>
          <w:rFonts w:ascii="仿宋" w:hAnsi="仿宋" w:eastAsia="仿宋" w:cs="仿宋"/>
          <w:sz w:val="32"/>
          <w:szCs w:val="32"/>
        </w:rPr>
      </w:pPr>
      <w:r>
        <w:rPr>
          <w:rFonts w:hint="eastAsia" w:ascii="仿宋" w:hAnsi="仿宋" w:eastAsia="仿宋" w:cs="仿宋"/>
          <w:sz w:val="32"/>
          <w:szCs w:val="32"/>
        </w:rPr>
        <w:t xml:space="preserve"> 目标1：完成全县国民经济和社会发展战略、发展规划、总量平衡、结构调整的区域经济调控；高度关注国内外经济形势和省、市、县主要经济指标变化，科学研判宏观经济走势，围绕全县生产总值增长目标，坚持季度分析，定期向县委、县政府、县人大汇报。准确把握全县经济运行中的新情况，新问题，研究对策措施，为县委、县政府提供科学严谨的决策依据。   </w:t>
      </w:r>
    </w:p>
    <w:p w14:paraId="20F95671">
      <w:pPr>
        <w:ind w:firstLine="640" w:firstLineChars="200"/>
        <w:rPr>
          <w:rFonts w:ascii="仿宋" w:hAnsi="仿宋" w:eastAsia="仿宋" w:cs="仿宋"/>
          <w:sz w:val="32"/>
          <w:szCs w:val="32"/>
        </w:rPr>
      </w:pPr>
      <w:r>
        <w:rPr>
          <w:rFonts w:hint="eastAsia" w:ascii="仿宋" w:hAnsi="仿宋" w:eastAsia="仿宋" w:cs="仿宋"/>
          <w:sz w:val="32"/>
          <w:szCs w:val="32"/>
        </w:rPr>
        <w:t>目标2：抓好项目投资管理工作，严格把握项目审批、核准及备案权力运行，按时完成各类项目的上报和审批工作；加强我县固定资产投资力度，确保完成市里下达的2024年固定资产投资增速任务；加强对全县重点项目的调度和监管；指导、协调全县工程建设项目招标投标工作，负责权限内工程建设项目招标事项核准和县级工业项目招标投标活动的监管。</w:t>
      </w:r>
    </w:p>
    <w:p w14:paraId="1B0CCF27">
      <w:pPr>
        <w:ind w:firstLine="640" w:firstLineChars="200"/>
        <w:rPr>
          <w:rFonts w:ascii="仿宋" w:hAnsi="仿宋" w:eastAsia="仿宋" w:cs="仿宋"/>
          <w:sz w:val="32"/>
          <w:szCs w:val="32"/>
        </w:rPr>
      </w:pPr>
      <w:r>
        <w:rPr>
          <w:rFonts w:hint="eastAsia" w:ascii="仿宋" w:hAnsi="仿宋" w:eastAsia="仿宋" w:cs="仿宋"/>
          <w:sz w:val="32"/>
          <w:szCs w:val="32"/>
        </w:rPr>
        <w:t>目标3：深化价格管理公共服务工作，加强价格监测预警、价格认证、农产品成本调查和价格成本监审，确保物价总体平稳。</w:t>
      </w:r>
    </w:p>
    <w:p w14:paraId="48E8BB5C">
      <w:pPr>
        <w:ind w:firstLine="640" w:firstLineChars="200"/>
        <w:rPr>
          <w:rFonts w:ascii="仿宋" w:hAnsi="仿宋" w:eastAsia="仿宋" w:cs="仿宋"/>
          <w:sz w:val="32"/>
          <w:szCs w:val="32"/>
        </w:rPr>
      </w:pPr>
      <w:r>
        <w:rPr>
          <w:rFonts w:hint="eastAsia" w:ascii="仿宋" w:hAnsi="仿宋" w:eastAsia="仿宋" w:cs="仿宋"/>
          <w:sz w:val="32"/>
          <w:szCs w:val="32"/>
        </w:rPr>
        <w:t>目标4：完成2024年政府储备粮轮换任务，加强应急成品粮储备管理，做好粮油保供稳市工作。</w:t>
      </w:r>
    </w:p>
    <w:p w14:paraId="35F48EB3">
      <w:pPr>
        <w:pStyle w:val="10"/>
        <w:ind w:left="640" w:firstLine="0" w:firstLineChars="0"/>
        <w:jc w:val="left"/>
        <w:rPr>
          <w:rFonts w:ascii="仿宋" w:hAnsi="仿宋" w:eastAsia="仿宋"/>
          <w:sz w:val="32"/>
          <w:szCs w:val="32"/>
        </w:rPr>
      </w:pPr>
      <w:r>
        <w:rPr>
          <w:rFonts w:hint="eastAsia" w:ascii="仿宋" w:hAnsi="仿宋" w:eastAsia="仿宋"/>
          <w:sz w:val="32"/>
          <w:szCs w:val="32"/>
        </w:rPr>
        <w:t>二、部门整体支出管理及使用情况</w:t>
      </w:r>
    </w:p>
    <w:p w14:paraId="43EB6D7E">
      <w:pPr>
        <w:ind w:firstLine="640" w:firstLineChars="200"/>
        <w:jc w:val="left"/>
        <w:rPr>
          <w:rFonts w:ascii="仿宋" w:hAnsi="仿宋" w:eastAsia="仿宋"/>
          <w:sz w:val="32"/>
          <w:szCs w:val="32"/>
        </w:rPr>
      </w:pPr>
      <w:r>
        <w:rPr>
          <w:rFonts w:hint="eastAsia" w:ascii="仿宋" w:hAnsi="仿宋" w:eastAsia="仿宋"/>
          <w:sz w:val="32"/>
          <w:szCs w:val="32"/>
        </w:rPr>
        <w:t>（一）预算执行、使用、管理总体情况</w:t>
      </w:r>
    </w:p>
    <w:p w14:paraId="756C4D43">
      <w:pPr>
        <w:ind w:firstLine="640" w:firstLineChars="200"/>
        <w:jc w:val="left"/>
        <w:rPr>
          <w:rFonts w:ascii="仿宋" w:hAnsi="仿宋" w:eastAsia="仿宋"/>
          <w:sz w:val="32"/>
          <w:szCs w:val="32"/>
        </w:rPr>
      </w:pPr>
      <w:r>
        <w:rPr>
          <w:rFonts w:hint="eastAsia" w:ascii="仿宋" w:hAnsi="仿宋" w:eastAsia="仿宋"/>
          <w:sz w:val="32"/>
          <w:szCs w:val="32"/>
        </w:rPr>
        <w:t>2024年本部门预算收入总额为：3620.59万元，其中：一般公共预算财政拨款收入3620.59万元，政府性基金预算财政拨款收入0万元，国有资本经营预算财政拨款收入0万元，上级补助收入0万元，事业收入0万元，经营收入0万元，附属单位上缴收入0万元，其他收入0万元。2024年本部门支出总额为3620.59万元，其中：基本支出为1059.19万元，项目支出2561.40万元。与上年预算2</w:t>
      </w:r>
      <w:r>
        <w:rPr>
          <w:rFonts w:ascii="仿宋" w:hAnsi="仿宋" w:eastAsia="仿宋"/>
          <w:sz w:val="32"/>
          <w:szCs w:val="32"/>
        </w:rPr>
        <w:t>726.58</w:t>
      </w:r>
      <w:r>
        <w:rPr>
          <w:rFonts w:hint="eastAsia" w:ascii="仿宋" w:hAnsi="仿宋" w:eastAsia="仿宋"/>
          <w:sz w:val="32"/>
          <w:szCs w:val="32"/>
        </w:rPr>
        <w:t>万元相比，增加8</w:t>
      </w:r>
      <w:r>
        <w:rPr>
          <w:rFonts w:ascii="仿宋" w:hAnsi="仿宋" w:eastAsia="仿宋"/>
          <w:sz w:val="32"/>
          <w:szCs w:val="32"/>
        </w:rPr>
        <w:t>94.01</w:t>
      </w:r>
      <w:r>
        <w:rPr>
          <w:rFonts w:hint="eastAsia" w:ascii="仿宋" w:hAnsi="仿宋" w:eastAsia="仿宋"/>
          <w:sz w:val="32"/>
          <w:szCs w:val="32"/>
        </w:rPr>
        <w:t>万元，偏差原因：省级专项资金。资金到位率100%,执行率100%。</w:t>
      </w:r>
    </w:p>
    <w:p w14:paraId="5B7D9332">
      <w:pPr>
        <w:widowControl/>
        <w:ind w:firstLine="640" w:firstLineChars="200"/>
        <w:rPr>
          <w:rFonts w:ascii="仿宋" w:hAnsi="仿宋" w:eastAsia="仿宋"/>
          <w:sz w:val="32"/>
          <w:szCs w:val="32"/>
        </w:rPr>
      </w:pPr>
      <w:r>
        <w:rPr>
          <w:rFonts w:hint="eastAsia" w:ascii="仿宋" w:hAnsi="仿宋" w:eastAsia="仿宋"/>
          <w:sz w:val="32"/>
          <w:szCs w:val="32"/>
        </w:rPr>
        <w:t>1、完善制度。积极推动单位内部控制建设，进一步完善了《县发改局政府采购内部控制制度》、《局机关财务管理制度》、《局机关考勤制度》、《行政工作问责制度》等工作制度。</w:t>
      </w:r>
    </w:p>
    <w:p w14:paraId="5EE9D59C">
      <w:pPr>
        <w:widowControl/>
        <w:spacing w:line="600" w:lineRule="exact"/>
        <w:ind w:firstLine="640" w:firstLineChars="200"/>
        <w:rPr>
          <w:rFonts w:ascii="仿宋" w:hAnsi="仿宋" w:eastAsia="仿宋"/>
          <w:sz w:val="32"/>
          <w:szCs w:val="32"/>
        </w:rPr>
      </w:pPr>
      <w:r>
        <w:rPr>
          <w:rFonts w:hint="eastAsia" w:ascii="仿宋" w:hAnsi="仿宋" w:eastAsia="仿宋"/>
          <w:sz w:val="32"/>
          <w:szCs w:val="32"/>
        </w:rPr>
        <w:t>2、严控支出。我局严格执行财务预算和财务管理制度，各类经费控制有序；全年所有支出无挤占挪用项目资金情况，均控制在预算和调整预算数范围之内。</w:t>
      </w:r>
    </w:p>
    <w:p w14:paraId="44A39934">
      <w:pPr>
        <w:widowControl/>
        <w:spacing w:line="600" w:lineRule="exact"/>
        <w:ind w:firstLine="640" w:firstLineChars="200"/>
        <w:rPr>
          <w:rFonts w:ascii="仿宋" w:hAnsi="仿宋" w:eastAsia="仿宋"/>
          <w:sz w:val="32"/>
          <w:szCs w:val="32"/>
        </w:rPr>
      </w:pPr>
      <w:r>
        <w:rPr>
          <w:rFonts w:hint="eastAsia" w:ascii="仿宋" w:hAnsi="仿宋" w:eastAsia="仿宋"/>
          <w:sz w:val="32"/>
          <w:szCs w:val="32"/>
        </w:rPr>
        <w:t>3、规范管理。对于经费支出，明确审批权限，严格按照审批制度执行，坚决实行报账审批“一支笔”，重大开支经局党组集体研究；办公用品、设备购置及购买服务等一律按要求履行政府采购程序，在电子卖场统一采购；会议费、差旅费、培训费和“三公经费”按相关文件规定执行。加强监督检查，做好机关财务自查自审，发现问题及时制定措施进行整改。积极推进局机关经费公开，自觉接受监督。我局按照要求在政府门户网站及时公开部门预、决算和“三公经费”支出情况，做到了公开透明。</w:t>
      </w:r>
    </w:p>
    <w:p w14:paraId="15C78752">
      <w:pPr>
        <w:ind w:left="640"/>
        <w:jc w:val="left"/>
        <w:rPr>
          <w:rFonts w:ascii="仿宋" w:hAnsi="仿宋" w:eastAsia="仿宋"/>
          <w:sz w:val="32"/>
          <w:szCs w:val="32"/>
        </w:rPr>
      </w:pPr>
      <w:r>
        <w:rPr>
          <w:rFonts w:hint="eastAsia" w:ascii="仿宋" w:hAnsi="仿宋" w:eastAsia="仿宋"/>
          <w:sz w:val="32"/>
          <w:szCs w:val="32"/>
        </w:rPr>
        <w:t>（二）部门预算执行情况</w:t>
      </w:r>
    </w:p>
    <w:p w14:paraId="632BF120">
      <w:pPr>
        <w:ind w:firstLine="640" w:firstLineChars="200"/>
        <w:jc w:val="left"/>
        <w:rPr>
          <w:rFonts w:ascii="仿宋" w:hAnsi="仿宋" w:eastAsia="仿宋"/>
          <w:sz w:val="32"/>
          <w:szCs w:val="32"/>
        </w:rPr>
      </w:pPr>
      <w:r>
        <w:rPr>
          <w:rFonts w:hint="eastAsia" w:ascii="仿宋" w:hAnsi="仿宋" w:eastAsia="仿宋"/>
          <w:sz w:val="32"/>
          <w:szCs w:val="32"/>
        </w:rPr>
        <w:t>1、基本支出情况</w:t>
      </w:r>
    </w:p>
    <w:p w14:paraId="468288BF">
      <w:pPr>
        <w:ind w:firstLine="640" w:firstLineChars="200"/>
        <w:jc w:val="left"/>
        <w:rPr>
          <w:rFonts w:ascii="仿宋" w:hAnsi="仿宋" w:eastAsia="仿宋"/>
          <w:sz w:val="32"/>
          <w:szCs w:val="32"/>
        </w:rPr>
      </w:pPr>
      <w:r>
        <w:rPr>
          <w:rFonts w:hint="eastAsia" w:ascii="仿宋" w:hAnsi="仿宋" w:eastAsia="仿宋"/>
          <w:sz w:val="32"/>
          <w:szCs w:val="32"/>
        </w:rPr>
        <w:t>2024年度本部门基本支出1059.19万元，占总支出的29.25%。其中：工资福利支出814.76万元，主要用于基本工资、津贴补贴、奖金、伙食补助费、机关事业单位基本医疗保险缴费、其他社会保障费、住房公积金等支出;商品和服务支出137.26万元，主要用于办公费、印刷费、咨询费、维修费、差旅费、其他交通费用、扶贫点支出等；对个人家庭补助支出107.17万元，主要用于抚恤金和遗属的生活补助和独生子女奖励金等支出。</w:t>
      </w:r>
    </w:p>
    <w:p w14:paraId="779DEC76">
      <w:pPr>
        <w:widowControl/>
        <w:numPr>
          <w:ilvl w:val="0"/>
          <w:numId w:val="2"/>
        </w:numPr>
        <w:spacing w:line="600" w:lineRule="exact"/>
        <w:ind w:firstLine="640" w:firstLineChars="200"/>
        <w:rPr>
          <w:rFonts w:ascii="仿宋" w:hAnsi="仿宋" w:eastAsia="仿宋"/>
          <w:sz w:val="32"/>
          <w:szCs w:val="32"/>
        </w:rPr>
      </w:pPr>
      <w:r>
        <w:rPr>
          <w:rFonts w:hint="eastAsia" w:ascii="仿宋" w:hAnsi="仿宋" w:eastAsia="仿宋"/>
          <w:sz w:val="32"/>
          <w:szCs w:val="32"/>
        </w:rPr>
        <w:t>项目支出情况</w:t>
      </w:r>
    </w:p>
    <w:p w14:paraId="20CEA52B">
      <w:pPr>
        <w:widowControl/>
        <w:spacing w:line="600" w:lineRule="exact"/>
        <w:ind w:firstLine="640" w:firstLineChars="200"/>
        <w:rPr>
          <w:rFonts w:ascii="仿宋" w:hAnsi="仿宋" w:eastAsia="仿宋"/>
          <w:sz w:val="32"/>
          <w:szCs w:val="32"/>
        </w:rPr>
      </w:pPr>
      <w:r>
        <w:rPr>
          <w:rFonts w:hint="eastAsia" w:ascii="仿宋" w:hAnsi="仿宋" w:eastAsia="仿宋"/>
          <w:sz w:val="32"/>
          <w:szCs w:val="32"/>
        </w:rPr>
        <w:t>2024年本部门项目支出2561.40万元，占总支出的70.75%。其中包含：储备粮项目支出213.93万元；项目前期工作经费支出790.58万元，溆浦仲夏区域生态产品价值实现项目364.75万元，2022年以工代赈项目支出492.73万元，应急成品粮52.8万元等。在项目的实施中，根据财政专项资金管理制度和财务管理办法，实行专款专用，严格执行报账程序，严格控制项目支出，发挥资金的最大效益，确保预期目标如期完成，没有资金违规使用情况。</w:t>
      </w:r>
    </w:p>
    <w:p w14:paraId="5EDDB0C2">
      <w:pPr>
        <w:widowControl/>
        <w:spacing w:line="600" w:lineRule="exact"/>
        <w:ind w:firstLine="640" w:firstLineChars="200"/>
        <w:rPr>
          <w:rFonts w:ascii="仿宋" w:hAnsi="仿宋" w:eastAsia="仿宋"/>
          <w:sz w:val="32"/>
          <w:szCs w:val="32"/>
        </w:rPr>
      </w:pPr>
      <w:r>
        <w:rPr>
          <w:rFonts w:hint="eastAsia" w:ascii="仿宋" w:hAnsi="仿宋" w:eastAsia="仿宋"/>
          <w:sz w:val="32"/>
          <w:szCs w:val="32"/>
        </w:rPr>
        <w:t>（三）“三公”经费使用情况</w:t>
      </w:r>
    </w:p>
    <w:p w14:paraId="39CB0F59">
      <w:pPr>
        <w:widowControl/>
        <w:ind w:firstLine="640" w:firstLineChars="200"/>
        <w:rPr>
          <w:rFonts w:ascii="仿宋" w:hAnsi="仿宋" w:eastAsia="仿宋"/>
          <w:sz w:val="32"/>
          <w:szCs w:val="32"/>
        </w:rPr>
      </w:pPr>
      <w:r>
        <w:rPr>
          <w:rFonts w:hint="eastAsia" w:ascii="仿宋" w:hAnsi="仿宋" w:eastAsia="仿宋"/>
          <w:sz w:val="32"/>
          <w:szCs w:val="32"/>
        </w:rPr>
        <w:t>2024年“三公经费”列支明细：公车运行费为0万元，主要是没有公务车辆；公务接待费2.45万元（其中：基本支出0.37万元，项目支出2.08万元），无因公出国（境）费，所有支出均很好的控制在预算范围之内，确保资金使用的合规合理。</w:t>
      </w:r>
    </w:p>
    <w:p w14:paraId="50839E4C">
      <w:pPr>
        <w:pStyle w:val="3"/>
        <w:ind w:left="640" w:leftChars="0" w:right="1470"/>
        <w:rPr>
          <w:rFonts w:ascii="仿宋" w:hAnsi="仿宋" w:eastAsia="仿宋"/>
          <w:sz w:val="32"/>
          <w:szCs w:val="32"/>
        </w:rPr>
      </w:pPr>
      <w:r>
        <w:rPr>
          <w:rFonts w:hint="eastAsia" w:ascii="仿宋" w:hAnsi="仿宋" w:eastAsia="仿宋"/>
          <w:sz w:val="32"/>
          <w:szCs w:val="32"/>
        </w:rPr>
        <w:t>三、政府性基金预算支出情况</w:t>
      </w:r>
    </w:p>
    <w:p w14:paraId="468BE000">
      <w:pPr>
        <w:pStyle w:val="3"/>
        <w:ind w:left="640" w:leftChars="0" w:right="1470"/>
        <w:rPr>
          <w:rFonts w:ascii="仿宋" w:hAnsi="仿宋" w:eastAsia="仿宋"/>
          <w:spacing w:val="-11"/>
          <w:sz w:val="32"/>
          <w:szCs w:val="32"/>
        </w:rPr>
      </w:pPr>
      <w:r>
        <w:rPr>
          <w:rFonts w:hint="eastAsia" w:ascii="仿宋" w:hAnsi="仿宋" w:eastAsia="仿宋"/>
          <w:spacing w:val="-11"/>
          <w:sz w:val="32"/>
          <w:szCs w:val="32"/>
        </w:rPr>
        <w:t>政府性基金预算支出为无。</w:t>
      </w:r>
    </w:p>
    <w:p w14:paraId="74762EAC">
      <w:pPr>
        <w:pStyle w:val="3"/>
        <w:ind w:left="640" w:leftChars="0" w:right="1470"/>
        <w:rPr>
          <w:rFonts w:ascii="仿宋" w:hAnsi="仿宋" w:eastAsia="仿宋"/>
          <w:sz w:val="32"/>
          <w:szCs w:val="32"/>
        </w:rPr>
      </w:pPr>
      <w:r>
        <w:rPr>
          <w:rFonts w:hint="eastAsia" w:ascii="仿宋" w:hAnsi="仿宋" w:eastAsia="仿宋"/>
          <w:sz w:val="32"/>
          <w:szCs w:val="32"/>
        </w:rPr>
        <w:t>四、国有资本经营预算支出情况</w:t>
      </w:r>
    </w:p>
    <w:p w14:paraId="58B674F5">
      <w:pPr>
        <w:pStyle w:val="3"/>
        <w:ind w:left="640" w:leftChars="0" w:right="1470"/>
        <w:rPr>
          <w:rFonts w:ascii="仿宋" w:hAnsi="仿宋" w:eastAsia="仿宋"/>
          <w:spacing w:val="-11"/>
          <w:sz w:val="32"/>
          <w:szCs w:val="32"/>
        </w:rPr>
      </w:pPr>
      <w:r>
        <w:rPr>
          <w:rFonts w:hint="eastAsia" w:ascii="仿宋" w:hAnsi="仿宋" w:eastAsia="仿宋"/>
          <w:spacing w:val="-11"/>
          <w:sz w:val="32"/>
          <w:szCs w:val="32"/>
        </w:rPr>
        <w:t>国有资本经营预算支出为无。</w:t>
      </w:r>
    </w:p>
    <w:p w14:paraId="524CD9B4">
      <w:pPr>
        <w:pStyle w:val="10"/>
        <w:widowControl/>
        <w:numPr>
          <w:ilvl w:val="0"/>
          <w:numId w:val="3"/>
        </w:numPr>
        <w:spacing w:line="600" w:lineRule="exact"/>
        <w:ind w:firstLineChars="0"/>
        <w:rPr>
          <w:rFonts w:ascii="仿宋" w:hAnsi="仿宋" w:eastAsia="仿宋"/>
          <w:sz w:val="32"/>
          <w:szCs w:val="32"/>
        </w:rPr>
      </w:pPr>
      <w:r>
        <w:rPr>
          <w:rFonts w:hint="eastAsia" w:ascii="仿宋" w:hAnsi="仿宋" w:eastAsia="仿宋"/>
          <w:sz w:val="32"/>
          <w:szCs w:val="32"/>
        </w:rPr>
        <w:t>社会保险基金预算支出情况</w:t>
      </w:r>
    </w:p>
    <w:p w14:paraId="2F3951A6">
      <w:pPr>
        <w:pStyle w:val="3"/>
        <w:ind w:left="0" w:leftChars="0" w:right="1470" w:firstLine="596" w:firstLineChars="200"/>
        <w:rPr>
          <w:rFonts w:ascii="仿宋" w:hAnsi="仿宋" w:eastAsia="仿宋" w:cs="Times New Roman"/>
          <w:spacing w:val="-11"/>
          <w:sz w:val="32"/>
          <w:szCs w:val="32"/>
        </w:rPr>
      </w:pPr>
      <w:r>
        <w:rPr>
          <w:rFonts w:hint="eastAsia" w:ascii="仿宋" w:hAnsi="仿宋" w:eastAsia="仿宋"/>
          <w:spacing w:val="-11"/>
          <w:sz w:val="32"/>
          <w:szCs w:val="32"/>
        </w:rPr>
        <w:t>社会保险基金预算支出</w:t>
      </w:r>
      <w:r>
        <w:rPr>
          <w:rFonts w:hint="eastAsia" w:ascii="仿宋" w:hAnsi="仿宋" w:eastAsia="仿宋"/>
          <w:spacing w:val="-11"/>
          <w:sz w:val="32"/>
          <w:szCs w:val="32"/>
          <w:lang w:eastAsia="zh-CN"/>
        </w:rPr>
        <w:t>为零</w:t>
      </w:r>
      <w:r>
        <w:rPr>
          <w:rFonts w:hint="eastAsia" w:ascii="仿宋" w:hAnsi="仿宋" w:eastAsia="仿宋"/>
          <w:spacing w:val="-11"/>
          <w:sz w:val="32"/>
          <w:szCs w:val="32"/>
        </w:rPr>
        <w:t>。</w:t>
      </w:r>
    </w:p>
    <w:p w14:paraId="2D0F13F1">
      <w:pPr>
        <w:widowControl/>
        <w:spacing w:line="600" w:lineRule="exact"/>
        <w:ind w:firstLine="640" w:firstLineChars="200"/>
        <w:rPr>
          <w:rFonts w:ascii="仿宋" w:hAnsi="仿宋" w:eastAsia="仿宋"/>
          <w:sz w:val="32"/>
          <w:szCs w:val="32"/>
        </w:rPr>
      </w:pPr>
      <w:r>
        <w:rPr>
          <w:rFonts w:hint="eastAsia" w:ascii="仿宋" w:hAnsi="仿宋" w:eastAsia="仿宋"/>
          <w:sz w:val="32"/>
          <w:szCs w:val="32"/>
        </w:rPr>
        <w:t>六、部门整体支出绩效情况</w:t>
      </w:r>
    </w:p>
    <w:p w14:paraId="6F7B810B">
      <w:pPr>
        <w:widowControl/>
        <w:spacing w:before="100" w:beforeAutospacing="1" w:after="100" w:afterAutospacing="1"/>
        <w:ind w:firstLine="640" w:firstLineChars="200"/>
        <w:jc w:val="left"/>
        <w:outlineLvl w:val="1"/>
        <w:rPr>
          <w:rFonts w:ascii="仿宋" w:hAnsi="仿宋" w:eastAsia="仿宋" w:cs="Segoe UI"/>
          <w:color w:val="000000" w:themeColor="text1"/>
          <w:kern w:val="0"/>
          <w:sz w:val="32"/>
          <w:szCs w:val="32"/>
        </w:rPr>
      </w:pPr>
      <w:r>
        <w:rPr>
          <w:rFonts w:hint="eastAsia" w:ascii="仿宋" w:hAnsi="仿宋" w:eastAsia="仿宋" w:cs="Segoe UI"/>
          <w:color w:val="000000" w:themeColor="text1"/>
          <w:kern w:val="0"/>
          <w:sz w:val="32"/>
          <w:szCs w:val="32"/>
        </w:rPr>
        <w:t>（一）自评得分：自评得分94分，评价等级为优秀。</w:t>
      </w:r>
    </w:p>
    <w:p w14:paraId="02B827EA">
      <w:pPr>
        <w:widowControl/>
        <w:spacing w:before="100" w:beforeAutospacing="1" w:after="100" w:afterAutospacing="1"/>
        <w:ind w:firstLine="640" w:firstLineChars="200"/>
        <w:jc w:val="left"/>
        <w:outlineLvl w:val="1"/>
        <w:rPr>
          <w:rFonts w:ascii="仿宋" w:hAnsi="仿宋" w:eastAsia="仿宋" w:cs="Segoe UI"/>
          <w:color w:val="000000" w:themeColor="text1"/>
          <w:kern w:val="0"/>
          <w:sz w:val="32"/>
          <w:szCs w:val="32"/>
        </w:rPr>
      </w:pPr>
      <w:bookmarkStart w:id="2" w:name="_Hlk197417559"/>
      <w:r>
        <w:rPr>
          <w:rFonts w:hint="eastAsia" w:ascii="仿宋" w:hAnsi="仿宋" w:eastAsia="仿宋" w:cs="Segoe UI"/>
          <w:color w:val="000000" w:themeColor="text1"/>
          <w:kern w:val="0"/>
          <w:sz w:val="32"/>
          <w:szCs w:val="32"/>
        </w:rPr>
        <w:t>（二）</w:t>
      </w:r>
      <w:bookmarkEnd w:id="2"/>
      <w:r>
        <w:rPr>
          <w:rFonts w:hint="eastAsia" w:ascii="仿宋" w:hAnsi="仿宋" w:eastAsia="仿宋" w:cs="Segoe UI"/>
          <w:color w:val="000000" w:themeColor="text1"/>
          <w:kern w:val="0"/>
          <w:sz w:val="32"/>
          <w:szCs w:val="32"/>
        </w:rPr>
        <w:t>评价指标分析</w:t>
      </w:r>
    </w:p>
    <w:p w14:paraId="02E57D4E">
      <w:pPr>
        <w:pStyle w:val="2"/>
        <w:rPr>
          <w:rFonts w:ascii="仿宋" w:hAnsi="仿宋" w:eastAsia="仿宋"/>
          <w:b w:val="0"/>
          <w:bCs w:val="0"/>
          <w:sz w:val="32"/>
          <w:szCs w:val="32"/>
        </w:rPr>
      </w:pPr>
    </w:p>
    <w:p w14:paraId="1F02410B">
      <w:pPr>
        <w:pStyle w:val="3"/>
        <w:spacing w:after="0" w:line="560" w:lineRule="exact"/>
        <w:ind w:left="0" w:leftChars="0" w:right="0" w:rightChars="0" w:firstLine="640" w:firstLineChars="200"/>
        <w:rPr>
          <w:rFonts w:ascii="仿宋" w:hAnsi="仿宋" w:eastAsia="仿宋" w:cs="仿宋_GB2312"/>
          <w:sz w:val="32"/>
          <w:szCs w:val="32"/>
        </w:rPr>
      </w:pPr>
      <w:r>
        <w:rPr>
          <w:rFonts w:hint="eastAsia" w:ascii="仿宋" w:hAnsi="仿宋" w:eastAsia="仿宋" w:cs="楷体_GB2312"/>
          <w:sz w:val="32"/>
          <w:szCs w:val="32"/>
        </w:rPr>
        <w:t>1.抓好宏观谋划工作。</w:t>
      </w:r>
      <w:r>
        <w:rPr>
          <w:rFonts w:hint="eastAsia" w:ascii="仿宋" w:hAnsi="仿宋" w:eastAsia="仿宋" w:cs="仿宋_GB2312"/>
          <w:kern w:val="0"/>
          <w:sz w:val="32"/>
          <w:szCs w:val="32"/>
        </w:rPr>
        <w:t>一是贯彻落实省市相关要求，组织开展“十五五”规划编制前期工作。通过收集基础资料、认真组织研究，积极组织上报我县希望纳入国、省、市“十五五”规划基本思路的“三个重大”事项。</w:t>
      </w:r>
      <w:r>
        <w:rPr>
          <w:rFonts w:hint="eastAsia" w:ascii="仿宋" w:hAnsi="仿宋" w:eastAsia="仿宋" w:cs="仿宋_GB2312"/>
          <w:kern w:val="0"/>
          <w:sz w:val="32"/>
          <w:szCs w:val="32"/>
          <w:lang w:eastAsia="zh-CN"/>
        </w:rPr>
        <w:t>截至目前</w:t>
      </w:r>
      <w:r>
        <w:rPr>
          <w:rFonts w:hint="eastAsia" w:ascii="仿宋" w:hAnsi="仿宋" w:eastAsia="仿宋" w:cs="仿宋_GB2312"/>
          <w:kern w:val="0"/>
          <w:sz w:val="32"/>
          <w:szCs w:val="32"/>
        </w:rPr>
        <w:t>，已纳入市“十五五”规划基本思路“重大改革举措”3项，“重大工程项目”6个。二是</w:t>
      </w:r>
      <w:r>
        <w:rPr>
          <w:rFonts w:hint="eastAsia" w:ascii="仿宋" w:hAnsi="仿宋" w:eastAsia="仿宋" w:cs="仿宋_GB2312"/>
          <w:sz w:val="32"/>
          <w:szCs w:val="32"/>
        </w:rPr>
        <w:t>围绕国家、省、市等重大工作安排，在认真调研、广泛论证的基础上，牵头组织完成《产业培塑行动实施方案》《改革攻坚行动实施方案》《区域共进行动实施方案》《溆浦县“两重”“两新”送解优专项实施方案》编制工作；组织开展了《溆浦县碳达峰实施方案》编制工作。</w:t>
      </w:r>
    </w:p>
    <w:p w14:paraId="62D6D57C">
      <w:pPr>
        <w:pStyle w:val="3"/>
        <w:spacing w:after="0" w:line="560" w:lineRule="exact"/>
        <w:ind w:left="0" w:leftChars="0" w:right="0" w:rightChars="0" w:firstLine="640" w:firstLineChars="200"/>
        <w:rPr>
          <w:rFonts w:ascii="仿宋" w:hAnsi="仿宋" w:eastAsia="仿宋" w:cs="仿宋_GB2312"/>
          <w:kern w:val="0"/>
          <w:sz w:val="32"/>
          <w:szCs w:val="32"/>
        </w:rPr>
      </w:pPr>
      <w:r>
        <w:rPr>
          <w:rFonts w:hint="eastAsia" w:ascii="仿宋" w:hAnsi="仿宋" w:eastAsia="仿宋" w:cs="楷体_GB2312"/>
          <w:sz w:val="32"/>
          <w:szCs w:val="32"/>
        </w:rPr>
        <w:t>2.积极做好争资争项。</w:t>
      </w:r>
      <w:r>
        <w:rPr>
          <w:rFonts w:hint="eastAsia" w:ascii="仿宋" w:hAnsi="仿宋" w:eastAsia="仿宋" w:cs="仿宋_GB2312"/>
          <w:sz w:val="32"/>
          <w:szCs w:val="32"/>
        </w:rPr>
        <w:t>抢抓上级政府稳投资各项政策机遇，积极向上申报项目资金。一是有效储备2024年中央预算内投资项目14个，已下达资金6个项目，到位资金0.41亿元。二是有效储备地方政府专项债券项目16个（两批次不含重复项目），已通过两部委审核项目12个，已发专项债券项目5个，到位债券4.40亿元；同时</w:t>
      </w:r>
      <w:r>
        <w:rPr>
          <w:rFonts w:hint="eastAsia" w:ascii="仿宋" w:hAnsi="仿宋" w:eastAsia="仿宋"/>
          <w:sz w:val="32"/>
          <w:szCs w:val="32"/>
        </w:rPr>
        <w:t>依据投向领域，结合我县</w:t>
      </w:r>
      <w:r>
        <w:rPr>
          <w:rFonts w:hint="eastAsia" w:ascii="仿宋" w:hAnsi="仿宋" w:eastAsia="仿宋" w:cs="仿宋_GB2312"/>
          <w:sz w:val="32"/>
          <w:szCs w:val="32"/>
        </w:rPr>
        <w:t>发展现状和财力可能</w:t>
      </w:r>
      <w:r>
        <w:rPr>
          <w:rFonts w:hint="eastAsia" w:ascii="仿宋" w:hAnsi="仿宋" w:eastAsia="仿宋"/>
          <w:sz w:val="32"/>
          <w:szCs w:val="32"/>
        </w:rPr>
        <w:t>，</w:t>
      </w:r>
      <w:r>
        <w:rPr>
          <w:rFonts w:hint="eastAsia" w:ascii="仿宋" w:hAnsi="仿宋" w:eastAsia="仿宋" w:cs="仿宋_GB2312"/>
          <w:sz w:val="32"/>
          <w:szCs w:val="32"/>
        </w:rPr>
        <w:t>按轻重缓急有序重点谋划</w:t>
      </w:r>
      <w:r>
        <w:rPr>
          <w:rFonts w:hint="eastAsia" w:ascii="仿宋" w:hAnsi="仿宋" w:eastAsia="仿宋"/>
          <w:sz w:val="32"/>
          <w:szCs w:val="32"/>
        </w:rPr>
        <w:t>2025年专项债券项目37个，总投资60.29亿元，专项债券需求44.42亿元。</w:t>
      </w:r>
      <w:r>
        <w:rPr>
          <w:rFonts w:hint="eastAsia" w:ascii="仿宋" w:hAnsi="仿宋" w:eastAsia="仿宋" w:cs="仿宋_GB2312"/>
          <w:sz w:val="32"/>
          <w:szCs w:val="32"/>
        </w:rPr>
        <w:t>三是有效储备超长期国债项目9个，已下达国债资金项目1个，到位国债资金0.25亿元。</w:t>
      </w:r>
    </w:p>
    <w:p w14:paraId="5CCE2A0C">
      <w:pPr>
        <w:pStyle w:val="3"/>
        <w:spacing w:after="0" w:line="560" w:lineRule="exact"/>
        <w:ind w:left="0" w:leftChars="0" w:right="0" w:rightChars="0" w:firstLine="640" w:firstLineChars="200"/>
        <w:rPr>
          <w:rFonts w:ascii="仿宋" w:hAnsi="仿宋" w:eastAsia="仿宋" w:cs="仿宋_GB2312"/>
          <w:kern w:val="0"/>
          <w:sz w:val="32"/>
          <w:szCs w:val="32"/>
        </w:rPr>
      </w:pPr>
      <w:r>
        <w:rPr>
          <w:rFonts w:hint="eastAsia" w:ascii="仿宋" w:hAnsi="仿宋" w:eastAsia="仿宋" w:cs="楷体_GB2312"/>
          <w:sz w:val="32"/>
          <w:szCs w:val="32"/>
        </w:rPr>
        <w:t>3.大力推进项目投资。</w:t>
      </w:r>
      <w:r>
        <w:rPr>
          <w:rFonts w:hint="eastAsia" w:ascii="仿宋" w:hAnsi="仿宋" w:eastAsia="仿宋" w:cs="仿宋_GB2312"/>
          <w:kern w:val="0"/>
          <w:sz w:val="32"/>
          <w:szCs w:val="32"/>
        </w:rPr>
        <w:t>2024年全年完成固定资产投资137.94亿元，与去年同期相比增加投资15.77亿元，增速12.9%，新开工项目入库100个，总投资128.7亿元。省、市重点项目分别完成年度投资计划的116.04%、102.6%。申报结转2025年省重点项目1个，为湖南鸿新新材料制造基地建设项目，总投资32.1亿元，年度计划投资8亿元；申报市重点项目24个，总投资95.89亿元，年度计划投资43.18亿元。</w:t>
      </w:r>
    </w:p>
    <w:p w14:paraId="5465D835">
      <w:pPr>
        <w:spacing w:line="560" w:lineRule="exact"/>
        <w:ind w:firstLine="640" w:firstLineChars="200"/>
        <w:rPr>
          <w:rFonts w:ascii="仿宋" w:hAnsi="仿宋" w:eastAsia="仿宋" w:cs="仿宋_GB2312"/>
          <w:kern w:val="0"/>
          <w:sz w:val="32"/>
          <w:szCs w:val="32"/>
        </w:rPr>
      </w:pPr>
      <w:r>
        <w:rPr>
          <w:rFonts w:hint="eastAsia" w:ascii="仿宋" w:hAnsi="仿宋" w:eastAsia="仿宋" w:cs="楷体_GB2312"/>
          <w:sz w:val="32"/>
          <w:szCs w:val="32"/>
        </w:rPr>
        <w:t>4.做好各项服务工作。</w:t>
      </w:r>
      <w:r>
        <w:rPr>
          <w:rFonts w:hint="eastAsia" w:ascii="仿宋" w:hAnsi="仿宋" w:eastAsia="仿宋" w:cs="仿宋_GB2312"/>
          <w:sz w:val="32"/>
          <w:szCs w:val="32"/>
        </w:rPr>
        <w:t>严格落实相关文件要求，做好项目审批，简化相关程序，提供优质服务，2024年共完成审批、核准、备案项目182个，项目概算审批9个。按职能依法依规做好了县域招投标工作的指导、协调和监管，制定《溆浦县2024年工程建设项目招投标突出问题专项整治工作实施方案》《关于开展2023年—2024年工程建设招投标领域突出问题专项整治行动的工作方案》，推进县域招投标领域突出问题专项整治工作，努力打造风清气正的招投标市场。组织开展了为期一个月“两重”“两新”的送解优专项行动，特邀专家面向企业深入解读相关国家资金项目政策。积极开展节能降碳工作，认真组织开展了2024年全国节能宣传周和全国低碳日活动，督导重点用能单位大盛建材有限公司按时完成能源审计工作。做好能源领域安全监管工作，</w:t>
      </w:r>
      <w:r>
        <w:rPr>
          <w:rFonts w:hint="eastAsia" w:ascii="仿宋" w:hAnsi="仿宋" w:eastAsia="仿宋" w:cs="仿宋_GB2312"/>
          <w:sz w:val="32"/>
          <w:szCs w:val="32"/>
          <w:lang w:eastAsia="zh-CN"/>
        </w:rPr>
        <w:t>截至目前</w:t>
      </w:r>
      <w:r>
        <w:rPr>
          <w:rFonts w:hint="eastAsia" w:ascii="仿宋" w:hAnsi="仿宋" w:eastAsia="仿宋" w:cs="仿宋_GB2312"/>
          <w:sz w:val="32"/>
          <w:szCs w:val="32"/>
        </w:rPr>
        <w:t>，我县能源领域未发生一起安全监管责任事故。全面落实《湖南省社会信用条例》，探索、推进完善县域内信用信息记录和共享，全面推广信用承诺制度，将承诺和履约信息纳入信用记录，切实推进“完善社会信用激励约束机制”要求，不断完善我县信用体系建设，助力“持续优化民营经济发展环境”。继续抓好信用核查、信用修复、信用分级分类监管工作，加强信用工作服务企业能力，做到“双公示”信息归集100%合规，完成企业信用修复27个。</w:t>
      </w:r>
    </w:p>
    <w:p w14:paraId="53430A70">
      <w:pPr>
        <w:pStyle w:val="3"/>
        <w:spacing w:after="0" w:line="560" w:lineRule="exact"/>
        <w:ind w:left="0" w:leftChars="0" w:right="0" w:rightChars="0" w:firstLine="640" w:firstLineChars="200"/>
        <w:rPr>
          <w:rFonts w:ascii="仿宋" w:hAnsi="仿宋" w:eastAsia="仿宋" w:cs="仿宋_GB2312"/>
          <w:kern w:val="0"/>
          <w:sz w:val="32"/>
          <w:szCs w:val="32"/>
        </w:rPr>
      </w:pPr>
      <w:r>
        <w:rPr>
          <w:rFonts w:hint="eastAsia" w:ascii="仿宋" w:hAnsi="仿宋" w:eastAsia="仿宋" w:cs="楷体_GB2312"/>
          <w:sz w:val="32"/>
          <w:szCs w:val="32"/>
        </w:rPr>
        <w:t>5.扎实开展价格管理。</w:t>
      </w:r>
      <w:r>
        <w:rPr>
          <w:rFonts w:hint="eastAsia" w:ascii="仿宋" w:hAnsi="仿宋" w:eastAsia="仿宋" w:cs="仿宋_GB2312"/>
          <w:sz w:val="32"/>
          <w:szCs w:val="32"/>
        </w:rPr>
        <w:t>持续推进农业水价综合改革工作。完成了日常定价、收费、核价等价格管理工作。扎实开展常规农产品成本调查工作，多次代表湖南省、怀化市参加全国、全省农产品数据交叉审核工作，得到上级领导的认可和好评。完成成本监审和价格监测各项工作，溆浦县低庄农产品成本联合调查站正式揭牌。价格认定工作稳健开展，完成了对2022—2023年存量案卷入库工作，2024年以来的业务全部网上办理；2024年以来共开展司法机关涉案物价格认定140件，行政执法部门标的物询价8件。</w:t>
      </w:r>
    </w:p>
    <w:p w14:paraId="0A53CA83">
      <w:pPr>
        <w:pStyle w:val="3"/>
        <w:spacing w:after="0" w:line="560" w:lineRule="exact"/>
        <w:ind w:left="0" w:leftChars="0" w:right="0" w:rightChars="0" w:firstLine="640" w:firstLineChars="200"/>
        <w:rPr>
          <w:rFonts w:ascii="仿宋" w:hAnsi="仿宋" w:eastAsia="仿宋" w:cs="仿宋_GB2312"/>
          <w:sz w:val="32"/>
          <w:szCs w:val="32"/>
        </w:rPr>
      </w:pPr>
      <w:r>
        <w:rPr>
          <w:rFonts w:hint="eastAsia" w:ascii="仿宋" w:hAnsi="仿宋" w:eastAsia="仿宋" w:cs="楷体_GB2312"/>
          <w:sz w:val="32"/>
          <w:szCs w:val="32"/>
        </w:rPr>
        <w:t>6.扎实做好粮食工作。</w:t>
      </w:r>
      <w:r>
        <w:rPr>
          <w:rFonts w:hint="eastAsia" w:ascii="仿宋" w:hAnsi="仿宋" w:eastAsia="仿宋" w:cs="仿宋_GB2312"/>
          <w:sz w:val="32"/>
          <w:szCs w:val="32"/>
        </w:rPr>
        <w:t>积极开展粮食流通监督检查工作，配合省市主管部门开展全省政策性粮食库存专项督查检查2次，督促整改问题5个。组织开展地方储备粮巡查10次、安全储粮和安全生产检查5次、政策性粮食销售出库监督检查5次。完成储备粮轮换出库任务5500吨，其中省级储备粮3500吨、县级储备粮2000吨，出库轮换粮食全部通过湖南粮食中心批发市场公开竞价销售，</w:t>
      </w:r>
      <w:r>
        <w:rPr>
          <w:rFonts w:hint="eastAsia" w:ascii="仿宋" w:hAnsi="仿宋" w:eastAsia="仿宋"/>
          <w:sz w:val="32"/>
          <w:szCs w:val="32"/>
        </w:rPr>
        <w:t>县储粮</w:t>
      </w:r>
      <w:r>
        <w:rPr>
          <w:rFonts w:hint="eastAsia" w:ascii="仿宋" w:hAnsi="仿宋" w:eastAsia="仿宋" w:cs="仿宋_GB2312"/>
          <w:sz w:val="32"/>
          <w:szCs w:val="32"/>
        </w:rPr>
        <w:t>全部</w:t>
      </w:r>
      <w:r>
        <w:rPr>
          <w:rFonts w:hint="eastAsia" w:ascii="仿宋" w:hAnsi="仿宋" w:eastAsia="仿宋"/>
          <w:sz w:val="32"/>
          <w:szCs w:val="32"/>
        </w:rPr>
        <w:t>从本地粮源收购，</w:t>
      </w:r>
      <w:r>
        <w:rPr>
          <w:rFonts w:hint="eastAsia" w:ascii="仿宋" w:hAnsi="仿宋" w:eastAsia="仿宋" w:cs="仿宋_GB2312"/>
          <w:sz w:val="32"/>
          <w:szCs w:val="32"/>
        </w:rPr>
        <w:t>数量真实、质量良好、储存安全。完成P07仓临储粮1.66吨定向销售成交出库工作。按照“政府主导、部门监管、企业运作”的方式将应急成品粮储备交由溆浦绿之然农业发展有限公司等3家规模以上符合储备条件的粮油企业代储，确保应急成品粮数量、质量安全，做到库存账实相符，账账相符。</w:t>
      </w:r>
    </w:p>
    <w:p w14:paraId="5AEEFB89">
      <w:pPr>
        <w:pStyle w:val="3"/>
        <w:spacing w:after="0" w:line="560" w:lineRule="exact"/>
        <w:ind w:left="0" w:leftChars="0" w:right="0" w:rightChars="0" w:firstLine="640" w:firstLineChars="200"/>
        <w:rPr>
          <w:rFonts w:ascii="仿宋" w:hAnsi="仿宋" w:eastAsia="仿宋" w:cs="仿宋_GB2312"/>
          <w:sz w:val="32"/>
          <w:szCs w:val="32"/>
        </w:rPr>
      </w:pPr>
      <w:r>
        <w:rPr>
          <w:rFonts w:hint="eastAsia" w:ascii="仿宋" w:hAnsi="仿宋" w:eastAsia="仿宋" w:cs="楷体_GB2312"/>
          <w:sz w:val="32"/>
          <w:szCs w:val="32"/>
        </w:rPr>
        <w:t>7.稳步推进易迁后扶。</w:t>
      </w:r>
      <w:r>
        <w:rPr>
          <w:rFonts w:hint="eastAsia" w:ascii="仿宋" w:hAnsi="仿宋" w:eastAsia="仿宋" w:cs="仿宋_GB2312"/>
          <w:sz w:val="32"/>
          <w:szCs w:val="32"/>
        </w:rPr>
        <w:t>继续推进溆浦县高质量推进易地扶贫搬迁后续扶持“安心工程”专项行动，实现99个集中安置区定点帮扶全覆盖，让全县5236户20806名易地搬迁群众“安身”更“安心”。开展劳务协作转移就业，确保全县有劳动能力且有就业意愿的搬迁家庭至少有1人实现稳定就业，</w:t>
      </w:r>
      <w:r>
        <w:rPr>
          <w:rFonts w:hint="eastAsia" w:ascii="仿宋" w:hAnsi="仿宋" w:eastAsia="仿宋" w:cs="仿宋_GB2312"/>
          <w:sz w:val="32"/>
          <w:szCs w:val="32"/>
          <w:shd w:val="clear" w:color="auto" w:fill="FFFFFF"/>
        </w:rPr>
        <w:t>每个安置区实现“零就业”家庭清零</w:t>
      </w:r>
      <w:r>
        <w:rPr>
          <w:rFonts w:hint="eastAsia" w:ascii="仿宋" w:hAnsi="仿宋" w:eastAsia="仿宋" w:cs="仿宋_GB2312"/>
          <w:sz w:val="32"/>
          <w:szCs w:val="32"/>
        </w:rPr>
        <w:t>；创新创业提升就业，加大对易地扶贫搬迁创业带头人的创业培训力度，目前完成培训任务197人；开展乡村公益性岗位兜底就业，今年已开发乡村公益性岗位1498个；持续推进就业帮扶车间建设，2024年全县累计有就业帮扶车间86家，吸纳劳动力3100余人，其中脱贫劳动力861人，人均年增收2万元左右，基本实现“挣钱、顾家”两不误。加强防返贫动态监测，易地搬迁户中监测对象，未发生一户一人返贫现象。围绕完善易迁安置点基础设施和群众就业增收规划包装项目，目前已储备包装上报省、市的示范工程中央预算内和中央财政以工代赈项目共5个。</w:t>
      </w:r>
    </w:p>
    <w:p w14:paraId="66B448F0">
      <w:pPr>
        <w:pStyle w:val="10"/>
        <w:ind w:left="640" w:firstLine="0" w:firstLineChars="0"/>
        <w:jc w:val="left"/>
        <w:rPr>
          <w:rFonts w:ascii="仿宋" w:hAnsi="仿宋" w:eastAsia="仿宋"/>
          <w:sz w:val="32"/>
          <w:szCs w:val="32"/>
        </w:rPr>
      </w:pPr>
      <w:r>
        <w:rPr>
          <w:rFonts w:hint="eastAsia" w:ascii="仿宋" w:hAnsi="仿宋" w:eastAsia="仿宋"/>
          <w:sz w:val="32"/>
          <w:szCs w:val="32"/>
        </w:rPr>
        <w:t>七、存在的主要问题</w:t>
      </w:r>
    </w:p>
    <w:p w14:paraId="696D4094">
      <w:pPr>
        <w:pStyle w:val="7"/>
        <w:shd w:val="clear" w:color="auto" w:fill="FFFFFF"/>
        <w:spacing w:before="0" w:beforeAutospacing="0" w:after="0" w:afterAutospacing="0" w:line="480" w:lineRule="auto"/>
        <w:ind w:firstLine="480"/>
        <w:jc w:val="both"/>
        <w:rPr>
          <w:rFonts w:ascii="仿宋" w:hAnsi="仿宋" w:eastAsia="仿宋" w:cs="仿宋"/>
          <w:color w:val="000000"/>
          <w:sz w:val="32"/>
          <w:szCs w:val="32"/>
        </w:rPr>
      </w:pPr>
      <w:r>
        <w:rPr>
          <w:rFonts w:hint="eastAsia" w:ascii="仿宋" w:hAnsi="仿宋" w:eastAsia="仿宋" w:cs="仿宋"/>
          <w:color w:val="000000"/>
          <w:sz w:val="32"/>
          <w:szCs w:val="32"/>
        </w:rPr>
        <w:t>通过前述对我单位整体支出情况的分析，反映出目前在整体支出的预算编制、执行和管理过程中，依然存在一些问题和不足：预算执行情况不是很好，资金难以及时拨付到位等。</w:t>
      </w:r>
    </w:p>
    <w:p w14:paraId="0F9A8068">
      <w:pPr>
        <w:pStyle w:val="10"/>
        <w:ind w:left="640" w:firstLine="0" w:firstLineChars="0"/>
        <w:jc w:val="left"/>
        <w:rPr>
          <w:rFonts w:ascii="仿宋" w:hAnsi="仿宋" w:eastAsia="仿宋"/>
          <w:sz w:val="32"/>
          <w:szCs w:val="32"/>
        </w:rPr>
      </w:pPr>
      <w:r>
        <w:rPr>
          <w:rFonts w:hint="eastAsia" w:ascii="仿宋" w:hAnsi="仿宋" w:eastAsia="仿宋"/>
          <w:sz w:val="32"/>
          <w:szCs w:val="32"/>
        </w:rPr>
        <w:t>八、改进措施和有关建议</w:t>
      </w:r>
    </w:p>
    <w:p w14:paraId="4CB74F49">
      <w:pPr>
        <w:pStyle w:val="7"/>
        <w:shd w:val="clear" w:color="auto" w:fill="FFFFFF"/>
        <w:spacing w:before="0" w:beforeAutospacing="0" w:after="0" w:afterAutospacing="0" w:line="480" w:lineRule="auto"/>
        <w:ind w:firstLine="640" w:firstLineChars="200"/>
        <w:jc w:val="both"/>
        <w:rPr>
          <w:rFonts w:ascii="仿宋" w:hAnsi="仿宋" w:eastAsia="仿宋" w:cs="仿宋"/>
          <w:sz w:val="32"/>
          <w:szCs w:val="32"/>
        </w:rPr>
      </w:pPr>
      <w:r>
        <w:rPr>
          <w:rFonts w:hint="eastAsia" w:ascii="仿宋" w:hAnsi="仿宋" w:eastAsia="仿宋" w:cs="仿宋"/>
          <w:sz w:val="32"/>
          <w:szCs w:val="32"/>
        </w:rPr>
        <w:t xml:space="preserve">1、规范财务管理。严格按照《会计法》、《政府财务制度》等规定，结合实际情况，严格执行单位经费支出制度，规范财务核算，严格控制，尽力避免超预算开支的情况发生。 </w:t>
      </w:r>
    </w:p>
    <w:p w14:paraId="5D1661A7">
      <w:pPr>
        <w:pStyle w:val="7"/>
        <w:shd w:val="clear" w:color="auto" w:fill="FFFFFF"/>
        <w:spacing w:before="0" w:beforeAutospacing="0" w:after="0" w:afterAutospacing="0" w:line="480" w:lineRule="auto"/>
        <w:ind w:firstLine="640" w:firstLineChars="200"/>
        <w:jc w:val="both"/>
        <w:rPr>
          <w:rFonts w:ascii="仿宋" w:hAnsi="仿宋" w:eastAsia="仿宋" w:cs="仿宋"/>
          <w:sz w:val="32"/>
          <w:szCs w:val="32"/>
        </w:rPr>
      </w:pPr>
      <w:r>
        <w:rPr>
          <w:rFonts w:hint="eastAsia" w:ascii="仿宋" w:hAnsi="仿宋" w:eastAsia="仿宋" w:cs="仿宋"/>
          <w:sz w:val="32"/>
          <w:szCs w:val="32"/>
        </w:rPr>
        <w:t>2、细化预算编制工作。进一步加强全局预算管理意识，严格按照预算编制的相关制度和要求，公用经费根据单位的年度工作重点和项目专项工作规划，本着“勤俭节约、保障运转”的原则进行预算的编制，进一步提高预算编制的科学性、合理性、严谨性和可控性。</w:t>
      </w:r>
    </w:p>
    <w:p w14:paraId="2FD4848B">
      <w:pPr>
        <w:pStyle w:val="7"/>
        <w:shd w:val="clear" w:color="auto" w:fill="FFFFFF"/>
        <w:spacing w:before="0" w:beforeAutospacing="0" w:after="0" w:afterAutospacing="0" w:line="480" w:lineRule="auto"/>
        <w:ind w:firstLine="640" w:firstLineChars="200"/>
        <w:jc w:val="both"/>
        <w:rPr>
          <w:rFonts w:ascii="仿宋" w:hAnsi="仿宋" w:eastAsia="仿宋" w:cs="仿宋"/>
          <w:sz w:val="32"/>
          <w:szCs w:val="32"/>
        </w:rPr>
      </w:pPr>
      <w:r>
        <w:rPr>
          <w:rFonts w:hint="eastAsia" w:ascii="仿宋" w:hAnsi="仿宋" w:eastAsia="仿宋" w:cs="仿宋"/>
          <w:sz w:val="32"/>
          <w:szCs w:val="32"/>
        </w:rPr>
        <w:t>3、预算绩效管理是是一项综合性很强的工作，也是一项技术水平要求比较高的工作。通过开展绩效评价工作，我们也发现了在资金管理中所存在的问题，以后将不断的改进和完善。但因本局财务人员的业务水平还有待提高，希望县财政局多组织业务培训，对我局多加强业务指导，促进我局不断提升预算管理水平。</w:t>
      </w:r>
    </w:p>
    <w:p w14:paraId="29D7E856">
      <w:pPr>
        <w:pStyle w:val="7"/>
        <w:shd w:val="clear" w:color="auto" w:fill="FFFFFF"/>
        <w:spacing w:before="0" w:beforeAutospacing="0" w:after="0" w:afterAutospacing="0" w:line="480" w:lineRule="auto"/>
        <w:ind w:firstLine="640" w:firstLineChars="200"/>
        <w:jc w:val="both"/>
        <w:rPr>
          <w:rFonts w:ascii="仿宋" w:hAnsi="仿宋" w:eastAsia="仿宋" w:cs="仿宋"/>
          <w:sz w:val="32"/>
          <w:szCs w:val="32"/>
        </w:rPr>
      </w:pPr>
      <w:r>
        <w:rPr>
          <w:rFonts w:hint="eastAsia" w:ascii="仿宋" w:hAnsi="仿宋" w:eastAsia="仿宋" w:cs="仿宋"/>
          <w:sz w:val="32"/>
          <w:szCs w:val="32"/>
        </w:rPr>
        <w:t>九、其他需要说明的情况</w:t>
      </w:r>
    </w:p>
    <w:p w14:paraId="4B7DD3BE">
      <w:pPr>
        <w:pStyle w:val="7"/>
        <w:shd w:val="clear" w:color="auto" w:fill="FFFFFF"/>
        <w:spacing w:before="0" w:beforeAutospacing="0" w:after="0" w:afterAutospacing="0" w:line="480" w:lineRule="auto"/>
        <w:ind w:firstLine="640" w:firstLineChars="200"/>
        <w:jc w:val="both"/>
        <w:rPr>
          <w:rFonts w:ascii="仿宋" w:hAnsi="仿宋" w:eastAsia="仿宋" w:cs="仿宋"/>
          <w:sz w:val="32"/>
          <w:szCs w:val="32"/>
        </w:rPr>
      </w:pPr>
      <w:r>
        <w:rPr>
          <w:rFonts w:hint="eastAsia" w:ascii="仿宋" w:hAnsi="仿宋" w:eastAsia="仿宋" w:cs="仿宋"/>
          <w:sz w:val="32"/>
          <w:szCs w:val="32"/>
        </w:rPr>
        <w:t>无</w:t>
      </w:r>
    </w:p>
    <w:p w14:paraId="78BFABE8">
      <w:pPr>
        <w:pStyle w:val="3"/>
        <w:ind w:left="1470" w:right="1470"/>
        <w:rPr>
          <w:rFonts w:ascii="仿宋" w:hAnsi="仿宋" w:eastAsia="仿宋"/>
          <w:sz w:val="32"/>
          <w:szCs w:val="32"/>
        </w:rPr>
      </w:pPr>
    </w:p>
    <w:p w14:paraId="22A267C3">
      <w:pPr>
        <w:widowControl/>
        <w:spacing w:line="600" w:lineRule="exact"/>
        <w:ind w:firstLine="640" w:firstLineChars="200"/>
        <w:rPr>
          <w:rFonts w:ascii="仿宋" w:hAnsi="仿宋" w:eastAsia="仿宋"/>
          <w:sz w:val="32"/>
          <w:szCs w:val="32"/>
        </w:rPr>
      </w:pPr>
    </w:p>
    <w:p w14:paraId="69CD4F53">
      <w:pPr>
        <w:ind w:firstLine="4640" w:firstLineChars="1450"/>
        <w:rPr>
          <w:rFonts w:ascii="仿宋" w:hAnsi="仿宋" w:eastAsia="仿宋"/>
          <w:sz w:val="32"/>
          <w:szCs w:val="32"/>
        </w:rPr>
      </w:pPr>
      <w:r>
        <w:rPr>
          <w:rFonts w:hint="eastAsia" w:ascii="仿宋" w:hAnsi="仿宋" w:eastAsia="仿宋"/>
          <w:sz w:val="32"/>
          <w:szCs w:val="32"/>
        </w:rPr>
        <w:t>溆浦县发展和改革局</w:t>
      </w:r>
    </w:p>
    <w:p w14:paraId="1177C97D">
      <w:pPr>
        <w:widowControl/>
        <w:spacing w:line="600" w:lineRule="exact"/>
        <w:rPr>
          <w:rFonts w:ascii="仿宋" w:hAnsi="仿宋" w:eastAsia="仿宋"/>
          <w:sz w:val="32"/>
          <w:szCs w:val="32"/>
        </w:rPr>
      </w:pPr>
      <w:r>
        <w:rPr>
          <w:rFonts w:hint="eastAsia" w:ascii="仿宋" w:hAnsi="仿宋" w:eastAsia="仿宋"/>
          <w:sz w:val="32"/>
          <w:szCs w:val="32"/>
        </w:rPr>
        <w:t xml:space="preserve">                               2025年5月20日 </w:t>
      </w:r>
    </w:p>
    <w:sectPr>
      <w:footerReference r:id="rId3" w:type="default"/>
      <w:pgSz w:w="11906" w:h="16838"/>
      <w:pgMar w:top="1985"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粗黑宋简体">
    <w:altName w:val="宋体"/>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55679">
    <w:pPr>
      <w:pStyle w:val="5"/>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90673959"/>
                          </w:sdtPr>
                          <w:sdtContent>
                            <w:p w14:paraId="4BD68B54">
                              <w:pPr>
                                <w:pStyle w:val="5"/>
                                <w:jc w:val="right"/>
                              </w:pPr>
                              <w:r>
                                <w:fldChar w:fldCharType="begin"/>
                              </w:r>
                              <w:r>
                                <w:instrText xml:space="preserve"> PAGE   \* MERGEFORMAT </w:instrText>
                              </w:r>
                              <w:r>
                                <w:fldChar w:fldCharType="separate"/>
                              </w:r>
                              <w:r>
                                <w:rPr>
                                  <w:lang w:val="zh-CN"/>
                                </w:rPr>
                                <w:t>8</w:t>
                              </w:r>
                              <w:r>
                                <w:rPr>
                                  <w:lang w:val="zh-CN"/>
                                </w:rPr>
                                <w:fldChar w:fldCharType="end"/>
                              </w:r>
                            </w:p>
                          </w:sdtContent>
                        </w:sdt>
                        <w:p w14:paraId="06E5AD47"/>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sdt>
                    <w:sdtPr>
                      <w:id w:val="90673959"/>
                    </w:sdtPr>
                    <w:sdtContent>
                      <w:p w14:paraId="4BD68B54">
                        <w:pPr>
                          <w:pStyle w:val="5"/>
                          <w:jc w:val="right"/>
                        </w:pPr>
                        <w:r>
                          <w:fldChar w:fldCharType="begin"/>
                        </w:r>
                        <w:r>
                          <w:instrText xml:space="preserve"> PAGE   \* MERGEFORMAT </w:instrText>
                        </w:r>
                        <w:r>
                          <w:fldChar w:fldCharType="separate"/>
                        </w:r>
                        <w:r>
                          <w:rPr>
                            <w:lang w:val="zh-CN"/>
                          </w:rPr>
                          <w:t>8</w:t>
                        </w:r>
                        <w:r>
                          <w:rPr>
                            <w:lang w:val="zh-CN"/>
                          </w:rPr>
                          <w:fldChar w:fldCharType="end"/>
                        </w:r>
                      </w:p>
                    </w:sdtContent>
                  </w:sdt>
                  <w:p w14:paraId="06E5AD47"/>
                </w:txbxContent>
              </v:textbox>
            </v:shape>
          </w:pict>
        </mc:Fallback>
      </mc:AlternateContent>
    </w:r>
  </w:p>
  <w:p w14:paraId="1B8620B3">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7F2331"/>
    <w:multiLevelType w:val="multilevel"/>
    <w:tmpl w:val="1A7F2331"/>
    <w:lvl w:ilvl="0" w:tentative="0">
      <w:start w:val="5"/>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1">
    <w:nsid w:val="21DF2766"/>
    <w:multiLevelType w:val="multilevel"/>
    <w:tmpl w:val="21DF2766"/>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79F27B05"/>
    <w:multiLevelType w:val="singleLevel"/>
    <w:tmpl w:val="79F27B05"/>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M3NWU5YjdiMzI5NjUyZmE4YzVkYmVjZjViMTk4NGYifQ=="/>
    <w:docVar w:name="KSO_WPS_MARK_KEY" w:val="96b705a6-0d22-406b-9ede-ae8383f17c35"/>
  </w:docVars>
  <w:rsids>
    <w:rsidRoot w:val="0004043B"/>
    <w:rsid w:val="00013570"/>
    <w:rsid w:val="00016754"/>
    <w:rsid w:val="0004043B"/>
    <w:rsid w:val="00062790"/>
    <w:rsid w:val="000777FA"/>
    <w:rsid w:val="000A4578"/>
    <w:rsid w:val="001719B5"/>
    <w:rsid w:val="00183B9C"/>
    <w:rsid w:val="001854A1"/>
    <w:rsid w:val="001A5060"/>
    <w:rsid w:val="001B13BD"/>
    <w:rsid w:val="001C0B50"/>
    <w:rsid w:val="0024501A"/>
    <w:rsid w:val="002820C3"/>
    <w:rsid w:val="002A7FA2"/>
    <w:rsid w:val="002E4ADA"/>
    <w:rsid w:val="002E6440"/>
    <w:rsid w:val="004051A9"/>
    <w:rsid w:val="004221D7"/>
    <w:rsid w:val="004246FC"/>
    <w:rsid w:val="00430E1A"/>
    <w:rsid w:val="004A21A9"/>
    <w:rsid w:val="004A7129"/>
    <w:rsid w:val="004B04A8"/>
    <w:rsid w:val="004B7E72"/>
    <w:rsid w:val="00585015"/>
    <w:rsid w:val="00621FDD"/>
    <w:rsid w:val="006B0C90"/>
    <w:rsid w:val="006B14B9"/>
    <w:rsid w:val="006E311E"/>
    <w:rsid w:val="006F0767"/>
    <w:rsid w:val="00734804"/>
    <w:rsid w:val="00784F50"/>
    <w:rsid w:val="0079121E"/>
    <w:rsid w:val="00814795"/>
    <w:rsid w:val="0084327E"/>
    <w:rsid w:val="008602B7"/>
    <w:rsid w:val="0089053E"/>
    <w:rsid w:val="008C03A6"/>
    <w:rsid w:val="00903E75"/>
    <w:rsid w:val="00925F6C"/>
    <w:rsid w:val="00961CAB"/>
    <w:rsid w:val="009A3C56"/>
    <w:rsid w:val="009B4BA4"/>
    <w:rsid w:val="009E7FE7"/>
    <w:rsid w:val="00A16DBB"/>
    <w:rsid w:val="00A60A91"/>
    <w:rsid w:val="00A94EC6"/>
    <w:rsid w:val="00AF50D5"/>
    <w:rsid w:val="00B24348"/>
    <w:rsid w:val="00BF03A9"/>
    <w:rsid w:val="00C3399D"/>
    <w:rsid w:val="00CA1458"/>
    <w:rsid w:val="00CE0DC0"/>
    <w:rsid w:val="00DB640E"/>
    <w:rsid w:val="00F018A2"/>
    <w:rsid w:val="00F321FF"/>
    <w:rsid w:val="00F365A0"/>
    <w:rsid w:val="00F41BFB"/>
    <w:rsid w:val="00F77374"/>
    <w:rsid w:val="00F7739B"/>
    <w:rsid w:val="02373EF3"/>
    <w:rsid w:val="05190587"/>
    <w:rsid w:val="05BB17D6"/>
    <w:rsid w:val="06FF6C62"/>
    <w:rsid w:val="075D0499"/>
    <w:rsid w:val="0C6C0C89"/>
    <w:rsid w:val="0CF04849"/>
    <w:rsid w:val="110C5C5E"/>
    <w:rsid w:val="163B18F1"/>
    <w:rsid w:val="16FC68D1"/>
    <w:rsid w:val="1905632E"/>
    <w:rsid w:val="192C797B"/>
    <w:rsid w:val="19AA3BAD"/>
    <w:rsid w:val="1A517878"/>
    <w:rsid w:val="1B223A0C"/>
    <w:rsid w:val="1D984CA4"/>
    <w:rsid w:val="25157DB0"/>
    <w:rsid w:val="2D881F53"/>
    <w:rsid w:val="2DB12034"/>
    <w:rsid w:val="2DC72FA8"/>
    <w:rsid w:val="2E3F51A2"/>
    <w:rsid w:val="2E7110F5"/>
    <w:rsid w:val="2FB605B3"/>
    <w:rsid w:val="309C7003"/>
    <w:rsid w:val="325239F6"/>
    <w:rsid w:val="336A1CF9"/>
    <w:rsid w:val="3BD01B51"/>
    <w:rsid w:val="3E7F08C6"/>
    <w:rsid w:val="40E02E08"/>
    <w:rsid w:val="40ED3216"/>
    <w:rsid w:val="41856F3A"/>
    <w:rsid w:val="45B11776"/>
    <w:rsid w:val="479F33C3"/>
    <w:rsid w:val="4C8B5483"/>
    <w:rsid w:val="4DDA6A40"/>
    <w:rsid w:val="4E192FCE"/>
    <w:rsid w:val="4F2D45D2"/>
    <w:rsid w:val="51755300"/>
    <w:rsid w:val="5306086D"/>
    <w:rsid w:val="588F3234"/>
    <w:rsid w:val="5AA77CFD"/>
    <w:rsid w:val="5CF178A0"/>
    <w:rsid w:val="5D7714F6"/>
    <w:rsid w:val="60BE1A48"/>
    <w:rsid w:val="617170F1"/>
    <w:rsid w:val="692B7621"/>
    <w:rsid w:val="6B54026B"/>
    <w:rsid w:val="6B96571C"/>
    <w:rsid w:val="6E0F17B6"/>
    <w:rsid w:val="6EAD461B"/>
    <w:rsid w:val="6F636FB7"/>
    <w:rsid w:val="758B795D"/>
    <w:rsid w:val="75911ECC"/>
    <w:rsid w:val="7A397506"/>
    <w:rsid w:val="7C0E04F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9"/>
    <w:pPr>
      <w:spacing w:before="100" w:beforeAutospacing="1" w:after="100" w:afterAutospacing="1"/>
      <w:jc w:val="left"/>
      <w:outlineLvl w:val="0"/>
    </w:pPr>
    <w:rPr>
      <w:rFonts w:ascii="宋体" w:hAnsi="宋体" w:cs="Times New Roman"/>
      <w:b/>
      <w:bCs/>
      <w:kern w:val="44"/>
      <w:sz w:val="48"/>
      <w:szCs w:val="48"/>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lock Text"/>
    <w:basedOn w:val="1"/>
    <w:unhideWhenUsed/>
    <w:qFormat/>
    <w:uiPriority w:val="99"/>
    <w:pPr>
      <w:spacing w:after="120"/>
      <w:ind w:left="1440" w:leftChars="700" w:right="1440" w:rightChars="700"/>
    </w:pPr>
    <w:rPr>
      <w:szCs w:val="24"/>
    </w:rPr>
  </w:style>
  <w:style w:type="paragraph" w:styleId="4">
    <w:name w:val="Balloon Text"/>
    <w:basedOn w:val="1"/>
    <w:link w:val="13"/>
    <w:semiHidden/>
    <w:unhideWhenUsed/>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List Paragraph"/>
    <w:basedOn w:val="1"/>
    <w:qFormat/>
    <w:uiPriority w:val="34"/>
    <w:pPr>
      <w:ind w:firstLine="420" w:firstLineChars="200"/>
    </w:p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character" w:customStyle="1" w:styleId="13">
    <w:name w:val="批注框文本 Char"/>
    <w:basedOn w:val="9"/>
    <w:link w:val="4"/>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ss</Company>
  <Pages>13</Pages>
  <Words>5926</Words>
  <Characters>6241</Characters>
  <Lines>3</Lines>
  <Paragraphs>12</Paragraphs>
  <TotalTime>39</TotalTime>
  <ScaleCrop>false</ScaleCrop>
  <LinksUpToDate>false</LinksUpToDate>
  <CharactersWithSpaces>6286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2020-06-11T08:06:00Z</dcterms:created>
  <dc:creator>Administrator</dc:creator>
  <cp:lastModifiedBy>敷衍</cp:lastModifiedBy>
  <cp:lastPrinted>2020-06-22T05:13:00Z</cp:lastPrinted>
  <dcterms:modified xsi:type="dcterms:W3CDTF">2026-09-09T02:14:05Z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F11FDF7D0CE2406CA6298FA4D1D13CF7_13</vt:lpwstr>
  </property>
  <property fmtid="{D5CDD505-2E9C-101B-9397-08002B2CF9AE}" pid="4" name="KSOTemplateDocerSaveRecord">
    <vt:lpwstr>eyJoZGlkIjoiNDc4MWVmYWJkZTllNTNiZWFiODgyNWFlMTkxMjZhM2MiLCJ1c2VySWQiOiI5NTkxMTI2OTEifQ==</vt:lpwstr>
  </property>
</Properties>
</file>