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5C30C">
      <w:pPr>
        <w:pStyle w:val="15"/>
        <w:jc w:val="center"/>
        <w:rPr>
          <w:sz w:val="56"/>
          <w:szCs w:val="56"/>
          <w:highlight w:val="none"/>
        </w:rPr>
      </w:pPr>
    </w:p>
    <w:p w14:paraId="749CB5C0">
      <w:pPr>
        <w:pStyle w:val="15"/>
        <w:jc w:val="center"/>
        <w:rPr>
          <w:sz w:val="56"/>
          <w:szCs w:val="56"/>
          <w:highlight w:val="none"/>
        </w:rPr>
      </w:pPr>
    </w:p>
    <w:p w14:paraId="43D73CE4">
      <w:pPr>
        <w:pStyle w:val="15"/>
        <w:jc w:val="center"/>
        <w:rPr>
          <w:sz w:val="84"/>
          <w:szCs w:val="84"/>
          <w:highlight w:val="none"/>
        </w:rPr>
      </w:pPr>
    </w:p>
    <w:p w14:paraId="30293852">
      <w:pPr>
        <w:pStyle w:val="15"/>
        <w:jc w:val="center"/>
        <w:rPr>
          <w:sz w:val="84"/>
          <w:szCs w:val="84"/>
          <w:highlight w:val="none"/>
        </w:rPr>
      </w:pPr>
    </w:p>
    <w:p w14:paraId="55B7A601">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lang w:eastAsia="zh-CN"/>
        </w:rPr>
        <w:t>2023</w:t>
      </w:r>
      <w:r>
        <w:rPr>
          <w:rFonts w:hint="eastAsia" w:ascii="方正小标宋_GBK" w:hAnsi="方正小标宋_GBK" w:eastAsia="方正小标宋_GBK" w:cs="方正小标宋_GBK"/>
          <w:sz w:val="84"/>
          <w:szCs w:val="84"/>
          <w:highlight w:val="none"/>
        </w:rPr>
        <w:t>年度</w:t>
      </w:r>
    </w:p>
    <w:p w14:paraId="22286F78">
      <w:pPr>
        <w:pStyle w:val="15"/>
        <w:jc w:val="center"/>
        <w:rPr>
          <w:rFonts w:hint="eastAsia" w:ascii="方正小标宋_GBK" w:hAnsi="方正小标宋_GBK" w:eastAsia="方正小标宋_GBK" w:cs="方正小标宋_GBK"/>
          <w:sz w:val="84"/>
          <w:szCs w:val="84"/>
          <w:highlight w:val="none"/>
          <w:lang w:eastAsia="zh-CN"/>
        </w:rPr>
      </w:pPr>
      <w:r>
        <w:rPr>
          <w:rFonts w:hint="eastAsia" w:ascii="方正小标宋_GBK" w:hAnsi="方正小标宋_GBK" w:eastAsia="方正小标宋_GBK" w:cs="方正小标宋_GBK"/>
          <w:sz w:val="84"/>
          <w:szCs w:val="84"/>
          <w:highlight w:val="none"/>
          <w:lang w:eastAsia="zh-CN"/>
        </w:rPr>
        <w:t>溆浦县发展和改革局</w:t>
      </w:r>
    </w:p>
    <w:p w14:paraId="2B992AC5">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w:t>
      </w:r>
    </w:p>
    <w:p w14:paraId="0624AB35">
      <w:pPr>
        <w:pStyle w:val="15"/>
        <w:jc w:val="center"/>
        <w:rPr>
          <w:rFonts w:hint="eastAsia" w:ascii="方正小标宋_GBK" w:hAnsi="方正小标宋_GBK" w:eastAsia="方正小标宋_GBK" w:cs="方正小标宋_GBK"/>
          <w:sz w:val="56"/>
          <w:szCs w:val="56"/>
          <w:highlight w:val="none"/>
        </w:rPr>
      </w:pPr>
    </w:p>
    <w:p w14:paraId="626AFF79">
      <w:pPr>
        <w:pStyle w:val="15"/>
        <w:jc w:val="center"/>
        <w:rPr>
          <w:sz w:val="56"/>
          <w:szCs w:val="56"/>
          <w:highlight w:val="none"/>
        </w:rPr>
      </w:pPr>
    </w:p>
    <w:p w14:paraId="7524E0A8">
      <w:pPr>
        <w:pStyle w:val="15"/>
        <w:jc w:val="center"/>
        <w:rPr>
          <w:sz w:val="56"/>
          <w:szCs w:val="56"/>
          <w:highlight w:val="none"/>
        </w:rPr>
      </w:pPr>
    </w:p>
    <w:p w14:paraId="2A1613BD">
      <w:pPr>
        <w:pStyle w:val="15"/>
        <w:jc w:val="center"/>
        <w:rPr>
          <w:sz w:val="56"/>
          <w:szCs w:val="56"/>
          <w:highlight w:val="none"/>
        </w:rPr>
      </w:pPr>
    </w:p>
    <w:p w14:paraId="36D73A21">
      <w:pPr>
        <w:pStyle w:val="15"/>
        <w:jc w:val="center"/>
        <w:rPr>
          <w:sz w:val="32"/>
          <w:szCs w:val="32"/>
          <w:highlight w:val="none"/>
        </w:rPr>
      </w:pPr>
    </w:p>
    <w:p w14:paraId="55610A1E">
      <w:pPr>
        <w:pStyle w:val="15"/>
        <w:jc w:val="center"/>
        <w:rPr>
          <w:sz w:val="32"/>
          <w:szCs w:val="32"/>
          <w:highlight w:val="none"/>
        </w:rPr>
      </w:pPr>
    </w:p>
    <w:p w14:paraId="1EFD6CF2">
      <w:pPr>
        <w:pStyle w:val="15"/>
        <w:spacing w:line="500" w:lineRule="exact"/>
        <w:jc w:val="both"/>
        <w:rPr>
          <w:b/>
          <w:sz w:val="36"/>
          <w:szCs w:val="28"/>
          <w:highlight w:val="none"/>
        </w:rPr>
      </w:pPr>
    </w:p>
    <w:p w14:paraId="38C73AD8">
      <w:pPr>
        <w:pStyle w:val="15"/>
        <w:spacing w:line="500" w:lineRule="exact"/>
        <w:jc w:val="center"/>
        <w:rPr>
          <w:b/>
          <w:sz w:val="36"/>
          <w:szCs w:val="28"/>
          <w:highlight w:val="none"/>
        </w:rPr>
      </w:pPr>
      <w:r>
        <w:rPr>
          <w:rFonts w:hint="eastAsia"/>
          <w:b/>
          <w:sz w:val="36"/>
          <w:szCs w:val="28"/>
          <w:highlight w:val="none"/>
        </w:rPr>
        <w:t>目录</w:t>
      </w:r>
    </w:p>
    <w:p w14:paraId="4085D9D6">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第一部分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val="en-US" w:eastAsia="zh-CN"/>
        </w:rPr>
        <w:t>溆浦县发展和改革局</w:t>
      </w:r>
      <w:r>
        <w:rPr>
          <w:rFonts w:hint="eastAsia" w:ascii="黑体" w:hAnsi="黑体" w:eastAsia="黑体" w:cs="黑体"/>
          <w:b w:val="0"/>
          <w:bCs/>
          <w:sz w:val="28"/>
          <w:szCs w:val="28"/>
          <w:highlight w:val="none"/>
        </w:rPr>
        <w:t>概况</w:t>
      </w:r>
    </w:p>
    <w:p w14:paraId="5C959C78">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一、部门职责</w:t>
      </w:r>
    </w:p>
    <w:p w14:paraId="4DA00BFA">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二、机构设置</w:t>
      </w:r>
    </w:p>
    <w:p w14:paraId="38359CEE">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第二部分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部门决算表</w:t>
      </w:r>
    </w:p>
    <w:p w14:paraId="1C2FDE89">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一、收入支出决算总表</w:t>
      </w:r>
    </w:p>
    <w:p w14:paraId="2DB07ED5">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二、收入决算表</w:t>
      </w:r>
    </w:p>
    <w:p w14:paraId="04AC0D2D">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三、支出决算表</w:t>
      </w:r>
    </w:p>
    <w:p w14:paraId="05B24FD5">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四、财政拨款收入支出决算总表</w:t>
      </w:r>
    </w:p>
    <w:p w14:paraId="29C93D70">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五、一般公共预算财政拨款支出决算表</w:t>
      </w:r>
    </w:p>
    <w:p w14:paraId="6FFBF809">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六、一般公共预算财政拨款基本支出决算明细表</w:t>
      </w:r>
    </w:p>
    <w:p w14:paraId="49C1DA2E">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七、政府性基金预算财政拨款收入支出决算表</w:t>
      </w:r>
    </w:p>
    <w:p w14:paraId="06C79470">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八、国有资本经营预算财政拨款支出决算表</w:t>
      </w:r>
    </w:p>
    <w:p w14:paraId="652805EB">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九、财政拨款“三公”经费支出决算表</w:t>
      </w:r>
    </w:p>
    <w:p w14:paraId="3E003F00">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第三部分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部门决算情况说明</w:t>
      </w:r>
    </w:p>
    <w:p w14:paraId="30D3307E">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一、收入支出决算总体情况说明</w:t>
      </w:r>
    </w:p>
    <w:p w14:paraId="67C36002">
      <w:pPr>
        <w:spacing w:line="500" w:lineRule="exact"/>
        <w:ind w:firstLine="700" w:firstLineChars="250"/>
        <w:jc w:val="left"/>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二、收入决算情况说明</w:t>
      </w:r>
    </w:p>
    <w:p w14:paraId="5FB1CA5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三、支出决算情况说明</w:t>
      </w:r>
    </w:p>
    <w:p w14:paraId="5DA2D5F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四、财政拨款收入支出决算总体情况说明</w:t>
      </w:r>
    </w:p>
    <w:p w14:paraId="7C9943C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五、一般公共预算财政拨款支出决算情况说明</w:t>
      </w:r>
    </w:p>
    <w:p w14:paraId="0BE5BCF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六、一般公共预算财政拨款基本支出决算情况说明</w:t>
      </w:r>
    </w:p>
    <w:p w14:paraId="6D3476D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七、财政拨款三公经费支出决算情况说明</w:t>
      </w:r>
    </w:p>
    <w:p w14:paraId="3ABF5A1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八、政府性基金预算收入支出决算情况</w:t>
      </w:r>
    </w:p>
    <w:p w14:paraId="0312BB6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九、关于机关运行经费支出说明</w:t>
      </w:r>
    </w:p>
    <w:p w14:paraId="09434AF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十、一般性支出情况说明</w:t>
      </w:r>
    </w:p>
    <w:p w14:paraId="512CF79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highlight w:val="none"/>
        </w:rPr>
      </w:pPr>
      <w:r>
        <w:rPr>
          <w:rFonts w:hint="eastAsia" w:ascii="仿宋_GB2312" w:hAnsi="仿宋_GB2312" w:eastAsia="仿宋_GB2312" w:cs="仿宋_GB2312"/>
          <w:color w:val="000000"/>
          <w:kern w:val="0"/>
          <w:sz w:val="28"/>
          <w:szCs w:val="28"/>
          <w:highlight w:val="none"/>
        </w:rPr>
        <w:t>十一、关于政府采购支出说明</w:t>
      </w:r>
    </w:p>
    <w:p w14:paraId="07CABAC7">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十二、关于国有资产占用情况说明</w:t>
      </w:r>
    </w:p>
    <w:p w14:paraId="305203D9">
      <w:pPr>
        <w:pStyle w:val="15"/>
        <w:spacing w:line="500" w:lineRule="exact"/>
        <w:ind w:firstLine="700" w:firstLineChars="250"/>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十三、关于</w:t>
      </w:r>
      <w:r>
        <w:rPr>
          <w:rFonts w:hint="eastAsia" w:ascii="仿宋_GB2312" w:hAnsi="仿宋_GB2312" w:eastAsia="仿宋_GB2312" w:cs="仿宋_GB2312"/>
          <w:sz w:val="28"/>
          <w:szCs w:val="28"/>
          <w:highlight w:val="none"/>
          <w:lang w:val="en-US" w:eastAsia="zh-CN"/>
        </w:rPr>
        <w:t>2023年度</w:t>
      </w:r>
      <w:r>
        <w:rPr>
          <w:rFonts w:hint="eastAsia" w:ascii="仿宋_GB2312" w:hAnsi="仿宋_GB2312" w:eastAsia="仿宋_GB2312" w:cs="仿宋_GB2312"/>
          <w:sz w:val="28"/>
          <w:szCs w:val="28"/>
          <w:highlight w:val="none"/>
        </w:rPr>
        <w:t>预算绩效情况的说明</w:t>
      </w:r>
    </w:p>
    <w:p w14:paraId="04B8D4C2">
      <w:pPr>
        <w:pStyle w:val="15"/>
        <w:spacing w:line="500" w:lineRule="exact"/>
        <w:rPr>
          <w:rFonts w:hint="eastAsia" w:ascii="黑体" w:hAnsi="黑体" w:eastAsia="黑体" w:cs="黑体"/>
          <w:b w:val="0"/>
          <w:bCs/>
          <w:sz w:val="28"/>
          <w:szCs w:val="28"/>
          <w:highlight w:val="none"/>
        </w:rPr>
      </w:pPr>
      <w:r>
        <w:rPr>
          <w:rFonts w:hint="eastAsia" w:ascii="黑体" w:hAnsi="黑体" w:eastAsia="黑体" w:cs="黑体"/>
          <w:b w:val="0"/>
          <w:bCs/>
          <w:sz w:val="28"/>
          <w:szCs w:val="28"/>
          <w:highlight w:val="none"/>
        </w:rPr>
        <w:t>第四部分</w:t>
      </w:r>
      <w:r>
        <w:rPr>
          <w:rFonts w:hint="eastAsia" w:ascii="黑体" w:hAnsi="黑体" w:eastAsia="黑体" w:cs="黑体"/>
          <w:b w:val="0"/>
          <w:bCs/>
          <w:sz w:val="28"/>
          <w:szCs w:val="28"/>
          <w:highlight w:val="none"/>
          <w:lang w:val="en-US" w:eastAsia="zh-CN"/>
        </w:rPr>
        <w:t xml:space="preserve"> </w:t>
      </w:r>
      <w:r>
        <w:rPr>
          <w:rFonts w:hint="eastAsia" w:ascii="黑体" w:hAnsi="黑体" w:eastAsia="黑体" w:cs="黑体"/>
          <w:b w:val="0"/>
          <w:bCs/>
          <w:sz w:val="28"/>
          <w:szCs w:val="28"/>
          <w:highlight w:val="none"/>
        </w:rPr>
        <w:t>名词解释</w:t>
      </w:r>
    </w:p>
    <w:p w14:paraId="54237F3E">
      <w:pPr>
        <w:pStyle w:val="15"/>
        <w:spacing w:line="500" w:lineRule="exact"/>
        <w:rPr>
          <w:rFonts w:hint="eastAsia" w:ascii="黑体" w:hAnsi="黑体" w:eastAsia="黑体" w:cs="黑体"/>
          <w:b w:val="0"/>
          <w:bCs/>
          <w:sz w:val="28"/>
          <w:szCs w:val="28"/>
          <w:highlight w:val="none"/>
        </w:rPr>
      </w:pPr>
      <w:bookmarkStart w:id="0" w:name="OLE_LINK16"/>
      <w:r>
        <w:rPr>
          <w:rFonts w:hint="eastAsia" w:ascii="黑体" w:hAnsi="黑体" w:eastAsia="黑体" w:cs="黑体"/>
          <w:b w:val="0"/>
          <w:bCs/>
          <w:sz w:val="28"/>
          <w:szCs w:val="28"/>
          <w:highlight w:val="none"/>
        </w:rPr>
        <w:t>第</w:t>
      </w:r>
      <w:r>
        <w:rPr>
          <w:rFonts w:hint="eastAsia" w:hAnsi="黑体" w:cs="黑体"/>
          <w:b w:val="0"/>
          <w:bCs/>
          <w:sz w:val="28"/>
          <w:szCs w:val="28"/>
          <w:highlight w:val="none"/>
          <w:lang w:eastAsia="zh-CN"/>
        </w:rPr>
        <w:t>五</w:t>
      </w:r>
      <w:r>
        <w:rPr>
          <w:rFonts w:hint="eastAsia" w:ascii="黑体" w:hAnsi="黑体" w:eastAsia="黑体" w:cs="黑体"/>
          <w:b w:val="0"/>
          <w:bCs/>
          <w:sz w:val="28"/>
          <w:szCs w:val="28"/>
          <w:highlight w:val="none"/>
        </w:rPr>
        <w:t>部分</w:t>
      </w:r>
      <w:r>
        <w:rPr>
          <w:rFonts w:hint="eastAsia" w:ascii="黑体" w:hAnsi="黑体" w:eastAsia="黑体" w:cs="黑体"/>
          <w:b w:val="0"/>
          <w:bCs/>
          <w:sz w:val="28"/>
          <w:szCs w:val="28"/>
          <w:highlight w:val="none"/>
          <w:lang w:val="en-US" w:eastAsia="zh-CN"/>
        </w:rPr>
        <w:t xml:space="preserve"> </w:t>
      </w:r>
      <w:r>
        <w:rPr>
          <w:rFonts w:hint="eastAsia" w:hAnsi="黑体" w:cs="黑体"/>
          <w:b w:val="0"/>
          <w:bCs/>
          <w:sz w:val="28"/>
          <w:szCs w:val="28"/>
          <w:highlight w:val="none"/>
          <w:lang w:eastAsia="zh-CN"/>
        </w:rPr>
        <w:t>附件</w:t>
      </w:r>
      <w:bookmarkEnd w:id="0"/>
    </w:p>
    <w:p w14:paraId="19A562E9">
      <w:pPr>
        <w:jc w:val="center"/>
        <w:rPr>
          <w:sz w:val="72"/>
          <w:szCs w:val="72"/>
          <w:highlight w:val="none"/>
        </w:rPr>
      </w:pPr>
    </w:p>
    <w:p w14:paraId="2475DF50">
      <w:pPr>
        <w:jc w:val="center"/>
        <w:rPr>
          <w:sz w:val="72"/>
          <w:szCs w:val="72"/>
          <w:highlight w:val="none"/>
        </w:rPr>
      </w:pPr>
    </w:p>
    <w:p w14:paraId="294DFE0E">
      <w:pPr>
        <w:jc w:val="center"/>
        <w:rPr>
          <w:sz w:val="72"/>
          <w:szCs w:val="72"/>
          <w:highlight w:val="none"/>
        </w:rPr>
      </w:pPr>
    </w:p>
    <w:p w14:paraId="3EF70C2A">
      <w:pPr>
        <w:jc w:val="center"/>
        <w:rPr>
          <w:sz w:val="72"/>
          <w:szCs w:val="72"/>
          <w:highlight w:val="none"/>
        </w:rPr>
      </w:pPr>
    </w:p>
    <w:p w14:paraId="0CF22E62">
      <w:pPr>
        <w:rPr>
          <w:rFonts w:hint="eastAsia" w:ascii="方正小标宋_GBK" w:hAnsi="方正小标宋_GBK" w:eastAsia="方正小标宋_GBK" w:cs="方正小标宋_GBK"/>
          <w:sz w:val="72"/>
          <w:szCs w:val="72"/>
          <w:highlight w:val="none"/>
        </w:rPr>
      </w:pPr>
    </w:p>
    <w:p w14:paraId="06444EAC">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 xml:space="preserve">第一部分 </w:t>
      </w:r>
    </w:p>
    <w:p w14:paraId="5C7195EA">
      <w:pPr>
        <w:pStyle w:val="15"/>
        <w:jc w:val="center"/>
        <w:rPr>
          <w:rFonts w:hint="eastAsia" w:ascii="方正小标宋_GBK" w:hAnsi="方正小标宋_GBK" w:eastAsia="方正小标宋_GBK" w:cs="方正小标宋_GBK"/>
          <w:sz w:val="84"/>
          <w:szCs w:val="84"/>
          <w:highlight w:val="none"/>
        </w:rPr>
      </w:pPr>
    </w:p>
    <w:p w14:paraId="4197A0ED">
      <w:pPr>
        <w:pStyle w:val="15"/>
        <w:jc w:val="center"/>
        <w:rPr>
          <w:rFonts w:hint="eastAsia" w:ascii="方正小标宋_GBK" w:hAnsi="方正小标宋_GBK" w:eastAsia="方正小标宋_GBK" w:cs="方正小标宋_GBK"/>
          <w:sz w:val="84"/>
          <w:szCs w:val="84"/>
          <w:highlight w:val="none"/>
          <w:lang w:eastAsia="zh-CN"/>
        </w:rPr>
      </w:pPr>
      <w:r>
        <w:rPr>
          <w:rFonts w:hint="eastAsia" w:ascii="方正小标宋_GBK" w:hAnsi="方正小标宋_GBK" w:eastAsia="方正小标宋_GBK" w:cs="方正小标宋_GBK"/>
          <w:sz w:val="84"/>
          <w:szCs w:val="84"/>
          <w:highlight w:val="none"/>
          <w:lang w:eastAsia="zh-CN"/>
        </w:rPr>
        <w:t>溆浦县发展和改革局</w:t>
      </w:r>
    </w:p>
    <w:p w14:paraId="306F4DE7">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概</w:t>
      </w:r>
      <w:r>
        <w:rPr>
          <w:rFonts w:hint="eastAsia" w:ascii="方正小标宋_GBK" w:hAnsi="方正小标宋_GBK" w:eastAsia="方正小标宋_GBK" w:cs="方正小标宋_GBK"/>
          <w:sz w:val="84"/>
          <w:szCs w:val="84"/>
          <w:highlight w:val="none"/>
          <w:lang w:val="en-US" w:eastAsia="zh-CN"/>
        </w:rPr>
        <w:t xml:space="preserve"> </w:t>
      </w:r>
      <w:r>
        <w:rPr>
          <w:rFonts w:hint="eastAsia" w:ascii="方正小标宋_GBK" w:hAnsi="方正小标宋_GBK" w:eastAsia="方正小标宋_GBK" w:cs="方正小标宋_GBK"/>
          <w:sz w:val="84"/>
          <w:szCs w:val="84"/>
          <w:highlight w:val="none"/>
        </w:rPr>
        <w:t>况</w:t>
      </w:r>
    </w:p>
    <w:p w14:paraId="3778AC40">
      <w:pPr>
        <w:jc w:val="center"/>
        <w:rPr>
          <w:rFonts w:hint="eastAsia" w:ascii="方正小标宋_GBK" w:hAnsi="方正小标宋_GBK" w:eastAsia="方正小标宋_GBK" w:cs="方正小标宋_GBK"/>
          <w:sz w:val="72"/>
          <w:szCs w:val="72"/>
          <w:highlight w:val="none"/>
        </w:rPr>
      </w:pPr>
    </w:p>
    <w:p w14:paraId="49660113">
      <w:pPr>
        <w:jc w:val="center"/>
        <w:rPr>
          <w:rFonts w:hint="eastAsia" w:ascii="方正小标宋_GBK" w:hAnsi="方正小标宋_GBK" w:eastAsia="方正小标宋_GBK" w:cs="方正小标宋_GBK"/>
          <w:sz w:val="72"/>
          <w:szCs w:val="72"/>
          <w:highlight w:val="none"/>
        </w:rPr>
      </w:pPr>
    </w:p>
    <w:p w14:paraId="6D871C6C">
      <w:pPr>
        <w:jc w:val="both"/>
        <w:rPr>
          <w:sz w:val="28"/>
          <w:szCs w:val="28"/>
          <w:highlight w:val="none"/>
        </w:rPr>
      </w:pPr>
    </w:p>
    <w:p w14:paraId="607D29BD">
      <w:pPr>
        <w:jc w:val="both"/>
        <w:rPr>
          <w:sz w:val="28"/>
          <w:szCs w:val="28"/>
          <w:highlight w:val="none"/>
        </w:rPr>
      </w:pPr>
    </w:p>
    <w:p w14:paraId="1EE10F33">
      <w:pPr>
        <w:pStyle w:val="16"/>
        <w:numPr>
          <w:ilvl w:val="0"/>
          <w:numId w:val="0"/>
        </w:numPr>
        <w:ind w:leftChars="0" w:firstLine="643" w:firstLineChars="200"/>
        <w:jc w:val="left"/>
        <w:rPr>
          <w:rFonts w:ascii="黑体" w:hAnsi="黑体" w:eastAsia="黑体"/>
          <w:b/>
          <w:bCs/>
          <w:sz w:val="32"/>
          <w:szCs w:val="32"/>
          <w:highlight w:val="none"/>
        </w:rPr>
      </w:pPr>
      <w:r>
        <w:rPr>
          <w:rFonts w:hint="eastAsia" w:ascii="黑体" w:hAnsi="黑体" w:eastAsia="黑体"/>
          <w:b/>
          <w:bCs/>
          <w:sz w:val="32"/>
          <w:szCs w:val="32"/>
          <w:highlight w:val="none"/>
          <w:lang w:eastAsia="zh-CN"/>
        </w:rPr>
        <w:t>一、</w:t>
      </w:r>
      <w:r>
        <w:rPr>
          <w:rFonts w:ascii="黑体" w:hAnsi="黑体" w:eastAsia="黑体"/>
          <w:b/>
          <w:bCs/>
          <w:sz w:val="32"/>
          <w:szCs w:val="32"/>
          <w:highlight w:val="none"/>
        </w:rPr>
        <w:t>部门职责</w:t>
      </w:r>
    </w:p>
    <w:p w14:paraId="78163787">
      <w:pPr>
        <w:pStyle w:val="16"/>
        <w:rPr>
          <w:rFonts w:hint="eastAsia" w:ascii="仿宋" w:hAnsi="仿宋" w:eastAsia="仿宋" w:cs="仿宋"/>
          <w:sz w:val="32"/>
          <w:szCs w:val="32"/>
        </w:rPr>
      </w:pPr>
      <w:r>
        <w:rPr>
          <w:rFonts w:hint="eastAsia" w:ascii="宋体" w:hAnsi="宋体" w:eastAsia="仿宋"/>
          <w:sz w:val="32"/>
          <w:szCs w:val="32"/>
        </w:rPr>
        <w:t>1、</w:t>
      </w:r>
      <w:r>
        <w:rPr>
          <w:rFonts w:hint="eastAsia" w:ascii="仿宋" w:hAnsi="仿宋" w:eastAsia="仿宋" w:cs="仿宋"/>
          <w:sz w:val="32"/>
          <w:szCs w:val="32"/>
        </w:rPr>
        <w:t>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51C22C47">
      <w:pPr>
        <w:pStyle w:val="16"/>
        <w:ind w:left="160"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研究提出加快建设现代化经济体系、推动高质量发展的总体目标，重大任务以及相关政策。研究提出全县国民经济和社会发展主要目标，监测预测预警宏观经济和社会发展态势趋势，提出宏观调控政策建议，综合协调宏观经济政策，研究应对措施。</w:t>
      </w:r>
    </w:p>
    <w:p w14:paraId="1C63F550">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7057FE26">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、推进落实区域协调发展战略、新型城镇化战略和重大政策，组织拟订相关</w:t>
      </w:r>
      <w:r>
        <w:rPr>
          <w:rFonts w:hint="eastAsia" w:ascii="仿宋" w:hAnsi="仿宋" w:eastAsia="仿宋" w:cs="仿宋"/>
          <w:sz w:val="32"/>
          <w:szCs w:val="32"/>
          <w:lang w:eastAsia="zh-CN"/>
        </w:rPr>
        <w:t>区域</w:t>
      </w:r>
      <w:r>
        <w:rPr>
          <w:rFonts w:hint="eastAsia" w:ascii="仿宋" w:hAnsi="仿宋" w:eastAsia="仿宋" w:cs="仿宋"/>
          <w:sz w:val="32"/>
          <w:szCs w:val="32"/>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4DDEBAF0">
      <w:pPr>
        <w:ind w:firstLine="800" w:firstLineChars="250"/>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432535DE">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094A0135">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、牵头组织监督公共资源交易活动，指导、协调全县工程建设项目招标投标工作，负责权限内工程建设项目招标事项核准和县级工业项目招标投标活动的监管。</w:t>
      </w:r>
    </w:p>
    <w:p w14:paraId="079AC6E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8、会同有关部门拟订推动全县经济建设与国防建设协调发展的战略和规划，协调有关重大问题。组织编制全县国民经济动员规划，协调和组织实施全县国民经济动员有关工作。</w:t>
      </w:r>
    </w:p>
    <w:p w14:paraId="3B27F94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、研究提出全县粮食宏观调控及粮食流通的中长期规划，拟订全县粮食市场体系建设与发展规划，承担全县粮食流通宏观调控的具体工作。</w:t>
      </w:r>
    </w:p>
    <w:p w14:paraId="135B27E7">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、管理全县粮食、棉花和食糖储备，负责全县储备粮棉行政管理。监测全县粮食和战略物资供求变化并预测预警，承担全县粮食流通宏观调控的具体工作，承担粮食安全责任制考核日常工作。</w:t>
      </w:r>
    </w:p>
    <w:p w14:paraId="46797AAA">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、拟订粮食和物资储备仓储管理有关技术标准和规范并组织实施。负责粮食流通、加工行业安全生产工作的监督管理，承担全县物资储备承储单位安全生产的监管责任。</w:t>
      </w:r>
    </w:p>
    <w:p w14:paraId="79FB068A">
      <w:pP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、拟订全县储备基础设施、粮食流通设施建设规划并组织实施，管理有关储备基础设施和粮食流通设施全县投资项目。负责对管理的政府储备、企业储备以及储备政策落实情况进行监督</w:t>
      </w:r>
      <w:r>
        <w:rPr>
          <w:rFonts w:hint="eastAsia" w:ascii="仿宋" w:hAnsi="仿宋" w:eastAsia="仿宋" w:cs="仿宋"/>
          <w:sz w:val="32"/>
          <w:szCs w:val="32"/>
          <w:lang w:eastAsia="zh-CN"/>
        </w:rPr>
        <w:t>检查</w:t>
      </w:r>
      <w:r>
        <w:rPr>
          <w:rFonts w:hint="eastAsia" w:ascii="仿宋" w:hAnsi="仿宋" w:eastAsia="仿宋" w:cs="仿宋"/>
          <w:sz w:val="32"/>
          <w:szCs w:val="32"/>
        </w:rPr>
        <w:t>。负责粮食收购、储存、运输环节粮食质量安全和原粮卫生的监督管理，组织实施全县粮食库存检查工作。</w:t>
      </w:r>
    </w:p>
    <w:p w14:paraId="5B4267F8">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、负责粮食流通行业管理，制定行业发展规划、政策，拟订粮食流通和物资储备有关标准、粮食质量标准，制定有关技术规范并监督执行。</w:t>
      </w:r>
    </w:p>
    <w:p w14:paraId="0232DD6F">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14、承担国防动员工作统筹规划、综合协调、督导落实等职能，牵头承办国防动员建设管理和组织实施涉及各部门之间的协调落实工作；具体承担县国防动员委员会联合办公室相关日常事务工作。</w:t>
      </w:r>
    </w:p>
    <w:p w14:paraId="2B3590DD">
      <w:pPr>
        <w:ind w:firstLine="640" w:firstLineChars="200"/>
        <w:jc w:val="left"/>
        <w:rPr>
          <w:rFonts w:hint="eastAsia" w:ascii="仿宋" w:hAnsi="仿宋" w:eastAsia="仿宋" w:cs="仿宋"/>
          <w:sz w:val="32"/>
          <w:szCs w:val="32"/>
          <w:highlight w:val="none"/>
        </w:rPr>
      </w:pPr>
      <w:r>
        <w:rPr>
          <w:rFonts w:hint="eastAsia"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、完成县委、县政府交办的其他任务</w:t>
      </w:r>
      <w:r>
        <w:rPr>
          <w:rFonts w:hint="eastAsia" w:ascii="仿宋" w:hAnsi="仿宋" w:eastAsia="仿宋" w:cs="仿宋"/>
          <w:sz w:val="32"/>
          <w:szCs w:val="32"/>
          <w:highlight w:val="none"/>
        </w:rPr>
        <w:t>。</w:t>
      </w:r>
    </w:p>
    <w:p w14:paraId="65BC350F">
      <w:pPr>
        <w:widowControl/>
        <w:spacing w:line="600" w:lineRule="exact"/>
        <w:ind w:firstLine="643" w:firstLineChars="200"/>
        <w:rPr>
          <w:rFonts w:ascii="黑体" w:hAnsi="黑体" w:eastAsia="黑体"/>
          <w:b/>
          <w:bCs w:val="0"/>
          <w:kern w:val="0"/>
          <w:sz w:val="32"/>
          <w:szCs w:val="32"/>
          <w:highlight w:val="none"/>
        </w:rPr>
      </w:pPr>
      <w:r>
        <w:rPr>
          <w:rFonts w:hint="eastAsia" w:ascii="黑体" w:hAnsi="黑体" w:eastAsia="黑体"/>
          <w:b/>
          <w:bCs w:val="0"/>
          <w:kern w:val="0"/>
          <w:sz w:val="32"/>
          <w:szCs w:val="32"/>
          <w:highlight w:val="none"/>
          <w:lang w:eastAsia="zh-CN"/>
        </w:rPr>
        <w:t>二、</w:t>
      </w:r>
      <w:r>
        <w:rPr>
          <w:rFonts w:hint="eastAsia" w:ascii="黑体" w:hAnsi="黑体" w:eastAsia="黑体"/>
          <w:b/>
          <w:bCs w:val="0"/>
          <w:kern w:val="0"/>
          <w:sz w:val="32"/>
          <w:szCs w:val="32"/>
          <w:highlight w:val="none"/>
        </w:rPr>
        <w:t>机构设置及决算单位构成</w:t>
      </w:r>
    </w:p>
    <w:p w14:paraId="113E75AF">
      <w:pPr>
        <w:widowControl/>
        <w:spacing w:line="600" w:lineRule="exact"/>
        <w:ind w:firstLine="643" w:firstLineChars="200"/>
        <w:rPr>
          <w:rFonts w:hint="eastAsia" w:ascii="仿宋_GB2312" w:hAnsi="宋体" w:eastAsia="仿宋_GB2312" w:cs="宋体"/>
          <w:kern w:val="0"/>
          <w:sz w:val="32"/>
          <w:szCs w:val="32"/>
          <w:highlight w:val="none"/>
        </w:rPr>
      </w:pPr>
      <w:r>
        <w:rPr>
          <w:rFonts w:hint="eastAsia" w:ascii="仿宋" w:hAnsi="仿宋" w:eastAsia="仿宋" w:cs="仿宋"/>
          <w:b/>
          <w:kern w:val="0"/>
          <w:sz w:val="32"/>
          <w:szCs w:val="32"/>
          <w:highlight w:val="none"/>
        </w:rPr>
        <w:t>（一）内设机构设置。</w:t>
      </w:r>
      <w:r>
        <w:rPr>
          <w:rFonts w:hint="eastAsia" w:ascii="仿宋" w:hAnsi="仿宋" w:eastAsia="仿宋"/>
          <w:sz w:val="32"/>
          <w:szCs w:val="32"/>
          <w:shd w:val="clear" w:color="auto" w:fill="FFFFFF"/>
        </w:rPr>
        <w:t>溆浦县发展和改革局，为县人民政府工作部门，是全额财政拨款行政单位。</w:t>
      </w:r>
      <w:r>
        <w:rPr>
          <w:rFonts w:hint="eastAsia" w:ascii="仿宋_GB2312" w:hAnsi="宋体" w:eastAsia="仿宋_GB2312" w:cs="宋体"/>
          <w:kern w:val="0"/>
          <w:sz w:val="32"/>
          <w:szCs w:val="32"/>
        </w:rPr>
        <w:t>内设行政业务职能股室 1</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 xml:space="preserve"> 个；二级机构 4个，分别是：溆浦县节能监察中心、溆浦县招投标管理办公室、溆浦县价格认证中心、溆浦县重点建设项目事务中心；下属及派出机构 0个；核定编制</w:t>
      </w:r>
      <w:r>
        <w:rPr>
          <w:rFonts w:hint="eastAsia" w:ascii="仿宋_GB2312" w:hAnsi="宋体" w:eastAsia="仿宋_GB2312" w:cs="宋体"/>
          <w:kern w:val="0"/>
          <w:sz w:val="32"/>
          <w:szCs w:val="32"/>
          <w:lang w:val="en-US" w:eastAsia="zh-CN"/>
        </w:rPr>
        <w:t>66</w:t>
      </w:r>
      <w:r>
        <w:rPr>
          <w:rFonts w:hint="eastAsia" w:ascii="仿宋_GB2312" w:hAnsi="宋体" w:eastAsia="仿宋_GB2312" w:cs="宋体"/>
          <w:kern w:val="0"/>
          <w:sz w:val="32"/>
          <w:szCs w:val="32"/>
        </w:rPr>
        <w:t>名，实有人数 6</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 xml:space="preserve">人，其中：行政人员 </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人、事业人员</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 xml:space="preserve"> 人、工勤人员0人、离退休人员 76人</w:t>
      </w:r>
      <w:r>
        <w:rPr>
          <w:rFonts w:hint="eastAsia" w:ascii="仿宋_GB2312" w:hAnsi="宋体" w:eastAsia="仿宋_GB2312" w:cs="宋体"/>
          <w:kern w:val="0"/>
          <w:sz w:val="32"/>
          <w:szCs w:val="32"/>
          <w:highlight w:val="none"/>
        </w:rPr>
        <w:t>。</w:t>
      </w:r>
    </w:p>
    <w:p w14:paraId="290A521D">
      <w:pPr>
        <w:ind w:firstLine="321" w:firstLineChars="100"/>
        <w:jc w:val="left"/>
        <w:rPr>
          <w:rFonts w:ascii="仿宋_GB2312" w:eastAsia="仿宋_GB2312" w:hAnsiTheme="minorEastAsia"/>
          <w:sz w:val="28"/>
          <w:szCs w:val="32"/>
          <w:highlight w:val="none"/>
        </w:rPr>
      </w:pPr>
      <w:r>
        <w:rPr>
          <w:rFonts w:hint="eastAsia" w:ascii="仿宋" w:hAnsi="仿宋" w:eastAsia="仿宋" w:cs="仿宋"/>
          <w:b/>
          <w:kern w:val="0"/>
          <w:sz w:val="32"/>
          <w:szCs w:val="32"/>
          <w:highlight w:val="none"/>
        </w:rPr>
        <w:t>（二）决算单位构成。</w:t>
      </w:r>
      <w:r>
        <w:rPr>
          <w:rFonts w:hint="eastAsia" w:ascii="仿宋" w:hAnsi="仿宋" w:eastAsia="仿宋"/>
          <w:sz w:val="32"/>
          <w:szCs w:val="32"/>
          <w:highlight w:val="none"/>
        </w:rPr>
        <w:t>溆浦县发展和改革局</w:t>
      </w:r>
      <w:r>
        <w:rPr>
          <w:rFonts w:hint="eastAsia" w:ascii="仿宋" w:hAnsi="仿宋" w:eastAsia="仿宋"/>
          <w:sz w:val="32"/>
          <w:szCs w:val="32"/>
          <w:highlight w:val="none"/>
          <w:lang w:eastAsia="zh-CN"/>
        </w:rPr>
        <w:t>2023</w:t>
      </w:r>
      <w:r>
        <w:rPr>
          <w:rFonts w:hint="eastAsia" w:ascii="仿宋" w:hAnsi="仿宋" w:eastAsia="仿宋"/>
          <w:sz w:val="32"/>
          <w:szCs w:val="32"/>
          <w:highlight w:val="none"/>
        </w:rPr>
        <w:t>年部门决算汇总公开单位构成包括：溆浦县发展和改革局单位本级。</w:t>
      </w:r>
    </w:p>
    <w:p w14:paraId="6CEE0C7E">
      <w:pPr>
        <w:jc w:val="center"/>
        <w:rPr>
          <w:rFonts w:ascii="黑体" w:hAnsi="黑体" w:eastAsia="黑体"/>
          <w:sz w:val="28"/>
          <w:szCs w:val="28"/>
          <w:highlight w:val="none"/>
        </w:rPr>
      </w:pPr>
    </w:p>
    <w:p w14:paraId="16598BE2">
      <w:pPr>
        <w:jc w:val="center"/>
        <w:rPr>
          <w:rFonts w:ascii="黑体" w:hAnsi="黑体" w:eastAsia="黑体"/>
          <w:sz w:val="28"/>
          <w:szCs w:val="28"/>
          <w:highlight w:val="none"/>
        </w:rPr>
      </w:pPr>
    </w:p>
    <w:p w14:paraId="2A233176">
      <w:pPr>
        <w:jc w:val="center"/>
        <w:rPr>
          <w:rFonts w:ascii="黑体" w:hAnsi="黑体" w:eastAsia="黑体"/>
          <w:sz w:val="28"/>
          <w:szCs w:val="28"/>
          <w:highlight w:val="none"/>
        </w:rPr>
      </w:pPr>
    </w:p>
    <w:p w14:paraId="1E844662">
      <w:pPr>
        <w:jc w:val="center"/>
        <w:rPr>
          <w:rFonts w:ascii="黑体" w:hAnsi="黑体" w:eastAsia="黑体"/>
          <w:sz w:val="28"/>
          <w:szCs w:val="28"/>
          <w:highlight w:val="none"/>
        </w:rPr>
      </w:pPr>
    </w:p>
    <w:p w14:paraId="47D5A8E0">
      <w:pPr>
        <w:jc w:val="center"/>
        <w:rPr>
          <w:rFonts w:ascii="黑体" w:hAnsi="黑体" w:eastAsia="黑体"/>
          <w:sz w:val="28"/>
          <w:szCs w:val="28"/>
          <w:highlight w:val="none"/>
        </w:rPr>
      </w:pPr>
    </w:p>
    <w:p w14:paraId="6E286276">
      <w:pPr>
        <w:jc w:val="center"/>
        <w:rPr>
          <w:rFonts w:ascii="黑体" w:hAnsi="黑体" w:eastAsia="黑体"/>
          <w:sz w:val="28"/>
          <w:szCs w:val="28"/>
          <w:highlight w:val="none"/>
        </w:rPr>
      </w:pPr>
    </w:p>
    <w:p w14:paraId="77CDE032">
      <w:pPr>
        <w:jc w:val="center"/>
        <w:rPr>
          <w:rFonts w:ascii="黑体" w:hAnsi="黑体" w:eastAsia="黑体"/>
          <w:sz w:val="28"/>
          <w:szCs w:val="28"/>
          <w:highlight w:val="none"/>
        </w:rPr>
      </w:pPr>
    </w:p>
    <w:p w14:paraId="5F17C705">
      <w:pPr>
        <w:jc w:val="center"/>
        <w:rPr>
          <w:rFonts w:ascii="黑体" w:hAnsi="黑体" w:eastAsia="黑体"/>
          <w:sz w:val="28"/>
          <w:szCs w:val="28"/>
          <w:highlight w:val="none"/>
        </w:rPr>
      </w:pPr>
    </w:p>
    <w:p w14:paraId="1007AA2E">
      <w:pPr>
        <w:jc w:val="center"/>
        <w:rPr>
          <w:rFonts w:ascii="黑体" w:hAnsi="黑体" w:eastAsia="黑体"/>
          <w:sz w:val="28"/>
          <w:szCs w:val="28"/>
          <w:highlight w:val="none"/>
        </w:rPr>
      </w:pPr>
    </w:p>
    <w:p w14:paraId="6674D401">
      <w:pPr>
        <w:jc w:val="center"/>
        <w:rPr>
          <w:sz w:val="72"/>
          <w:szCs w:val="72"/>
          <w:highlight w:val="none"/>
        </w:rPr>
      </w:pPr>
    </w:p>
    <w:p w14:paraId="2D39C019">
      <w:pPr>
        <w:jc w:val="center"/>
        <w:rPr>
          <w:sz w:val="72"/>
          <w:szCs w:val="72"/>
          <w:highlight w:val="none"/>
        </w:rPr>
      </w:pPr>
    </w:p>
    <w:p w14:paraId="286D8F86">
      <w:pPr>
        <w:jc w:val="center"/>
        <w:rPr>
          <w:sz w:val="72"/>
          <w:szCs w:val="72"/>
          <w:highlight w:val="none"/>
        </w:rPr>
      </w:pPr>
    </w:p>
    <w:p w14:paraId="4603DA02">
      <w:pPr>
        <w:jc w:val="center"/>
        <w:rPr>
          <w:sz w:val="72"/>
          <w:szCs w:val="72"/>
          <w:highlight w:val="none"/>
        </w:rPr>
      </w:pPr>
    </w:p>
    <w:p w14:paraId="230D9A0D">
      <w:pPr>
        <w:pStyle w:val="15"/>
        <w:jc w:val="center"/>
        <w:rPr>
          <w:rFonts w:hint="eastAsia" w:ascii="方正小标宋_GBK" w:hAnsi="方正小标宋_GBK" w:eastAsia="方正小标宋_GBK" w:cs="方正小标宋_GBK"/>
          <w:sz w:val="84"/>
          <w:szCs w:val="84"/>
          <w:highlight w:val="none"/>
        </w:rPr>
      </w:pPr>
    </w:p>
    <w:p w14:paraId="56434C45">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第二部分</w:t>
      </w:r>
    </w:p>
    <w:p w14:paraId="619D5701">
      <w:pPr>
        <w:pStyle w:val="15"/>
        <w:jc w:val="center"/>
        <w:rPr>
          <w:rFonts w:hint="eastAsia" w:ascii="方正小标宋_GBK" w:hAnsi="方正小标宋_GBK" w:eastAsia="方正小标宋_GBK" w:cs="方正小标宋_GBK"/>
          <w:sz w:val="84"/>
          <w:szCs w:val="84"/>
          <w:highlight w:val="none"/>
        </w:rPr>
      </w:pPr>
    </w:p>
    <w:p w14:paraId="25A43E59">
      <w:pPr>
        <w:pStyle w:val="15"/>
        <w:jc w:val="center"/>
        <w:rPr>
          <w:rFonts w:hint="eastAsia" w:ascii="方正小标宋_GBK" w:hAnsi="方正小标宋_GBK" w:eastAsia="方正小标宋_GBK" w:cs="方正小标宋_GBK"/>
          <w:sz w:val="84"/>
          <w:szCs w:val="84"/>
          <w:highlight w:val="none"/>
        </w:rPr>
      </w:pPr>
      <w:r>
        <w:rPr>
          <w:rFonts w:hint="eastAsia" w:ascii="方正小标宋_GBK" w:hAnsi="方正小标宋_GBK" w:eastAsia="方正小标宋_GBK" w:cs="方正小标宋_GBK"/>
          <w:sz w:val="84"/>
          <w:szCs w:val="84"/>
          <w:highlight w:val="none"/>
        </w:rPr>
        <w:t>部门决算表</w:t>
      </w:r>
    </w:p>
    <w:p w14:paraId="7D2B65CE">
      <w:pPr>
        <w:jc w:val="center"/>
        <w:rPr>
          <w:sz w:val="72"/>
          <w:szCs w:val="72"/>
          <w:highlight w:val="none"/>
        </w:rPr>
      </w:pPr>
    </w:p>
    <w:p w14:paraId="5423E57C">
      <w:pPr>
        <w:jc w:val="center"/>
        <w:rPr>
          <w:sz w:val="72"/>
          <w:szCs w:val="72"/>
          <w:highlight w:val="none"/>
        </w:rPr>
      </w:pPr>
    </w:p>
    <w:p w14:paraId="1A20E148">
      <w:pPr>
        <w:jc w:val="center"/>
        <w:rPr>
          <w:sz w:val="72"/>
          <w:szCs w:val="72"/>
          <w:highlight w:val="none"/>
        </w:rPr>
      </w:pPr>
    </w:p>
    <w:p w14:paraId="1C42E4C0">
      <w:pPr>
        <w:jc w:val="center"/>
        <w:rPr>
          <w:sz w:val="72"/>
          <w:szCs w:val="72"/>
          <w:highlight w:val="none"/>
        </w:rPr>
      </w:pPr>
    </w:p>
    <w:p w14:paraId="69EEA7C1">
      <w:pPr>
        <w:jc w:val="center"/>
        <w:rPr>
          <w:sz w:val="72"/>
          <w:szCs w:val="72"/>
          <w:highlight w:val="none"/>
        </w:rPr>
      </w:pPr>
    </w:p>
    <w:p w14:paraId="19FECC84">
      <w:pPr>
        <w:jc w:val="center"/>
        <w:rPr>
          <w:sz w:val="72"/>
          <w:szCs w:val="72"/>
          <w:highlight w:val="none"/>
        </w:rPr>
      </w:pPr>
    </w:p>
    <w:p w14:paraId="5A56F2F3">
      <w:pPr>
        <w:jc w:val="left"/>
        <w:rPr>
          <w:sz w:val="32"/>
          <w:szCs w:val="32"/>
          <w:highlight w:val="none"/>
        </w:rPr>
      </w:pPr>
    </w:p>
    <w:p w14:paraId="4D97315A">
      <w:pPr>
        <w:jc w:val="left"/>
        <w:rPr>
          <w:rFonts w:asciiTheme="minorEastAsia" w:hAnsiTheme="minorEastAsia"/>
          <w:sz w:val="32"/>
          <w:szCs w:val="32"/>
          <w:highlight w:val="none"/>
        </w:rPr>
        <w:sectPr>
          <w:footerReference r:id="rId3" w:type="default"/>
          <w:pgSz w:w="11906" w:h="16838"/>
          <w:pgMar w:top="720" w:right="720" w:bottom="720" w:left="720" w:header="851" w:footer="992" w:gutter="0"/>
          <w:cols w:space="425" w:num="1"/>
          <w:docGrid w:type="lines" w:linePitch="312" w:charSpace="0"/>
        </w:sectPr>
      </w:pPr>
    </w:p>
    <w:p w14:paraId="6359CDD2">
      <w:pPr>
        <w:widowControl/>
        <w:jc w:val="center"/>
        <w:rPr>
          <w:rFonts w:hint="eastAsia" w:ascii="Times New Roman" w:hAnsi="Times New Roman" w:eastAsia="方正小标宋_GBK" w:cs="Times New Roman"/>
          <w:color w:val="000000"/>
          <w:kern w:val="0"/>
          <w:sz w:val="36"/>
          <w:szCs w:val="36"/>
          <w:highlight w:val="none"/>
        </w:rPr>
      </w:pPr>
    </w:p>
    <w:tbl>
      <w:tblPr>
        <w:tblStyle w:val="11"/>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62"/>
        <w:gridCol w:w="819"/>
        <w:gridCol w:w="1368"/>
        <w:gridCol w:w="4387"/>
        <w:gridCol w:w="819"/>
        <w:gridCol w:w="2015"/>
      </w:tblGrid>
      <w:tr w14:paraId="2FC72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60AEF8E1">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收入支出决算总表</w:t>
            </w:r>
          </w:p>
        </w:tc>
      </w:tr>
      <w:tr w14:paraId="32243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7135615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A6216A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E7F404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9CA486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ADA528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5C361F0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4411A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9DD7DB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3F033735">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1DD152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A03A54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4E74D0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2FCB99F8">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D9FC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0C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364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0544F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339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78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58A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DE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C50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8C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39FEB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8B8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7AEA">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AC0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BEB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10DA9">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DE0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A3C0F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99A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B4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71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C2B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4C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E3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r>
      <w:tr w14:paraId="21230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CC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474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33B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249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58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CCF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03B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EC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259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F28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A9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47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13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FE6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09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CB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1CE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DD4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01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32A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3B3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746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3E2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28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D6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A4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9EC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368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279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49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FE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9E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C0F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3FB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CE7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C6A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09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B60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09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996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56E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961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41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7F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576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FD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93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86E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r>
      <w:tr w14:paraId="75ED1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64B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B96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D88E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6AB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A3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9D2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r>
      <w:tr w14:paraId="49C47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279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51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73A9">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0EA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80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319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r>
      <w:tr w14:paraId="4E00B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A1A91">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28C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0442">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976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ADD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A2B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r>
      <w:tr w14:paraId="056F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FC3B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C9A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F3E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31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50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D2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r>
      <w:tr w14:paraId="599B4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46B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BFB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3022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AC0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301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E2E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9169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AF89">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C63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E3B0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D74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581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F8C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83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1BC0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1C4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DDA2">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56B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F0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89D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B4A5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C4C9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73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D2A3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E65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981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05C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43D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5AE3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F0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2B8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0DF8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FC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1BA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786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69C1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F6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5FF2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FEC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B5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85E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A4B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2528E">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4EA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B056">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5D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B9F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F48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r>
      <w:tr w14:paraId="00845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E06C">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CF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9E87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7B1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161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727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r>
      <w:tr w14:paraId="6E0D4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8C08">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E51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C5B1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C5F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D76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C7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1B5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262A2">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1A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E97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FD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00C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CC0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r>
      <w:tr w14:paraId="36CF6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7187F">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429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CA56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94F7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A2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34F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68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11401">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22EEA">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AACEF">
            <w:pPr>
              <w:jc w:val="righ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DD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FC5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03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CC3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D70B">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9AE14">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D0B0B">
            <w:pPr>
              <w:jc w:val="righ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D7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697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034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26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35F47">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0A3B">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0915">
            <w:pPr>
              <w:jc w:val="righ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F73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1D3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7E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CB3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57962">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52E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93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869F4">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8ED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56C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r>
      <w:tr w14:paraId="4BF5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FB8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928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D0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B12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0E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3C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E7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A78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E87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82B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EC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23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11E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8A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CCE09">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D01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7C27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4F881">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993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3CDE">
            <w:pPr>
              <w:jc w:val="left"/>
              <w:rPr>
                <w:rFonts w:hint="eastAsia" w:ascii="宋体" w:hAnsi="宋体" w:eastAsia="宋体" w:cs="宋体"/>
                <w:i w:val="0"/>
                <w:iCs w:val="0"/>
                <w:color w:val="000000"/>
                <w:sz w:val="22"/>
                <w:szCs w:val="22"/>
                <w:highlight w:val="none"/>
                <w:u w:val="none"/>
              </w:rPr>
            </w:pPr>
          </w:p>
        </w:tc>
      </w:tr>
      <w:tr w14:paraId="1420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860A">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22D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72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5A54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3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5EA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r>
      <w:tr w14:paraId="78228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09215F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28F63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0463B1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2.本套报表金额单位转换时可能存在尾数误差。</w:t>
            </w:r>
          </w:p>
        </w:tc>
      </w:tr>
    </w:tbl>
    <w:p w14:paraId="0587927A">
      <w:pPr>
        <w:pStyle w:val="2"/>
        <w:rPr>
          <w:rFonts w:hint="eastAsia" w:ascii="Times New Roman" w:hAnsi="Times New Roman" w:eastAsia="方正小标宋_GBK" w:cs="Times New Roman"/>
          <w:color w:val="000000"/>
          <w:kern w:val="0"/>
          <w:sz w:val="36"/>
          <w:szCs w:val="36"/>
          <w:highlight w:val="none"/>
        </w:rPr>
      </w:pPr>
    </w:p>
    <w:p w14:paraId="3F924EEA">
      <w:pPr>
        <w:pStyle w:val="2"/>
        <w:rPr>
          <w:rFonts w:hint="eastAsia" w:ascii="Times New Roman" w:hAnsi="Times New Roman" w:eastAsia="方正小标宋_GBK" w:cs="Times New Roman"/>
          <w:color w:val="000000"/>
          <w:kern w:val="0"/>
          <w:sz w:val="36"/>
          <w:szCs w:val="36"/>
          <w:highlight w:val="none"/>
        </w:rPr>
      </w:pPr>
    </w:p>
    <w:p w14:paraId="1F56ED98">
      <w:pPr>
        <w:pStyle w:val="2"/>
        <w:rPr>
          <w:rFonts w:hint="eastAsia" w:ascii="Times New Roman" w:hAnsi="Times New Roman" w:eastAsia="方正小标宋_GBK" w:cs="Times New Roman"/>
          <w:color w:val="000000"/>
          <w:kern w:val="0"/>
          <w:sz w:val="36"/>
          <w:szCs w:val="36"/>
          <w:highlight w:val="none"/>
        </w:rPr>
      </w:pPr>
    </w:p>
    <w:p w14:paraId="664A7FF6">
      <w:pPr>
        <w:pStyle w:val="2"/>
        <w:rPr>
          <w:rFonts w:hint="eastAsia" w:ascii="Times New Roman" w:hAnsi="Times New Roman" w:eastAsia="方正小标宋_GBK" w:cs="Times New Roman"/>
          <w:color w:val="000000"/>
          <w:kern w:val="0"/>
          <w:sz w:val="36"/>
          <w:szCs w:val="36"/>
          <w:highlight w:val="none"/>
        </w:rPr>
      </w:pPr>
    </w:p>
    <w:p w14:paraId="75AF18FF">
      <w:pPr>
        <w:pStyle w:val="2"/>
        <w:rPr>
          <w:rFonts w:hint="eastAsia" w:ascii="Times New Roman" w:hAnsi="Times New Roman" w:eastAsia="方正小标宋_GBK" w:cs="Times New Roman"/>
          <w:color w:val="000000"/>
          <w:kern w:val="0"/>
          <w:sz w:val="36"/>
          <w:szCs w:val="36"/>
          <w:highlight w:val="none"/>
        </w:rPr>
      </w:pPr>
    </w:p>
    <w:p w14:paraId="4637294E">
      <w:pPr>
        <w:pStyle w:val="2"/>
        <w:rPr>
          <w:rFonts w:hint="eastAsia" w:ascii="Times New Roman" w:hAnsi="Times New Roman" w:eastAsia="方正小标宋_GBK" w:cs="Times New Roman"/>
          <w:color w:val="000000"/>
          <w:kern w:val="0"/>
          <w:sz w:val="36"/>
          <w:szCs w:val="36"/>
          <w:highlight w:val="none"/>
        </w:rPr>
      </w:pPr>
    </w:p>
    <w:p w14:paraId="39B096AE">
      <w:pPr>
        <w:pStyle w:val="2"/>
        <w:rPr>
          <w:rFonts w:hint="eastAsia" w:ascii="Times New Roman" w:hAnsi="Times New Roman" w:eastAsia="方正小标宋_GBK" w:cs="Times New Roman"/>
          <w:color w:val="000000"/>
          <w:kern w:val="0"/>
          <w:sz w:val="36"/>
          <w:szCs w:val="36"/>
          <w:highlight w:val="none"/>
        </w:rPr>
      </w:pPr>
    </w:p>
    <w:p w14:paraId="2C418915">
      <w:pPr>
        <w:pStyle w:val="2"/>
        <w:rPr>
          <w:rFonts w:hint="eastAsia" w:ascii="Times New Roman" w:hAnsi="Times New Roman" w:eastAsia="方正小标宋_GBK" w:cs="Times New Roman"/>
          <w:color w:val="000000"/>
          <w:kern w:val="0"/>
          <w:sz w:val="36"/>
          <w:szCs w:val="36"/>
          <w:highlight w:val="none"/>
        </w:rPr>
      </w:pPr>
    </w:p>
    <w:tbl>
      <w:tblPr>
        <w:tblStyle w:val="11"/>
        <w:tblW w:w="155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4616"/>
        <w:gridCol w:w="1402"/>
        <w:gridCol w:w="1402"/>
        <w:gridCol w:w="856"/>
        <w:gridCol w:w="856"/>
        <w:gridCol w:w="856"/>
        <w:gridCol w:w="856"/>
        <w:gridCol w:w="1616"/>
      </w:tblGrid>
      <w:tr w14:paraId="49B45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5520" w:type="dxa"/>
            <w:gridSpan w:val="11"/>
            <w:tcBorders>
              <w:top w:val="nil"/>
              <w:left w:val="nil"/>
              <w:bottom w:val="nil"/>
              <w:right w:val="nil"/>
            </w:tcBorders>
            <w:shd w:val="clear" w:color="auto" w:fill="auto"/>
            <w:noWrap/>
            <w:vAlign w:val="center"/>
          </w:tcPr>
          <w:p w14:paraId="0BAE9857">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收入决算表</w:t>
            </w:r>
          </w:p>
        </w:tc>
      </w:tr>
      <w:tr w14:paraId="2598F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auto"/>
            <w:noWrap/>
            <w:vAlign w:val="center"/>
          </w:tcPr>
          <w:p w14:paraId="6B11CE6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2D6CBF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FE65F3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E4C881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72EC99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108559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279E2C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F694C0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A1A076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64C4CB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71B0003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36122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0" w:type="auto"/>
            <w:tcBorders>
              <w:top w:val="nil"/>
              <w:left w:val="nil"/>
              <w:bottom w:val="nil"/>
              <w:right w:val="nil"/>
            </w:tcBorders>
            <w:shd w:val="clear" w:color="auto" w:fill="auto"/>
            <w:noWrap/>
            <w:vAlign w:val="bottom"/>
          </w:tcPr>
          <w:p w14:paraId="5A608982">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48146A2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649986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A1B396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1DE03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EC15B6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7836C1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BB4ECD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78E490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E64A0A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47C2C76E">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2737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818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BEA7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5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C6A6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A8E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5D7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0CE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10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E11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5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90D0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54E1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75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FA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851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E1B82">
            <w:pPr>
              <w:jc w:val="center"/>
              <w:rPr>
                <w:rFonts w:hint="eastAsia" w:ascii="宋体" w:hAnsi="宋体" w:eastAsia="宋体" w:cs="宋体"/>
                <w:i w:val="0"/>
                <w:iCs w:val="0"/>
                <w:color w:val="000000"/>
                <w:sz w:val="22"/>
                <w:szCs w:val="22"/>
                <w:highlight w:val="none"/>
                <w:u w:val="none"/>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1F5E4">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FE897">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CCB05">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92E46">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CD33D">
            <w:pPr>
              <w:jc w:val="center"/>
              <w:rPr>
                <w:rFonts w:hint="eastAsia" w:ascii="宋体" w:hAnsi="宋体" w:eastAsia="宋体" w:cs="宋体"/>
                <w:i w:val="0"/>
                <w:iCs w:val="0"/>
                <w:color w:val="000000"/>
                <w:sz w:val="22"/>
                <w:szCs w:val="22"/>
                <w:highlight w:val="none"/>
                <w:u w:val="none"/>
              </w:rPr>
            </w:pPr>
          </w:p>
        </w:tc>
        <w:tc>
          <w:tcPr>
            <w:tcW w:w="1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8A73E">
            <w:pPr>
              <w:jc w:val="center"/>
              <w:rPr>
                <w:rFonts w:hint="eastAsia" w:ascii="宋体" w:hAnsi="宋体" w:eastAsia="宋体" w:cs="宋体"/>
                <w:i w:val="0"/>
                <w:iCs w:val="0"/>
                <w:color w:val="000000"/>
                <w:sz w:val="22"/>
                <w:szCs w:val="22"/>
                <w:highlight w:val="none"/>
                <w:u w:val="none"/>
              </w:rPr>
            </w:pPr>
          </w:p>
        </w:tc>
      </w:tr>
      <w:tr w14:paraId="38C9F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0A05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7FDC0">
            <w:pPr>
              <w:jc w:val="center"/>
              <w:rPr>
                <w:rFonts w:hint="eastAsia" w:ascii="宋体" w:hAnsi="宋体" w:eastAsia="宋体" w:cs="宋体"/>
                <w:i w:val="0"/>
                <w:iCs w:val="0"/>
                <w:color w:val="000000"/>
                <w:sz w:val="22"/>
                <w:szCs w:val="22"/>
                <w:highlight w:val="none"/>
                <w:u w:val="none"/>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D0DEF6">
            <w:pPr>
              <w:jc w:val="center"/>
              <w:rPr>
                <w:rFonts w:hint="eastAsia" w:ascii="宋体" w:hAnsi="宋体" w:eastAsia="宋体" w:cs="宋体"/>
                <w:i w:val="0"/>
                <w:iCs w:val="0"/>
                <w:color w:val="000000"/>
                <w:sz w:val="22"/>
                <w:szCs w:val="22"/>
                <w:highlight w:val="none"/>
                <w:u w:val="none"/>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2B17E">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5490D">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09C64">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33C27">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8A983">
            <w:pPr>
              <w:jc w:val="center"/>
              <w:rPr>
                <w:rFonts w:hint="eastAsia" w:ascii="宋体" w:hAnsi="宋体" w:eastAsia="宋体" w:cs="宋体"/>
                <w:i w:val="0"/>
                <w:iCs w:val="0"/>
                <w:color w:val="000000"/>
                <w:sz w:val="22"/>
                <w:szCs w:val="22"/>
                <w:highlight w:val="none"/>
                <w:u w:val="none"/>
              </w:rPr>
            </w:pPr>
          </w:p>
        </w:tc>
        <w:tc>
          <w:tcPr>
            <w:tcW w:w="1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A2630">
            <w:pPr>
              <w:jc w:val="center"/>
              <w:rPr>
                <w:rFonts w:hint="eastAsia" w:ascii="宋体" w:hAnsi="宋体" w:eastAsia="宋体" w:cs="宋体"/>
                <w:i w:val="0"/>
                <w:iCs w:val="0"/>
                <w:color w:val="000000"/>
                <w:sz w:val="22"/>
                <w:szCs w:val="22"/>
                <w:highlight w:val="none"/>
                <w:u w:val="none"/>
              </w:rPr>
            </w:pPr>
          </w:p>
        </w:tc>
      </w:tr>
      <w:tr w14:paraId="48074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75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6EAE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2EF36">
            <w:pPr>
              <w:jc w:val="center"/>
              <w:rPr>
                <w:rFonts w:hint="eastAsia" w:ascii="宋体" w:hAnsi="宋体" w:eastAsia="宋体" w:cs="宋体"/>
                <w:i w:val="0"/>
                <w:iCs w:val="0"/>
                <w:color w:val="000000"/>
                <w:sz w:val="22"/>
                <w:szCs w:val="22"/>
                <w:highlight w:val="none"/>
                <w:u w:val="none"/>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7CDDE">
            <w:pPr>
              <w:jc w:val="center"/>
              <w:rPr>
                <w:rFonts w:hint="eastAsia" w:ascii="宋体" w:hAnsi="宋体" w:eastAsia="宋体" w:cs="宋体"/>
                <w:i w:val="0"/>
                <w:iCs w:val="0"/>
                <w:color w:val="000000"/>
                <w:sz w:val="22"/>
                <w:szCs w:val="22"/>
                <w:highlight w:val="none"/>
                <w:u w:val="none"/>
              </w:rPr>
            </w:pPr>
          </w:p>
        </w:tc>
        <w:tc>
          <w:tcPr>
            <w:tcW w:w="15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2EA0A">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B0ACC">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37C36">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8B81E">
            <w:pPr>
              <w:jc w:val="center"/>
              <w:rPr>
                <w:rFonts w:hint="eastAsia" w:ascii="宋体" w:hAnsi="宋体" w:eastAsia="宋体" w:cs="宋体"/>
                <w:i w:val="0"/>
                <w:iCs w:val="0"/>
                <w:color w:val="000000"/>
                <w:sz w:val="22"/>
                <w:szCs w:val="22"/>
                <w:highlight w:val="none"/>
                <w:u w:val="none"/>
              </w:rPr>
            </w:pPr>
          </w:p>
        </w:tc>
        <w:tc>
          <w:tcPr>
            <w:tcW w:w="10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9F984">
            <w:pPr>
              <w:jc w:val="center"/>
              <w:rPr>
                <w:rFonts w:hint="eastAsia" w:ascii="宋体" w:hAnsi="宋体" w:eastAsia="宋体" w:cs="宋体"/>
                <w:i w:val="0"/>
                <w:iCs w:val="0"/>
                <w:color w:val="000000"/>
                <w:sz w:val="22"/>
                <w:szCs w:val="22"/>
                <w:highlight w:val="none"/>
                <w:u w:val="none"/>
              </w:rPr>
            </w:pPr>
          </w:p>
        </w:tc>
        <w:tc>
          <w:tcPr>
            <w:tcW w:w="15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A6671">
            <w:pPr>
              <w:jc w:val="center"/>
              <w:rPr>
                <w:rFonts w:hint="eastAsia" w:ascii="宋体" w:hAnsi="宋体" w:eastAsia="宋体" w:cs="宋体"/>
                <w:i w:val="0"/>
                <w:iCs w:val="0"/>
                <w:color w:val="000000"/>
                <w:sz w:val="22"/>
                <w:szCs w:val="22"/>
                <w:highlight w:val="none"/>
                <w:u w:val="none"/>
              </w:rPr>
            </w:pPr>
          </w:p>
        </w:tc>
      </w:tr>
      <w:tr w14:paraId="037F3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C1F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61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5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7A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32E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329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EC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CC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5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999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4689C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B5C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AFB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3EDF">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48F32">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ECA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33312">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A634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A97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4D41C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2F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5F2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2BC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1C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24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B3C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821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B6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D1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83D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D01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36C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发展与改革事务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EF6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7F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3C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45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A32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11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9C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5A96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2D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BFE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D4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A66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F72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36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B33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BEE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DEB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565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2FE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682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7D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8FD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BDB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B37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48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81D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9EE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D1F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94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2B4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其他发展与改革事务支出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AD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CD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42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30B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1C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FD1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80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A9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908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ED4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263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DD6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D71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C75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CB1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8AD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D3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A87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38E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2DC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F4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7C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E0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802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3DD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F85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1F4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010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2E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F56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3D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3EE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4E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DE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B4B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E97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0C4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C4F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3CE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B99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394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06F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A0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D2E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F7F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5D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DDA8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F5AE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3D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23C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991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19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B1E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88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F7A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EAB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FF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B1FB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EBA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C83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E2B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B9D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E91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84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07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F60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C47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C0D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C5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FBE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59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CF5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333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1C7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3DB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03F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72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938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68FE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51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F73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3F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66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AD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3E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E01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53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E8A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4040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E2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6F2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CD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982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452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573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8F2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EF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F6F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08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EEA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4AF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5F6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BF1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BE6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C6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571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9C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F64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EF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69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46D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231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7D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152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901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06F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C33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C163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CE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4D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F5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D63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B5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0E5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E2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2B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C7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A021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7F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0E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C6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9F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015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EAE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F02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2D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096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DCE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B1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8A3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917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100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9C3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D04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A7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FA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CB2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C22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B9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CA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F76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E72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8F0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1F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91D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16F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144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0F0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E18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0C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2C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4B2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44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0E7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017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02F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D3A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75D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CE6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B51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A1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8A9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F96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190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AF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D2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52A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E8D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7915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4D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73A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79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271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B3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ABA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1C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D1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6F5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7C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82E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EC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9E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001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285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A43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068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8FF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4029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0E1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2E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其他城乡社区管理事务支出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6F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4F7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827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688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A8A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6B9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37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3F9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218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E8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A4E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29D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0A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F6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3D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C2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9A8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BFD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9B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EC06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B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3B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AC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3C8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C86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613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889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D35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750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80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106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FF7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96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E31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4F4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12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E71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697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5C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77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C02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CB0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96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D28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444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39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C7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69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4ED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161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3E5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44B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965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4B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E5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374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B5A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ACC1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AA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F0C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3B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CBB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075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51B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4E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AC0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238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BB3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DB5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262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08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4F2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1B6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571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AF3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B6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8F0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1C70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016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69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229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6C6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724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FC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66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0B6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27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D3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A2C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0C6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A16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1B0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74A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236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17C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A8F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1F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075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50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F67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88E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BB6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88B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1C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BD7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16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DC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8234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4F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D6F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042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FC5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E14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2E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D59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686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BA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8DF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72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DBA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粮食财务挂账利息补贴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BE4A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8B7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72A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EE5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9E1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4A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17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D55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4F1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677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粮食风险基金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337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B0B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E90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6D8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3F8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575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D7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024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B229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59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物资保管保养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5DF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495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C1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652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BB5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73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ECE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BE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A5F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41C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D69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81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3BD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E88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47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A15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D2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B3E1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2F8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BC0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6CF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09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90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C03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58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8F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E0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919C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C9A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CC6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储备粮油补贴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8350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C53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0E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ABE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5D7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52F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F86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6FA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06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58E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其他粮油储备支出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EB8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2C8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CE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5B8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0A3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CB1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9C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71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8C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16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514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1EF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0A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C62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6B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0EE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7E8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79E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DE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44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7D3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097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0C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2B7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0A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0E2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A9B1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D2D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D5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D4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D2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FC3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F2B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73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DC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053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25D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95F3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0" w:type="auto"/>
            <w:gridSpan w:val="11"/>
            <w:tcBorders>
              <w:top w:val="nil"/>
              <w:left w:val="nil"/>
              <w:bottom w:val="nil"/>
              <w:right w:val="nil"/>
            </w:tcBorders>
            <w:shd w:val="clear" w:color="auto" w:fill="auto"/>
            <w:noWrap/>
            <w:vAlign w:val="center"/>
          </w:tcPr>
          <w:p w14:paraId="4E3BA8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758F1270">
      <w:pPr>
        <w:pStyle w:val="2"/>
        <w:rPr>
          <w:rFonts w:hint="eastAsia" w:ascii="Times New Roman" w:hAnsi="Times New Roman" w:eastAsia="方正小标宋_GBK" w:cs="Times New Roman"/>
          <w:color w:val="000000"/>
          <w:kern w:val="0"/>
          <w:sz w:val="36"/>
          <w:szCs w:val="36"/>
          <w:highlight w:val="none"/>
        </w:rPr>
      </w:pPr>
    </w:p>
    <w:p w14:paraId="08A32451">
      <w:pPr>
        <w:pStyle w:val="2"/>
        <w:rPr>
          <w:rFonts w:hint="eastAsia" w:ascii="Times New Roman" w:hAnsi="Times New Roman" w:eastAsia="方正小标宋_GBK" w:cs="Times New Roman"/>
          <w:color w:val="000000"/>
          <w:kern w:val="0"/>
          <w:sz w:val="36"/>
          <w:szCs w:val="36"/>
          <w:highlight w:val="none"/>
        </w:rPr>
      </w:pPr>
    </w:p>
    <w:tbl>
      <w:tblPr>
        <w:tblStyle w:val="11"/>
        <w:tblW w:w="157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4616"/>
        <w:gridCol w:w="1447"/>
        <w:gridCol w:w="1447"/>
        <w:gridCol w:w="1447"/>
        <w:gridCol w:w="952"/>
        <w:gridCol w:w="952"/>
        <w:gridCol w:w="1800"/>
      </w:tblGrid>
      <w:tr w14:paraId="65C7A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13379FE9">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支出决算表</w:t>
            </w:r>
          </w:p>
        </w:tc>
      </w:tr>
      <w:tr w14:paraId="27A34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B4E3CE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F42AAA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C31EC0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21876E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A16FFA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9E7C1C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6A7DCA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644AFD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969D02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206EB816">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7AC1D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F97EE10">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1CF59BB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3A5662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5804B4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5C28C7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611161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1118D3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5CB1F3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32BE5A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3F7B3812">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46C6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ECD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A21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737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660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5F1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92C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364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30AE9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A8FC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F99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04D04">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5295B">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514BB">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99850">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6257A">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AD7C6">
            <w:pPr>
              <w:jc w:val="center"/>
              <w:rPr>
                <w:rFonts w:hint="eastAsia" w:ascii="宋体" w:hAnsi="宋体" w:eastAsia="宋体" w:cs="宋体"/>
                <w:i w:val="0"/>
                <w:iCs w:val="0"/>
                <w:color w:val="000000"/>
                <w:sz w:val="22"/>
                <w:szCs w:val="22"/>
                <w:highlight w:val="none"/>
                <w:u w:val="none"/>
              </w:rPr>
            </w:pPr>
          </w:p>
        </w:tc>
      </w:tr>
      <w:tr w14:paraId="3DCAF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1195C">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30C3D">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B3FB2">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DB5FE">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96692">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78CFD">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3FE035">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40A0D">
            <w:pPr>
              <w:jc w:val="center"/>
              <w:rPr>
                <w:rFonts w:hint="eastAsia" w:ascii="宋体" w:hAnsi="宋体" w:eastAsia="宋体" w:cs="宋体"/>
                <w:i w:val="0"/>
                <w:iCs w:val="0"/>
                <w:color w:val="000000"/>
                <w:sz w:val="22"/>
                <w:szCs w:val="22"/>
                <w:highlight w:val="none"/>
                <w:u w:val="none"/>
              </w:rPr>
            </w:pPr>
          </w:p>
        </w:tc>
      </w:tr>
      <w:tr w14:paraId="0DE13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63D27">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BF029">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8E478">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923EE">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780E8">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784950">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4DAD8">
            <w:pPr>
              <w:jc w:val="center"/>
              <w:rPr>
                <w:rFonts w:hint="eastAsia" w:ascii="宋体" w:hAnsi="宋体" w:eastAsia="宋体" w:cs="宋体"/>
                <w:i w:val="0"/>
                <w:iCs w:val="0"/>
                <w:color w:val="000000"/>
                <w:sz w:val="22"/>
                <w:szCs w:val="22"/>
                <w:highlight w:val="none"/>
                <w:u w:val="none"/>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D584FF">
            <w:pPr>
              <w:jc w:val="center"/>
              <w:rPr>
                <w:rFonts w:hint="eastAsia" w:ascii="宋体" w:hAnsi="宋体" w:eastAsia="宋体" w:cs="宋体"/>
                <w:i w:val="0"/>
                <w:iCs w:val="0"/>
                <w:color w:val="000000"/>
                <w:sz w:val="22"/>
                <w:szCs w:val="22"/>
                <w:highlight w:val="none"/>
                <w:u w:val="none"/>
              </w:rPr>
            </w:pPr>
          </w:p>
        </w:tc>
      </w:tr>
      <w:tr w14:paraId="73654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E97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556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C2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B9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4F0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B8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FAC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1281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57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F3F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5AA4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531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6,981.36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7A66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734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5222">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2A897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E18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1643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D5E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322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C9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32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3EB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E13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3B0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4D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BB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发展与改革事务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A92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53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558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65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53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D949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37C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C50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A23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685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703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65B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1D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16C9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B3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CC1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EE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154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66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DF1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EAE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509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17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B5E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A5A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58A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3B9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其他发展与改革事务支出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7B3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CA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4A0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939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E80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80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A47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6AF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10D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36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058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8D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1DF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DDB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7CC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971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8F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A56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9A4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20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7A0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96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1A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319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329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D4A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27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C90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57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88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A1A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28B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58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4499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EBE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3A9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35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EE3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5B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E1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53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56E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2272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CAC1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5D7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DD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EBE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544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1B5A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4D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CD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F215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37F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AA5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F9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A61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42B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7C2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78A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BD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DED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07F9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E3C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A0C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241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C8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B6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EB8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5D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8BC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4CD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3E7D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1E5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A8F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56C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CFB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42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43C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BCA7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51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C386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412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5E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821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B4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6D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2FF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0A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24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7CA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B29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EC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9D1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CAB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EB9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79A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2818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E5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6A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CB5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F77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FF7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4,699.25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7A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3A5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113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5B85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A23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39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AC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F5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72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E0A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A0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46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168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52FB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F8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5E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B9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8F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ADE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509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622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57E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0F6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450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E2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67A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E1B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B85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B4F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117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BB96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D2CC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14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4D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26E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965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E62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075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83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0BB8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43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6F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E05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B08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AF1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990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86A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B1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4352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892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507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50B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A9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0D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DF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1C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23B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765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11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813D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6816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30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316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81B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92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1C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F0F0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127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80C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62F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CEB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2E0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44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2E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413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0B3F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8AF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70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其他城乡社区管理事务支出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6E9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9DB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77E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6A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65C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8E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684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28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5A04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E3E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491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05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17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93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023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C41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5F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71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D43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FD2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0C0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ED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C95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3C0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FC80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B35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979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70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F6B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996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ADF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9D9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1F3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0D1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FB9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35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2C0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1E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3EE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A12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045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E03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E6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ECE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D7C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11F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546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8C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2B1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F3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971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148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37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47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098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72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CBC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BF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DFA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800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FFAD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2CF9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C9B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F1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6F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7B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7EB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58F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EBF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982B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4C5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2D9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B81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6F1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225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10D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D75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77E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77B5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2FB2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562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8B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5D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DDC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D244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00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527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B26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F48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75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863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A82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C2B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CD6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AA5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57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209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AAC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2B3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0EE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02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20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47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6C8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EE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A833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CE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7D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粮食财务挂账利息补贴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AD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7C6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1FA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56A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F6F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F4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63D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13B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CF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粮食风险基金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DA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C2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C52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18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A6F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92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8A53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4C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47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物资保管保养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56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7B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D3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00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E37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DC7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53C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50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3C6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6199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A2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AD4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3547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E9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978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EE8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718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DF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37B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60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5A5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63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B6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FB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531E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5D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356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储备粮油补贴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B4F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AEC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1B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CA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47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EF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23F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8C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B15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其他粮油储备支出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196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281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0D2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7D9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A0B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EC5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C05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032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2586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69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186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7D11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542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CE9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F8F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D0D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66F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A52E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B93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792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218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5612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60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D45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AAA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F92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DC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98C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005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397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70A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8C1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E44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CB2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64C32C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35034AE8">
      <w:pPr>
        <w:pStyle w:val="2"/>
        <w:rPr>
          <w:rFonts w:hint="eastAsia" w:ascii="Times New Roman" w:hAnsi="Times New Roman" w:eastAsia="方正小标宋_GBK" w:cs="Times New Roman"/>
          <w:color w:val="000000"/>
          <w:kern w:val="0"/>
          <w:sz w:val="36"/>
          <w:szCs w:val="36"/>
          <w:highlight w:val="none"/>
        </w:rPr>
      </w:pPr>
    </w:p>
    <w:p w14:paraId="456AF4F4">
      <w:pPr>
        <w:pStyle w:val="2"/>
        <w:rPr>
          <w:rFonts w:hint="eastAsia" w:ascii="Times New Roman" w:hAnsi="Times New Roman" w:eastAsia="方正小标宋_GBK" w:cs="Times New Roman"/>
          <w:color w:val="000000"/>
          <w:kern w:val="0"/>
          <w:sz w:val="36"/>
          <w:szCs w:val="36"/>
          <w:highlight w:val="none"/>
        </w:rPr>
      </w:pPr>
    </w:p>
    <w:tbl>
      <w:tblPr>
        <w:tblStyle w:val="11"/>
        <w:tblW w:w="152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14"/>
        <w:gridCol w:w="515"/>
        <w:gridCol w:w="1365"/>
        <w:gridCol w:w="3895"/>
        <w:gridCol w:w="515"/>
        <w:gridCol w:w="1176"/>
        <w:gridCol w:w="1365"/>
        <w:gridCol w:w="1007"/>
        <w:gridCol w:w="1828"/>
      </w:tblGrid>
      <w:tr w14:paraId="5875D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280" w:type="dxa"/>
            <w:gridSpan w:val="9"/>
            <w:tcBorders>
              <w:top w:val="nil"/>
              <w:left w:val="nil"/>
              <w:bottom w:val="nil"/>
              <w:right w:val="nil"/>
            </w:tcBorders>
            <w:shd w:val="clear" w:color="auto" w:fill="auto"/>
            <w:noWrap/>
            <w:vAlign w:val="center"/>
          </w:tcPr>
          <w:p w14:paraId="3471A85E">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财政拨款收入支出决算总表</w:t>
            </w:r>
          </w:p>
        </w:tc>
      </w:tr>
      <w:tr w14:paraId="7943B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07C73E9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5B62CE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0F6518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C0DC7B4">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1AF510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592607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8512BF1">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BF475A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5CB7CE8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14:paraId="589D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73F53CD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4CD187A5">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8D3DC0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6A9EA7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B5B789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D9CB5E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C2DA81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E921C3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2343E2D7">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1953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E7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AB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     出</w:t>
            </w:r>
          </w:p>
        </w:tc>
      </w:tr>
      <w:tr w14:paraId="32EFE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CB63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E872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93C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37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BD42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34B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B1E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4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286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12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BB0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17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A9AB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4A994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67E67">
            <w:pPr>
              <w:jc w:val="center"/>
              <w:rPr>
                <w:rFonts w:hint="eastAsia" w:ascii="宋体" w:hAnsi="宋体" w:eastAsia="宋体" w:cs="宋体"/>
                <w:i w:val="0"/>
                <w:iCs w:val="0"/>
                <w:color w:val="000000"/>
                <w:sz w:val="22"/>
                <w:szCs w:val="22"/>
                <w:highlight w:val="none"/>
                <w:u w:val="none"/>
              </w:rPr>
            </w:pPr>
          </w:p>
        </w:tc>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3D115">
            <w:pPr>
              <w:jc w:val="center"/>
              <w:rPr>
                <w:rFonts w:hint="eastAsia" w:ascii="宋体" w:hAnsi="宋体" w:eastAsia="宋体" w:cs="宋体"/>
                <w:i w:val="0"/>
                <w:iCs w:val="0"/>
                <w:color w:val="000000"/>
                <w:sz w:val="22"/>
                <w:szCs w:val="22"/>
                <w:highlight w:val="none"/>
                <w:u w:val="none"/>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1E827">
            <w:pPr>
              <w:jc w:val="center"/>
              <w:rPr>
                <w:rFonts w:hint="eastAsia" w:ascii="宋体" w:hAnsi="宋体" w:eastAsia="宋体" w:cs="宋体"/>
                <w:i w:val="0"/>
                <w:iCs w:val="0"/>
                <w:color w:val="000000"/>
                <w:sz w:val="22"/>
                <w:szCs w:val="22"/>
                <w:highlight w:val="none"/>
                <w:u w:val="none"/>
              </w:rPr>
            </w:pPr>
          </w:p>
        </w:tc>
        <w:tc>
          <w:tcPr>
            <w:tcW w:w="37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65A2B">
            <w:pPr>
              <w:jc w:val="center"/>
              <w:rPr>
                <w:rFonts w:hint="eastAsia" w:ascii="宋体" w:hAnsi="宋体" w:eastAsia="宋体" w:cs="宋体"/>
                <w:i w:val="0"/>
                <w:iCs w:val="0"/>
                <w:color w:val="000000"/>
                <w:sz w:val="22"/>
                <w:szCs w:val="22"/>
                <w:highlight w:val="none"/>
                <w:u w:val="none"/>
              </w:rPr>
            </w:pPr>
          </w:p>
        </w:tc>
        <w:tc>
          <w:tcPr>
            <w:tcW w:w="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7535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BE1D3">
            <w:pPr>
              <w:jc w:val="center"/>
              <w:rPr>
                <w:rFonts w:hint="eastAsia" w:ascii="宋体" w:hAnsi="宋体" w:eastAsia="宋体" w:cs="宋体"/>
                <w:i w:val="0"/>
                <w:iCs w:val="0"/>
                <w:color w:val="000000"/>
                <w:sz w:val="22"/>
                <w:szCs w:val="22"/>
                <w:highlight w:val="none"/>
                <w:u w:val="none"/>
              </w:rPr>
            </w:pPr>
          </w:p>
        </w:tc>
        <w:tc>
          <w:tcPr>
            <w:tcW w:w="14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9B3C3">
            <w:pPr>
              <w:jc w:val="center"/>
              <w:rPr>
                <w:rFonts w:hint="eastAsia" w:ascii="宋体" w:hAnsi="宋体" w:eastAsia="宋体" w:cs="宋体"/>
                <w:i w:val="0"/>
                <w:iCs w:val="0"/>
                <w:color w:val="000000"/>
                <w:sz w:val="22"/>
                <w:szCs w:val="22"/>
                <w:highlight w:val="none"/>
                <w:u w:val="none"/>
              </w:rPr>
            </w:pPr>
          </w:p>
        </w:tc>
        <w:tc>
          <w:tcPr>
            <w:tcW w:w="12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72912">
            <w:pPr>
              <w:jc w:val="center"/>
              <w:rPr>
                <w:rFonts w:hint="eastAsia" w:ascii="宋体" w:hAnsi="宋体" w:eastAsia="宋体" w:cs="宋体"/>
                <w:i w:val="0"/>
                <w:iCs w:val="0"/>
                <w:color w:val="000000"/>
                <w:sz w:val="22"/>
                <w:szCs w:val="22"/>
                <w:highlight w:val="none"/>
                <w:u w:val="none"/>
              </w:rPr>
            </w:pPr>
          </w:p>
        </w:tc>
        <w:tc>
          <w:tcPr>
            <w:tcW w:w="17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8F2A4">
            <w:pPr>
              <w:jc w:val="center"/>
              <w:rPr>
                <w:rFonts w:hint="eastAsia" w:ascii="宋体" w:hAnsi="宋体" w:eastAsia="宋体" w:cs="宋体"/>
                <w:i w:val="0"/>
                <w:iCs w:val="0"/>
                <w:color w:val="000000"/>
                <w:sz w:val="22"/>
                <w:szCs w:val="22"/>
                <w:highlight w:val="none"/>
                <w:u w:val="none"/>
              </w:rPr>
            </w:pPr>
          </w:p>
        </w:tc>
      </w:tr>
      <w:tr w14:paraId="4CB3E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F9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FC5D">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7D5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A7D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FB643">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B20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59C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294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57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3DC6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5A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B8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51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55C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59A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081B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B7F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29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04D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B1BD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C6C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E68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8A6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5A0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969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2EA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529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A09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71B0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299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74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BB1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77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39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5B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710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E9A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78E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46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892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B6EF8">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AD8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BEB5">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D0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E7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E6A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790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59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5E9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F5C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5E8A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49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44CB">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A50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67B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52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5C5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6CA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E7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3C47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9FF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B7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07556">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996B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EA7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54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3DB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A96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EE9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F8C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2282">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858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164D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5B8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D5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1B1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9F3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E53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EB4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54CB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195F">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C75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5B27">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7B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B65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316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8BA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18B3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CC4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2076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8116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F75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83BE">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2E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B66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4F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D0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414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62F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D13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2F0A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0E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85D3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719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171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68D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04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FB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F36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0D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FEB6">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5BC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BCFF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6CD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966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5FB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791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B5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F7E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EDE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670C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6F8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60C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E0E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A5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B10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1B3D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B92C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51B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CB8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2B0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F6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249A1">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718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8A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A3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274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BD70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19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6BA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01D98">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6D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7C6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81D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7C8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58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F32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BED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C8A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3989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AB29">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3F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01F4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86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2C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EC7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E89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B1D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5F4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D1F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26DD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EB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C155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4E1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8BF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E1B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CB2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8E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8DC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40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89D9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5E2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A136">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3EF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D69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6FF6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43F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341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F79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D05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EC8A">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1C8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3879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2F8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658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E9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D7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2DA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C0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B9B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A8BC4">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FE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91C4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3FA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5A3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101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03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96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09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C50B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9B950">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2B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590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57A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320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223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C09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CA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22B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4A3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C09FA">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506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C38CB">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79C4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393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B83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4D5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B36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477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607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5BA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4FD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7D11">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F6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6A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9BB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87E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F056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7DE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2778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D48C">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AA9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9C8A4">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ADE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C46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FAE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D96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142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81A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A1A2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3807">
            <w:pPr>
              <w:jc w:val="center"/>
              <w:rPr>
                <w:rFonts w:hint="eastAsia" w:ascii="宋体" w:hAnsi="宋体" w:eastAsia="宋体" w:cs="宋体"/>
                <w:b/>
                <w:bCs/>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D3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B77A9">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F02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70F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C91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40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42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65D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893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EBB2C">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80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1E02">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F7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CE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4F7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F535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E2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A43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4CB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BA0B">
            <w:pPr>
              <w:jc w:val="left"/>
              <w:rPr>
                <w:rFonts w:hint="eastAsia" w:ascii="宋体" w:hAnsi="宋体" w:eastAsia="宋体" w:cs="宋体"/>
                <w:i w:val="0"/>
                <w:iCs w:val="0"/>
                <w:color w:val="000000"/>
                <w:sz w:val="20"/>
                <w:szCs w:val="20"/>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4F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5648">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B08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A7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761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BC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70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F57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3F7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55CC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03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DD2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89D9E">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F0B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8A2F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801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3A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E6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44A7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97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332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76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70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D7F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B5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DD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3CA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53E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90B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D85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E58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E2D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09CD7">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7D7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E64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BA91F">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4C2A">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26EA">
            <w:pPr>
              <w:jc w:val="right"/>
              <w:rPr>
                <w:rFonts w:hint="eastAsia" w:ascii="宋体" w:hAnsi="宋体" w:eastAsia="宋体" w:cs="宋体"/>
                <w:i w:val="0"/>
                <w:iCs w:val="0"/>
                <w:color w:val="000000"/>
                <w:sz w:val="22"/>
                <w:szCs w:val="22"/>
                <w:highlight w:val="none"/>
                <w:u w:val="none"/>
              </w:rPr>
            </w:pPr>
          </w:p>
        </w:tc>
      </w:tr>
      <w:tr w14:paraId="3B045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08D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4AF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837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8140C">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10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DB461">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4E1A3">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6C060">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60D6">
            <w:pPr>
              <w:jc w:val="right"/>
              <w:rPr>
                <w:rFonts w:hint="eastAsia" w:ascii="宋体" w:hAnsi="宋体" w:eastAsia="宋体" w:cs="宋体"/>
                <w:i w:val="0"/>
                <w:iCs w:val="0"/>
                <w:color w:val="000000"/>
                <w:sz w:val="22"/>
                <w:szCs w:val="22"/>
                <w:highlight w:val="none"/>
                <w:u w:val="none"/>
              </w:rPr>
            </w:pPr>
          </w:p>
        </w:tc>
      </w:tr>
      <w:tr w14:paraId="6522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116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52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A2E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48CFE">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EC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649F7">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9CFD">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E9591">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8D92C">
            <w:pPr>
              <w:jc w:val="right"/>
              <w:rPr>
                <w:rFonts w:hint="eastAsia" w:ascii="宋体" w:hAnsi="宋体" w:eastAsia="宋体" w:cs="宋体"/>
                <w:i w:val="0"/>
                <w:iCs w:val="0"/>
                <w:color w:val="000000"/>
                <w:sz w:val="22"/>
                <w:szCs w:val="22"/>
                <w:highlight w:val="none"/>
                <w:u w:val="none"/>
              </w:rPr>
            </w:pPr>
          </w:p>
        </w:tc>
      </w:tr>
      <w:tr w14:paraId="34F2E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C8B3">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E73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8E23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9D748">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E6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EDA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6B4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10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9E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5BA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8"/>
            <w:tcBorders>
              <w:top w:val="nil"/>
              <w:left w:val="nil"/>
              <w:bottom w:val="nil"/>
              <w:right w:val="nil"/>
            </w:tcBorders>
            <w:shd w:val="clear" w:color="auto" w:fill="auto"/>
            <w:noWrap/>
            <w:vAlign w:val="center"/>
          </w:tcPr>
          <w:p w14:paraId="0CE18F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6CAD9A88">
            <w:pPr>
              <w:jc w:val="left"/>
              <w:rPr>
                <w:rFonts w:hint="eastAsia" w:ascii="宋体" w:hAnsi="宋体" w:eastAsia="宋体" w:cs="宋体"/>
                <w:i w:val="0"/>
                <w:iCs w:val="0"/>
                <w:color w:val="000000"/>
                <w:sz w:val="20"/>
                <w:szCs w:val="20"/>
                <w:highlight w:val="none"/>
                <w:u w:val="none"/>
              </w:rPr>
            </w:pPr>
          </w:p>
        </w:tc>
      </w:tr>
    </w:tbl>
    <w:p w14:paraId="237E938D">
      <w:pPr>
        <w:pStyle w:val="2"/>
        <w:rPr>
          <w:rFonts w:hint="eastAsia" w:ascii="Times New Roman" w:hAnsi="Times New Roman" w:eastAsia="方正小标宋_GBK" w:cs="Times New Roman"/>
          <w:color w:val="000000"/>
          <w:kern w:val="0"/>
          <w:sz w:val="36"/>
          <w:szCs w:val="36"/>
          <w:highlight w:val="none"/>
        </w:rPr>
      </w:pPr>
    </w:p>
    <w:p w14:paraId="70FE88CA">
      <w:pPr>
        <w:pStyle w:val="2"/>
        <w:rPr>
          <w:rFonts w:hint="eastAsia" w:ascii="Times New Roman" w:hAnsi="Times New Roman" w:eastAsia="方正小标宋_GBK" w:cs="Times New Roman"/>
          <w:color w:val="000000"/>
          <w:kern w:val="0"/>
          <w:sz w:val="36"/>
          <w:szCs w:val="36"/>
          <w:highlight w:val="none"/>
        </w:rPr>
      </w:pPr>
    </w:p>
    <w:p w14:paraId="357E4762">
      <w:pPr>
        <w:pStyle w:val="2"/>
        <w:rPr>
          <w:rFonts w:hint="eastAsia" w:ascii="Times New Roman" w:hAnsi="Times New Roman" w:eastAsia="方正小标宋_GBK" w:cs="Times New Roman"/>
          <w:color w:val="000000"/>
          <w:kern w:val="0"/>
          <w:sz w:val="36"/>
          <w:szCs w:val="36"/>
          <w:highlight w:val="none"/>
        </w:rPr>
      </w:pPr>
    </w:p>
    <w:p w14:paraId="00CDC7C9">
      <w:pPr>
        <w:pStyle w:val="2"/>
        <w:rPr>
          <w:rFonts w:hint="eastAsia" w:ascii="Times New Roman" w:hAnsi="Times New Roman" w:eastAsia="方正小标宋_GBK" w:cs="Times New Roman"/>
          <w:color w:val="000000"/>
          <w:kern w:val="0"/>
          <w:sz w:val="36"/>
          <w:szCs w:val="36"/>
          <w:highlight w:val="none"/>
        </w:rPr>
      </w:pPr>
    </w:p>
    <w:p w14:paraId="0A684E8C">
      <w:pPr>
        <w:pStyle w:val="2"/>
        <w:rPr>
          <w:rFonts w:hint="eastAsia" w:ascii="Times New Roman" w:hAnsi="Times New Roman" w:eastAsia="方正小标宋_GBK" w:cs="Times New Roman"/>
          <w:color w:val="000000"/>
          <w:kern w:val="0"/>
          <w:sz w:val="36"/>
          <w:szCs w:val="36"/>
          <w:highlight w:val="none"/>
        </w:rPr>
      </w:pPr>
    </w:p>
    <w:p w14:paraId="6F7BE5B4">
      <w:pPr>
        <w:pStyle w:val="2"/>
        <w:rPr>
          <w:rFonts w:hint="eastAsia" w:ascii="Times New Roman" w:hAnsi="Times New Roman" w:eastAsia="方正小标宋_GBK" w:cs="Times New Roman"/>
          <w:color w:val="000000"/>
          <w:kern w:val="0"/>
          <w:sz w:val="36"/>
          <w:szCs w:val="36"/>
          <w:highlight w:val="none"/>
        </w:rPr>
      </w:pPr>
    </w:p>
    <w:p w14:paraId="685A76F4">
      <w:pPr>
        <w:pStyle w:val="2"/>
        <w:rPr>
          <w:rFonts w:hint="eastAsia" w:ascii="Times New Roman" w:hAnsi="Times New Roman" w:eastAsia="方正小标宋_GBK" w:cs="Times New Roman"/>
          <w:color w:val="000000"/>
          <w:kern w:val="0"/>
          <w:sz w:val="36"/>
          <w:szCs w:val="36"/>
          <w:highlight w:val="none"/>
        </w:rPr>
      </w:pPr>
    </w:p>
    <w:tbl>
      <w:tblPr>
        <w:tblStyle w:val="11"/>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222"/>
        <w:gridCol w:w="222"/>
        <w:gridCol w:w="4616"/>
        <w:gridCol w:w="1158"/>
        <w:gridCol w:w="1158"/>
        <w:gridCol w:w="1679"/>
      </w:tblGrid>
      <w:tr w14:paraId="0290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11670" w:type="dxa"/>
            <w:gridSpan w:val="7"/>
            <w:tcBorders>
              <w:top w:val="nil"/>
              <w:left w:val="nil"/>
              <w:bottom w:val="nil"/>
              <w:right w:val="nil"/>
            </w:tcBorders>
            <w:shd w:val="clear" w:color="auto" w:fill="auto"/>
            <w:noWrap/>
            <w:vAlign w:val="center"/>
          </w:tcPr>
          <w:p w14:paraId="49268025">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一般公共预算财政拨款支出决算表</w:t>
            </w:r>
          </w:p>
        </w:tc>
      </w:tr>
      <w:tr w14:paraId="322D0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297021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A34170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0F897D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7B771B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C08DED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70E1E6D">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6213CA9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4B281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BA5295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45C7896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0AE374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C41C7E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02408E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A2EE0F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23FF7641">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9616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73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31E1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0B180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421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93A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AC90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733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A3C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5C570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EA402">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AFE1A">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E04A2">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F80E5">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D1B75">
            <w:pPr>
              <w:jc w:val="center"/>
              <w:rPr>
                <w:rFonts w:hint="eastAsia" w:ascii="宋体" w:hAnsi="宋体" w:eastAsia="宋体" w:cs="宋体"/>
                <w:i w:val="0"/>
                <w:iCs w:val="0"/>
                <w:color w:val="000000"/>
                <w:sz w:val="22"/>
                <w:szCs w:val="22"/>
                <w:highlight w:val="none"/>
                <w:u w:val="none"/>
              </w:rPr>
            </w:pPr>
          </w:p>
        </w:tc>
      </w:tr>
      <w:tr w14:paraId="1A576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F2BC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B91F7">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21F8F">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46CA9">
            <w:pPr>
              <w:jc w:val="center"/>
              <w:rPr>
                <w:rFonts w:hint="eastAsia" w:ascii="宋体" w:hAnsi="宋体" w:eastAsia="宋体" w:cs="宋体"/>
                <w:i w:val="0"/>
                <w:iCs w:val="0"/>
                <w:color w:val="000000"/>
                <w:sz w:val="22"/>
                <w:szCs w:val="22"/>
                <w:highlight w:val="none"/>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2B4D85">
            <w:pPr>
              <w:jc w:val="center"/>
              <w:rPr>
                <w:rFonts w:hint="eastAsia" w:ascii="宋体" w:hAnsi="宋体" w:eastAsia="宋体" w:cs="宋体"/>
                <w:i w:val="0"/>
                <w:iCs w:val="0"/>
                <w:color w:val="000000"/>
                <w:sz w:val="22"/>
                <w:szCs w:val="22"/>
                <w:highlight w:val="none"/>
                <w:u w:val="none"/>
              </w:rPr>
            </w:pPr>
          </w:p>
        </w:tc>
      </w:tr>
      <w:tr w14:paraId="1579F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87A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CE8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3B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EB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3C34F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740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829F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8,129.36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F117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1,148.00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0745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6,981.36</w:t>
            </w:r>
          </w:p>
        </w:tc>
      </w:tr>
      <w:tr w14:paraId="7309F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4D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88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AE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2C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609.95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D70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931.13</w:t>
            </w:r>
          </w:p>
        </w:tc>
      </w:tr>
      <w:tr w14:paraId="5824C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A4ED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D82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发展与改革事务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2896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684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DD1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931.13</w:t>
            </w:r>
          </w:p>
        </w:tc>
      </w:tr>
      <w:tr w14:paraId="484F2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757B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60A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233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A9D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905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108.35</w:t>
            </w:r>
          </w:p>
        </w:tc>
      </w:tr>
      <w:tr w14:paraId="41202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488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D69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8A5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51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22D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w:t>
            </w:r>
          </w:p>
        </w:tc>
      </w:tr>
      <w:tr w14:paraId="60EA4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21E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2F4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其他发展与改革事务支出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ABF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A0E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F13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812.79</w:t>
            </w:r>
          </w:p>
        </w:tc>
      </w:tr>
      <w:tr w14:paraId="36AC3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678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1882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纪检监察事务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42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03F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FD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7C9D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5E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273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68A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402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E4B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574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1B9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5BD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27E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78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41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2C1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92E4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28A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469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CE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B20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034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538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98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D372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E55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83E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09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C4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5F4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F01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E2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993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59DA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AF7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70A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649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54E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FC9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6C9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84C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F5A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741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AB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3C1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6C13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60A1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B94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D79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DD4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CE1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88F4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61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0B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E39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E65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036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84B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2D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69F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93B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22D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42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4,699.25</w:t>
            </w:r>
          </w:p>
        </w:tc>
      </w:tr>
      <w:tr w14:paraId="44C2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12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5CE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A3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A22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68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r>
      <w:tr w14:paraId="1FB54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62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B32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生态保护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4B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9473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A89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126.00</w:t>
            </w:r>
          </w:p>
        </w:tc>
      </w:tr>
      <w:tr w14:paraId="1FC2B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6DD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DD8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EDA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646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A05D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374D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A7F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130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能源节约利用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B0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90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43D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12B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7F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713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A40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D72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1874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r>
      <w:tr w14:paraId="1F081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0156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94E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73D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88F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21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4,573.25</w:t>
            </w:r>
          </w:p>
        </w:tc>
      </w:tr>
      <w:tr w14:paraId="5BB85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8BA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E6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0F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56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730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1B4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521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400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城乡社区管理事务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CF8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8EB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1F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A6F1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298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46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其他城乡社区管理事务支出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D55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AA4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90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BFC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96E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D17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002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07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3F2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902.73</w:t>
            </w:r>
          </w:p>
        </w:tc>
      </w:tr>
      <w:tr w14:paraId="54BB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EF65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E88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041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BF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AFC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r>
      <w:tr w14:paraId="36A55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320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5D9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E35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5C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E6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894.73</w:t>
            </w:r>
          </w:p>
        </w:tc>
      </w:tr>
      <w:tr w14:paraId="62E7B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D02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F8E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巩固拓展脱贫攻坚成果衔接乡村振兴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05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E7E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4DB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r>
      <w:tr w14:paraId="14DB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29B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CEC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83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B5C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D11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r>
      <w:tr w14:paraId="0C575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BE1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72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其他巩固拓展脱贫攻坚成果衔接乡村振兴支出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988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A2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796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A16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9A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0BB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782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7B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F2B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305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6D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37A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CC97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4F4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E4D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E46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972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12A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64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42C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89B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60E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872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7AB1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E16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9C5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E0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443.25</w:t>
            </w:r>
          </w:p>
        </w:tc>
      </w:tr>
      <w:tr w14:paraId="6EDB0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618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05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43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03F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1B0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264.33</w:t>
            </w:r>
          </w:p>
        </w:tc>
      </w:tr>
      <w:tr w14:paraId="74874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72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FCBE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粮食财务挂账利息补贴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8CB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109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FED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78.33</w:t>
            </w:r>
          </w:p>
        </w:tc>
      </w:tr>
      <w:tr w14:paraId="76FB9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B7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04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粮食风险基金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8C2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D32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56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186.00</w:t>
            </w:r>
          </w:p>
        </w:tc>
      </w:tr>
      <w:tr w14:paraId="032FD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011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ED1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物资保管保养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78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D2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03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F7A2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14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31F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999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798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E4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15D98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AB4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54E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粮油储备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16E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566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C075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r>
      <w:tr w14:paraId="34D7C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D61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A9D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储备粮油补贴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34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C22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B0B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178.92</w:t>
            </w:r>
          </w:p>
        </w:tc>
      </w:tr>
      <w:tr w14:paraId="06D3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92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2220499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BC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其他粮油储备支出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131B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EA3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9D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DE15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1A6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46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10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6893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0E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r>
      <w:tr w14:paraId="73E8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F42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C397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F334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32E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5EFE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r>
      <w:tr w14:paraId="46D18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04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03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31B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9DE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4A3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r>
      <w:tr w14:paraId="3171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217ECE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14:paraId="013E2E61">
      <w:pPr>
        <w:pStyle w:val="2"/>
        <w:rPr>
          <w:rFonts w:hint="eastAsia" w:ascii="Times New Roman" w:hAnsi="Times New Roman" w:eastAsia="方正小标宋_GBK" w:cs="Times New Roman"/>
          <w:color w:val="000000"/>
          <w:kern w:val="0"/>
          <w:sz w:val="36"/>
          <w:szCs w:val="36"/>
          <w:highlight w:val="none"/>
        </w:rPr>
      </w:pPr>
    </w:p>
    <w:p w14:paraId="3D3E4C7C">
      <w:pPr>
        <w:pStyle w:val="2"/>
        <w:rPr>
          <w:rFonts w:hint="eastAsia" w:ascii="Times New Roman" w:hAnsi="Times New Roman" w:eastAsia="方正小标宋_GBK" w:cs="Times New Roman"/>
          <w:color w:val="000000"/>
          <w:kern w:val="0"/>
          <w:sz w:val="36"/>
          <w:szCs w:val="36"/>
          <w:highlight w:val="none"/>
        </w:rPr>
      </w:pPr>
    </w:p>
    <w:tbl>
      <w:tblPr>
        <w:tblStyle w:val="11"/>
        <w:tblW w:w="158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3516"/>
        <w:gridCol w:w="1132"/>
        <w:gridCol w:w="766"/>
        <w:gridCol w:w="2494"/>
        <w:gridCol w:w="905"/>
        <w:gridCol w:w="766"/>
        <w:gridCol w:w="4396"/>
        <w:gridCol w:w="1059"/>
      </w:tblGrid>
      <w:tr w14:paraId="581F3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22" w:hRule="atLeast"/>
        </w:trPr>
        <w:tc>
          <w:tcPr>
            <w:tcW w:w="15800" w:type="dxa"/>
            <w:gridSpan w:val="9"/>
            <w:tcBorders>
              <w:top w:val="nil"/>
              <w:left w:val="nil"/>
              <w:bottom w:val="nil"/>
              <w:right w:val="nil"/>
            </w:tcBorders>
            <w:shd w:val="clear" w:color="auto" w:fill="auto"/>
            <w:noWrap/>
            <w:vAlign w:val="center"/>
          </w:tcPr>
          <w:p w14:paraId="307A1C2F">
            <w:pPr>
              <w:keepNext w:val="0"/>
              <w:keepLines w:val="0"/>
              <w:widowControl/>
              <w:suppressLineNumbers w:val="0"/>
              <w:jc w:val="center"/>
              <w:textAlignment w:val="center"/>
              <w:rPr>
                <w:rFonts w:ascii="黑体" w:hAnsi="宋体" w:eastAsia="黑体" w:cs="黑体"/>
                <w:i w:val="0"/>
                <w:iCs w:val="0"/>
                <w:color w:val="000000"/>
                <w:sz w:val="30"/>
                <w:szCs w:val="30"/>
                <w:highlight w:val="none"/>
                <w:u w:val="none"/>
              </w:rPr>
            </w:pPr>
            <w:r>
              <w:rPr>
                <w:rFonts w:hint="eastAsia" w:ascii="黑体" w:hAnsi="宋体" w:eastAsia="黑体" w:cs="黑体"/>
                <w:i w:val="0"/>
                <w:iCs w:val="0"/>
                <w:color w:val="000000"/>
                <w:kern w:val="0"/>
                <w:sz w:val="30"/>
                <w:szCs w:val="30"/>
                <w:highlight w:val="none"/>
                <w:u w:val="none"/>
                <w:lang w:val="en-US" w:eastAsia="zh-CN" w:bidi="ar"/>
              </w:rPr>
              <w:t>一般公共预算财政拨款基本支出决算明细表</w:t>
            </w:r>
          </w:p>
        </w:tc>
      </w:tr>
      <w:tr w14:paraId="0A4C4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1" w:hRule="atLeast"/>
        </w:trPr>
        <w:tc>
          <w:tcPr>
            <w:tcW w:w="0" w:type="auto"/>
            <w:tcBorders>
              <w:top w:val="nil"/>
              <w:left w:val="nil"/>
              <w:bottom w:val="nil"/>
              <w:right w:val="nil"/>
            </w:tcBorders>
            <w:shd w:val="clear" w:color="auto" w:fill="auto"/>
            <w:noWrap/>
            <w:vAlign w:val="center"/>
          </w:tcPr>
          <w:p w14:paraId="17F55B9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4E055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6C46EE9">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4F6A78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97B5B4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36A3F0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984BE7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F7F26D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0AAD2E1B">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327D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 w:hRule="atLeast"/>
        </w:trPr>
        <w:tc>
          <w:tcPr>
            <w:tcW w:w="0" w:type="auto"/>
            <w:gridSpan w:val="2"/>
            <w:tcBorders>
              <w:top w:val="nil"/>
              <w:left w:val="nil"/>
              <w:bottom w:val="nil"/>
              <w:right w:val="nil"/>
            </w:tcBorders>
            <w:shd w:val="clear" w:color="auto" w:fill="auto"/>
            <w:noWrap/>
            <w:vAlign w:val="bottom"/>
          </w:tcPr>
          <w:p w14:paraId="3978BA17">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6686322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BDE17E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41829E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362FF3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C1660BB">
            <w:pPr>
              <w:rPr>
                <w:rFonts w:hint="eastAsia" w:ascii="宋体" w:hAnsi="宋体" w:eastAsia="宋体" w:cs="宋体"/>
                <w:i w:val="0"/>
                <w:iCs w:val="0"/>
                <w:color w:val="000000"/>
                <w:sz w:val="22"/>
                <w:szCs w:val="22"/>
                <w:highlight w:val="none"/>
                <w:u w:val="none"/>
              </w:rPr>
            </w:pPr>
          </w:p>
        </w:tc>
        <w:tc>
          <w:tcPr>
            <w:tcW w:w="0" w:type="auto"/>
            <w:gridSpan w:val="2"/>
            <w:tcBorders>
              <w:top w:val="nil"/>
              <w:left w:val="nil"/>
              <w:bottom w:val="nil"/>
              <w:right w:val="nil"/>
            </w:tcBorders>
            <w:shd w:val="clear" w:color="auto" w:fill="auto"/>
            <w:noWrap/>
            <w:vAlign w:val="bottom"/>
          </w:tcPr>
          <w:p w14:paraId="7F99467A">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60FC0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53F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FB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34500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573B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38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A4FD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8760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2683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6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582E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0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DE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633A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2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8ED9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1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D6C4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3DAE8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68225">
            <w:pPr>
              <w:jc w:val="center"/>
              <w:rPr>
                <w:rFonts w:hint="eastAsia" w:ascii="宋体" w:hAnsi="宋体" w:eastAsia="宋体" w:cs="宋体"/>
                <w:i w:val="0"/>
                <w:iCs w:val="0"/>
                <w:color w:val="000000"/>
                <w:sz w:val="22"/>
                <w:szCs w:val="22"/>
                <w:highlight w:val="none"/>
                <w:u w:val="none"/>
              </w:rPr>
            </w:pPr>
          </w:p>
        </w:tc>
        <w:tc>
          <w:tcPr>
            <w:tcW w:w="338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0ECB2">
            <w:pPr>
              <w:jc w:val="center"/>
              <w:rPr>
                <w:rFonts w:hint="eastAsia" w:ascii="宋体" w:hAnsi="宋体" w:eastAsia="宋体" w:cs="宋体"/>
                <w:i w:val="0"/>
                <w:iCs w:val="0"/>
                <w:color w:val="000000"/>
                <w:sz w:val="22"/>
                <w:szCs w:val="22"/>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BEE7E">
            <w:pPr>
              <w:jc w:val="center"/>
              <w:rPr>
                <w:rFonts w:hint="eastAsia" w:ascii="宋体" w:hAnsi="宋体" w:eastAsia="宋体" w:cs="宋体"/>
                <w:i w:val="0"/>
                <w:iCs w:val="0"/>
                <w:color w:val="000000"/>
                <w:sz w:val="22"/>
                <w:szCs w:val="22"/>
                <w:highlight w:val="none"/>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D1007">
            <w:pPr>
              <w:jc w:val="center"/>
              <w:rPr>
                <w:rFonts w:hint="eastAsia" w:ascii="宋体" w:hAnsi="宋体" w:eastAsia="宋体" w:cs="宋体"/>
                <w:i w:val="0"/>
                <w:iCs w:val="0"/>
                <w:color w:val="000000"/>
                <w:sz w:val="22"/>
                <w:szCs w:val="22"/>
                <w:highlight w:val="none"/>
                <w:u w:val="none"/>
              </w:rPr>
            </w:pPr>
          </w:p>
        </w:tc>
        <w:tc>
          <w:tcPr>
            <w:tcW w:w="26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9B244">
            <w:pPr>
              <w:jc w:val="center"/>
              <w:rPr>
                <w:rFonts w:hint="eastAsia" w:ascii="宋体" w:hAnsi="宋体" w:eastAsia="宋体" w:cs="宋体"/>
                <w:i w:val="0"/>
                <w:iCs w:val="0"/>
                <w:color w:val="000000"/>
                <w:sz w:val="22"/>
                <w:szCs w:val="22"/>
                <w:highlight w:val="none"/>
                <w:u w:val="none"/>
              </w:rPr>
            </w:pPr>
          </w:p>
        </w:tc>
        <w:tc>
          <w:tcPr>
            <w:tcW w:w="10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B11F2">
            <w:pPr>
              <w:jc w:val="center"/>
              <w:rPr>
                <w:rFonts w:hint="eastAsia" w:ascii="宋体" w:hAnsi="宋体" w:eastAsia="宋体" w:cs="宋体"/>
                <w:i w:val="0"/>
                <w:iCs w:val="0"/>
                <w:color w:val="000000"/>
                <w:sz w:val="22"/>
                <w:szCs w:val="22"/>
                <w:highlight w:val="none"/>
                <w:u w:val="none"/>
              </w:rPr>
            </w:pPr>
          </w:p>
        </w:tc>
        <w:tc>
          <w:tcPr>
            <w:tcW w:w="7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3E1CB">
            <w:pPr>
              <w:jc w:val="center"/>
              <w:rPr>
                <w:rFonts w:hint="eastAsia" w:ascii="宋体" w:hAnsi="宋体" w:eastAsia="宋体" w:cs="宋体"/>
                <w:i w:val="0"/>
                <w:iCs w:val="0"/>
                <w:color w:val="000000"/>
                <w:sz w:val="22"/>
                <w:szCs w:val="22"/>
                <w:highlight w:val="none"/>
                <w:u w:val="none"/>
              </w:rPr>
            </w:pPr>
          </w:p>
        </w:tc>
        <w:tc>
          <w:tcPr>
            <w:tcW w:w="42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3B27A">
            <w:pPr>
              <w:jc w:val="center"/>
              <w:rPr>
                <w:rFonts w:hint="eastAsia" w:ascii="宋体" w:hAnsi="宋体" w:eastAsia="宋体" w:cs="宋体"/>
                <w:i w:val="0"/>
                <w:iCs w:val="0"/>
                <w:color w:val="000000"/>
                <w:sz w:val="22"/>
                <w:szCs w:val="22"/>
                <w:highlight w:val="none"/>
                <w:u w:val="none"/>
              </w:rPr>
            </w:pPr>
          </w:p>
        </w:tc>
        <w:tc>
          <w:tcPr>
            <w:tcW w:w="11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485E8">
            <w:pPr>
              <w:jc w:val="center"/>
              <w:rPr>
                <w:rFonts w:hint="eastAsia" w:ascii="宋体" w:hAnsi="宋体" w:eastAsia="宋体" w:cs="宋体"/>
                <w:i w:val="0"/>
                <w:iCs w:val="0"/>
                <w:color w:val="000000"/>
                <w:sz w:val="22"/>
                <w:szCs w:val="22"/>
                <w:highlight w:val="none"/>
                <w:u w:val="none"/>
              </w:rPr>
            </w:pPr>
          </w:p>
        </w:tc>
      </w:tr>
      <w:tr w14:paraId="63DEA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85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3EC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69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847.90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AEB5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F9BA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5EB6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02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4A3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30A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8FE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AED5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5CA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E88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358.98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445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82C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76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236C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DC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0674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4B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DEC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55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BB8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B7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8B51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F9B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B09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5E3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C93F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A86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09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E6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7CA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87F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64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D6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0BB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1D9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2D0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r>
      <w:tr w14:paraId="4D9AD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1E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D89C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168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739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338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00B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33B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F79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E68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C7D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8D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843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984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C0A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CDEA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805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B60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519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B9B1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r>
      <w:tr w14:paraId="344AD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F6E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6B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0E0F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F39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A5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F93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8C3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50E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105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E2F0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48B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CEC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E45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512F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D51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991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4C2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A6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BA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AB7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551F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A6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523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C83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A6A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4F3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224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95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869B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9106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C4D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A4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AA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FEF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8CCF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2B0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50F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DA0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3055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20E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3E3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0B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6E53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3D57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A8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811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692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6DF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1C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9AB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031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7D76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F96C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1FB5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5D5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380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53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A0BC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8CE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9634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C7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3A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D3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1A9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6F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C73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C138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6D9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F1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DF2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6EE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3229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9C4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16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A39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4C3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929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66C6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AC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356B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1C4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778F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C1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C62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243F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663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D7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C5F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F1B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EF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13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CE2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A54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440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8496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E7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A46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7381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4F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0200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74B6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FC8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4F1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2D80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59C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EC7E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043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9877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B234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BBB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4FE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E33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EF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404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5CE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D13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B13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15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6177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47E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3B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1334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F2D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9FA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873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CD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5CA8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A3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1ED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425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CEE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C9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AFD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94B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D81C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51D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7B2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4204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5FB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31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389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89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C8B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D8F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FC9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AC7B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8D5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D89F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D298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9B2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D5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BE2D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D602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3020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62E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1A5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91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E773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A09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D14B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68AB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2F2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4F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0C8C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CBBE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23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282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C802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FD3F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08FD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A6CF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8ED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4A7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37A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AD2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6C4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4DBE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A7E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C756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066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18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BF4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3A0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48B6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DC9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BBD4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70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1767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A2B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F4A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68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809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D2A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4D2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243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B9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9E70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9A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D28A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7927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8110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A05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AC6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DB1D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A7D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C72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2100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78DB">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D76C5">
            <w:pPr>
              <w:jc w:val="right"/>
              <w:rPr>
                <w:rFonts w:hint="eastAsia" w:ascii="宋体" w:hAnsi="宋体" w:eastAsia="宋体" w:cs="宋体"/>
                <w:i w:val="0"/>
                <w:iCs w:val="0"/>
                <w:color w:val="000000"/>
                <w:sz w:val="22"/>
                <w:szCs w:val="22"/>
                <w:highlight w:val="none"/>
                <w:u w:val="none"/>
              </w:rPr>
            </w:pPr>
          </w:p>
        </w:tc>
      </w:tr>
      <w:tr w14:paraId="4EA07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60F0D">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A683C">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6168D">
            <w:pPr>
              <w:jc w:val="righ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960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86C0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42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21A0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B163">
            <w:pPr>
              <w:jc w:val="left"/>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605AE">
            <w:pPr>
              <w:jc w:val="right"/>
              <w:rPr>
                <w:rFonts w:hint="eastAsia" w:ascii="宋体" w:hAnsi="宋体" w:eastAsia="宋体" w:cs="宋体"/>
                <w:i w:val="0"/>
                <w:iCs w:val="0"/>
                <w:color w:val="000000"/>
                <w:sz w:val="22"/>
                <w:szCs w:val="22"/>
                <w:highlight w:val="none"/>
                <w:u w:val="none"/>
              </w:rPr>
            </w:pPr>
          </w:p>
        </w:tc>
      </w:tr>
      <w:tr w14:paraId="08476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1"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648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92F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1,046.35</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1F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29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101.65</w:t>
            </w:r>
          </w:p>
        </w:tc>
      </w:tr>
      <w:tr w14:paraId="31F92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1" w:hRule="atLeast"/>
        </w:trPr>
        <w:tc>
          <w:tcPr>
            <w:tcW w:w="0" w:type="auto"/>
            <w:gridSpan w:val="9"/>
            <w:tcBorders>
              <w:top w:val="nil"/>
              <w:left w:val="nil"/>
              <w:bottom w:val="nil"/>
              <w:right w:val="nil"/>
            </w:tcBorders>
            <w:shd w:val="clear" w:color="auto" w:fill="auto"/>
            <w:noWrap/>
            <w:vAlign w:val="center"/>
          </w:tcPr>
          <w:p w14:paraId="090B34B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14:paraId="299935BE">
      <w:pPr>
        <w:pStyle w:val="2"/>
        <w:rPr>
          <w:rFonts w:hint="eastAsia" w:ascii="Times New Roman" w:hAnsi="Times New Roman" w:eastAsia="方正小标宋_GBK" w:cs="Times New Roman"/>
          <w:color w:val="000000"/>
          <w:kern w:val="0"/>
          <w:sz w:val="36"/>
          <w:szCs w:val="36"/>
          <w:highlight w:val="none"/>
        </w:rPr>
      </w:pPr>
    </w:p>
    <w:p w14:paraId="419AD354">
      <w:pPr>
        <w:pStyle w:val="2"/>
        <w:rPr>
          <w:rFonts w:hint="eastAsia" w:ascii="Times New Roman" w:hAnsi="Times New Roman" w:eastAsia="方正小标宋_GBK" w:cs="Times New Roman"/>
          <w:color w:val="000000"/>
          <w:kern w:val="0"/>
          <w:sz w:val="36"/>
          <w:szCs w:val="36"/>
          <w:highlight w:val="none"/>
        </w:rPr>
      </w:pPr>
    </w:p>
    <w:p w14:paraId="45180B98">
      <w:pPr>
        <w:pStyle w:val="2"/>
        <w:rPr>
          <w:rFonts w:hint="eastAsia" w:ascii="Times New Roman" w:hAnsi="Times New Roman" w:eastAsia="方正小标宋_GBK" w:cs="Times New Roman"/>
          <w:color w:val="000000"/>
          <w:kern w:val="0"/>
          <w:sz w:val="36"/>
          <w:szCs w:val="36"/>
          <w:highlight w:val="none"/>
        </w:rPr>
      </w:pPr>
    </w:p>
    <w:p w14:paraId="37E2C477">
      <w:pPr>
        <w:pStyle w:val="2"/>
        <w:rPr>
          <w:rFonts w:hint="eastAsia" w:ascii="Times New Roman" w:hAnsi="Times New Roman" w:eastAsia="方正小标宋_GBK" w:cs="Times New Roman"/>
          <w:color w:val="000000"/>
          <w:kern w:val="0"/>
          <w:sz w:val="36"/>
          <w:szCs w:val="36"/>
          <w:highlight w:val="none"/>
        </w:rPr>
      </w:pPr>
    </w:p>
    <w:p w14:paraId="42C46C2A">
      <w:pPr>
        <w:pStyle w:val="2"/>
        <w:rPr>
          <w:rFonts w:hint="eastAsia" w:ascii="Times New Roman" w:hAnsi="Times New Roman" w:eastAsia="方正小标宋_GBK" w:cs="Times New Roman"/>
          <w:color w:val="000000"/>
          <w:kern w:val="0"/>
          <w:sz w:val="36"/>
          <w:szCs w:val="36"/>
          <w:highlight w:val="none"/>
        </w:rPr>
      </w:pPr>
    </w:p>
    <w:p w14:paraId="582C5AE7">
      <w:pPr>
        <w:pStyle w:val="2"/>
        <w:rPr>
          <w:rFonts w:hint="eastAsia" w:ascii="Times New Roman" w:hAnsi="Times New Roman" w:eastAsia="方正小标宋_GBK" w:cs="Times New Roman"/>
          <w:color w:val="000000"/>
          <w:kern w:val="0"/>
          <w:sz w:val="36"/>
          <w:szCs w:val="36"/>
          <w:highlight w:val="none"/>
        </w:rPr>
      </w:pPr>
    </w:p>
    <w:p w14:paraId="3208F6F1">
      <w:pPr>
        <w:pStyle w:val="2"/>
        <w:rPr>
          <w:rFonts w:hint="eastAsia" w:ascii="Times New Roman" w:hAnsi="Times New Roman" w:eastAsia="方正小标宋_GBK" w:cs="Times New Roman"/>
          <w:color w:val="000000"/>
          <w:kern w:val="0"/>
          <w:sz w:val="36"/>
          <w:szCs w:val="36"/>
          <w:highlight w:val="none"/>
        </w:rPr>
      </w:pPr>
    </w:p>
    <w:p w14:paraId="66D9153C">
      <w:pPr>
        <w:pStyle w:val="2"/>
        <w:rPr>
          <w:rFonts w:hint="eastAsia" w:ascii="Times New Roman" w:hAnsi="Times New Roman" w:eastAsia="方正小标宋_GBK" w:cs="Times New Roman"/>
          <w:color w:val="000000"/>
          <w:kern w:val="0"/>
          <w:sz w:val="36"/>
          <w:szCs w:val="36"/>
          <w:highlight w:val="none"/>
        </w:rPr>
      </w:pPr>
    </w:p>
    <w:p w14:paraId="213F72B5">
      <w:pPr>
        <w:pStyle w:val="2"/>
        <w:rPr>
          <w:rFonts w:hint="eastAsia" w:ascii="Times New Roman" w:hAnsi="Times New Roman" w:eastAsia="方正小标宋_GBK" w:cs="Times New Roman"/>
          <w:color w:val="000000"/>
          <w:kern w:val="0"/>
          <w:sz w:val="36"/>
          <w:szCs w:val="36"/>
          <w:highlight w:val="none"/>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03"/>
        <w:gridCol w:w="240"/>
        <w:gridCol w:w="1402"/>
        <w:gridCol w:w="2119"/>
        <w:gridCol w:w="2119"/>
        <w:gridCol w:w="2119"/>
        <w:gridCol w:w="2119"/>
        <w:gridCol w:w="2119"/>
        <w:gridCol w:w="2120"/>
      </w:tblGrid>
      <w:tr w14:paraId="75F39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90" w:hRule="atLeast"/>
        </w:trPr>
        <w:tc>
          <w:tcPr>
            <w:tcW w:w="15360" w:type="dxa"/>
            <w:gridSpan w:val="9"/>
            <w:tcBorders>
              <w:top w:val="nil"/>
              <w:left w:val="nil"/>
              <w:bottom w:val="nil"/>
              <w:right w:val="nil"/>
            </w:tcBorders>
            <w:shd w:val="clear" w:color="auto" w:fill="auto"/>
            <w:vAlign w:val="center"/>
          </w:tcPr>
          <w:p w14:paraId="0765ABE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highlight w:val="none"/>
                <w:u w:val="none"/>
                <w:lang w:val="en-US" w:eastAsia="zh-CN" w:bidi="ar"/>
              </w:rPr>
            </w:pPr>
          </w:p>
          <w:p w14:paraId="005B8188">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政府性基金预算财政拨款收入支出决算表</w:t>
            </w:r>
          </w:p>
        </w:tc>
      </w:tr>
      <w:tr w14:paraId="1E87D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45" w:hRule="atLeast"/>
        </w:trPr>
        <w:tc>
          <w:tcPr>
            <w:tcW w:w="1003" w:type="dxa"/>
            <w:tcBorders>
              <w:top w:val="nil"/>
              <w:left w:val="nil"/>
              <w:bottom w:val="nil"/>
              <w:right w:val="nil"/>
            </w:tcBorders>
            <w:shd w:val="clear" w:color="auto" w:fill="auto"/>
            <w:vAlign w:val="center"/>
          </w:tcPr>
          <w:p w14:paraId="5B48CCE3">
            <w:pPr>
              <w:jc w:val="center"/>
              <w:rPr>
                <w:rFonts w:hint="eastAsia" w:ascii="宋体" w:hAnsi="宋体" w:eastAsia="宋体" w:cs="宋体"/>
                <w:i w:val="0"/>
                <w:color w:val="000000"/>
                <w:sz w:val="20"/>
                <w:szCs w:val="20"/>
                <w:highlight w:val="none"/>
                <w:u w:val="none"/>
              </w:rPr>
            </w:pPr>
          </w:p>
        </w:tc>
        <w:tc>
          <w:tcPr>
            <w:tcW w:w="240" w:type="dxa"/>
            <w:tcBorders>
              <w:top w:val="nil"/>
              <w:left w:val="nil"/>
              <w:bottom w:val="nil"/>
              <w:right w:val="nil"/>
            </w:tcBorders>
            <w:shd w:val="clear" w:color="auto" w:fill="auto"/>
            <w:vAlign w:val="center"/>
          </w:tcPr>
          <w:p w14:paraId="33F34666">
            <w:pPr>
              <w:jc w:val="center"/>
              <w:rPr>
                <w:rFonts w:hint="eastAsia" w:ascii="宋体" w:hAnsi="宋体" w:eastAsia="宋体" w:cs="宋体"/>
                <w:i w:val="0"/>
                <w:color w:val="000000"/>
                <w:sz w:val="20"/>
                <w:szCs w:val="20"/>
                <w:highlight w:val="none"/>
                <w:u w:val="none"/>
              </w:rPr>
            </w:pPr>
          </w:p>
        </w:tc>
        <w:tc>
          <w:tcPr>
            <w:tcW w:w="1402" w:type="dxa"/>
            <w:tcBorders>
              <w:top w:val="nil"/>
              <w:left w:val="nil"/>
              <w:bottom w:val="nil"/>
              <w:right w:val="nil"/>
            </w:tcBorders>
            <w:shd w:val="clear" w:color="auto" w:fill="auto"/>
            <w:vAlign w:val="center"/>
          </w:tcPr>
          <w:p w14:paraId="4A328156">
            <w:pPr>
              <w:jc w:val="cente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23A2B71B">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4062BCC3">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47AECB44">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557522F6">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3E115D88">
            <w:pPr>
              <w:rPr>
                <w:rFonts w:hint="eastAsia" w:ascii="宋体" w:hAnsi="宋体" w:eastAsia="宋体" w:cs="宋体"/>
                <w:i w:val="0"/>
                <w:color w:val="000000"/>
                <w:sz w:val="20"/>
                <w:szCs w:val="20"/>
                <w:highlight w:val="none"/>
                <w:u w:val="none"/>
              </w:rPr>
            </w:pPr>
          </w:p>
        </w:tc>
        <w:tc>
          <w:tcPr>
            <w:tcW w:w="2120" w:type="dxa"/>
            <w:tcBorders>
              <w:top w:val="nil"/>
              <w:left w:val="nil"/>
              <w:bottom w:val="nil"/>
              <w:right w:val="nil"/>
            </w:tcBorders>
            <w:shd w:val="clear" w:color="auto" w:fill="auto"/>
            <w:noWrap/>
            <w:vAlign w:val="center"/>
          </w:tcPr>
          <w:p w14:paraId="2FC08D0C">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公开07表</w:t>
            </w:r>
          </w:p>
        </w:tc>
      </w:tr>
      <w:tr w14:paraId="1226E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883" w:type="dxa"/>
            <w:gridSpan w:val="5"/>
            <w:tcBorders>
              <w:top w:val="nil"/>
              <w:left w:val="nil"/>
              <w:bottom w:val="nil"/>
              <w:right w:val="nil"/>
            </w:tcBorders>
            <w:shd w:val="clear" w:color="auto" w:fill="auto"/>
            <w:noWrap/>
            <w:vAlign w:val="center"/>
          </w:tcPr>
          <w:p w14:paraId="69478573">
            <w:pP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部门：溆浦县发展和改革局</w:t>
            </w:r>
          </w:p>
        </w:tc>
        <w:tc>
          <w:tcPr>
            <w:tcW w:w="2119" w:type="dxa"/>
            <w:tcBorders>
              <w:top w:val="nil"/>
              <w:left w:val="nil"/>
              <w:bottom w:val="nil"/>
              <w:right w:val="nil"/>
            </w:tcBorders>
            <w:shd w:val="clear" w:color="auto" w:fill="auto"/>
            <w:vAlign w:val="center"/>
          </w:tcPr>
          <w:p w14:paraId="68D722D3">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4FA5537A">
            <w:pPr>
              <w:rPr>
                <w:rFonts w:hint="eastAsia" w:ascii="宋体" w:hAnsi="宋体" w:eastAsia="宋体" w:cs="宋体"/>
                <w:i w:val="0"/>
                <w:color w:val="000000"/>
                <w:sz w:val="20"/>
                <w:szCs w:val="20"/>
                <w:highlight w:val="none"/>
                <w:u w:val="none"/>
              </w:rPr>
            </w:pPr>
          </w:p>
        </w:tc>
        <w:tc>
          <w:tcPr>
            <w:tcW w:w="2119" w:type="dxa"/>
            <w:tcBorders>
              <w:top w:val="nil"/>
              <w:left w:val="nil"/>
              <w:bottom w:val="nil"/>
              <w:right w:val="nil"/>
            </w:tcBorders>
            <w:shd w:val="clear" w:color="auto" w:fill="auto"/>
            <w:vAlign w:val="center"/>
          </w:tcPr>
          <w:p w14:paraId="5DCE2C4F">
            <w:pPr>
              <w:rPr>
                <w:rFonts w:hint="eastAsia" w:ascii="宋体" w:hAnsi="宋体" w:eastAsia="宋体" w:cs="宋体"/>
                <w:i w:val="0"/>
                <w:color w:val="000000"/>
                <w:sz w:val="20"/>
                <w:szCs w:val="20"/>
                <w:highlight w:val="none"/>
                <w:u w:val="none"/>
              </w:rPr>
            </w:pPr>
          </w:p>
        </w:tc>
        <w:tc>
          <w:tcPr>
            <w:tcW w:w="2120" w:type="dxa"/>
            <w:tcBorders>
              <w:top w:val="nil"/>
              <w:left w:val="nil"/>
              <w:bottom w:val="nil"/>
              <w:right w:val="nil"/>
            </w:tcBorders>
            <w:shd w:val="clear" w:color="auto" w:fill="auto"/>
            <w:noWrap/>
            <w:vAlign w:val="center"/>
          </w:tcPr>
          <w:p w14:paraId="1C23C78F">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596B9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6FAE2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Style w:val="18"/>
                <w:highlight w:val="none"/>
                <w:lang w:val="en-US" w:eastAsia="zh-CN" w:bidi="ar"/>
              </w:rPr>
              <w:t xml:space="preserve">   </w:t>
            </w:r>
            <w:r>
              <w:rPr>
                <w:rStyle w:val="19"/>
                <w:highlight w:val="none"/>
                <w:lang w:val="en-US" w:eastAsia="zh-CN" w:bidi="ar"/>
              </w:rPr>
              <w:t>目</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F938E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年初结转和结余</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4C2D6">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本年收入</w:t>
            </w:r>
          </w:p>
        </w:tc>
        <w:tc>
          <w:tcPr>
            <w:tcW w:w="635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FD374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c>
          <w:tcPr>
            <w:tcW w:w="21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8D91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年末结转和结余</w:t>
            </w:r>
          </w:p>
        </w:tc>
      </w:tr>
      <w:tr w14:paraId="777FB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77C7B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09A939">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6E3A1">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6C9AE">
            <w:pPr>
              <w:jc w:val="center"/>
              <w:rPr>
                <w:rFonts w:hint="eastAsia" w:ascii="宋体" w:hAnsi="宋体" w:eastAsia="宋体" w:cs="宋体"/>
                <w:i w:val="0"/>
                <w:color w:val="000000"/>
                <w:sz w:val="24"/>
                <w:szCs w:val="24"/>
                <w:highlight w:val="none"/>
                <w:u w:val="none"/>
              </w:rPr>
            </w:pP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8C5A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小计</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686B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EC2A6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DF877">
            <w:pPr>
              <w:jc w:val="center"/>
              <w:rPr>
                <w:rFonts w:hint="eastAsia" w:ascii="宋体" w:hAnsi="宋体" w:eastAsia="宋体" w:cs="宋体"/>
                <w:i w:val="0"/>
                <w:color w:val="000000"/>
                <w:sz w:val="24"/>
                <w:szCs w:val="24"/>
                <w:highlight w:val="none"/>
                <w:u w:val="none"/>
              </w:rPr>
            </w:pPr>
          </w:p>
        </w:tc>
      </w:tr>
      <w:tr w14:paraId="55B3A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05AF0">
            <w:pPr>
              <w:jc w:val="center"/>
              <w:rPr>
                <w:rFonts w:hint="eastAsia" w:ascii="宋体" w:hAnsi="宋体" w:eastAsia="宋体" w:cs="宋体"/>
                <w:i w:val="0"/>
                <w:color w:val="000000"/>
                <w:sz w:val="24"/>
                <w:szCs w:val="24"/>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7367A">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ECD1">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7A83C">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9E468">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8EBC0">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0EFA1">
            <w:pPr>
              <w:jc w:val="center"/>
              <w:rPr>
                <w:rFonts w:hint="eastAsia" w:ascii="宋体" w:hAnsi="宋体" w:eastAsia="宋体" w:cs="宋体"/>
                <w:i w:val="0"/>
                <w:color w:val="000000"/>
                <w:sz w:val="24"/>
                <w:szCs w:val="24"/>
                <w:highlight w:val="none"/>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FE21D">
            <w:pPr>
              <w:jc w:val="center"/>
              <w:rPr>
                <w:rFonts w:hint="eastAsia" w:ascii="宋体" w:hAnsi="宋体" w:eastAsia="宋体" w:cs="宋体"/>
                <w:i w:val="0"/>
                <w:color w:val="000000"/>
                <w:sz w:val="24"/>
                <w:szCs w:val="24"/>
                <w:highlight w:val="none"/>
                <w:u w:val="none"/>
              </w:rPr>
            </w:pPr>
          </w:p>
        </w:tc>
      </w:tr>
      <w:tr w14:paraId="1852B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7342E">
            <w:pPr>
              <w:jc w:val="center"/>
              <w:rPr>
                <w:rFonts w:hint="eastAsia" w:ascii="宋体" w:hAnsi="宋体" w:eastAsia="宋体" w:cs="宋体"/>
                <w:i w:val="0"/>
                <w:color w:val="000000"/>
                <w:sz w:val="24"/>
                <w:szCs w:val="24"/>
                <w:highlight w:val="none"/>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A166B">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5B76E">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A332E">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02EBC">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D5B5C">
            <w:pPr>
              <w:jc w:val="center"/>
              <w:rPr>
                <w:rFonts w:hint="eastAsia" w:ascii="宋体" w:hAnsi="宋体" w:eastAsia="宋体" w:cs="宋体"/>
                <w:i w:val="0"/>
                <w:color w:val="000000"/>
                <w:sz w:val="24"/>
                <w:szCs w:val="24"/>
                <w:highlight w:val="none"/>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A5048">
            <w:pPr>
              <w:jc w:val="center"/>
              <w:rPr>
                <w:rFonts w:hint="eastAsia" w:ascii="宋体" w:hAnsi="宋体" w:eastAsia="宋体" w:cs="宋体"/>
                <w:i w:val="0"/>
                <w:color w:val="000000"/>
                <w:sz w:val="24"/>
                <w:szCs w:val="24"/>
                <w:highlight w:val="none"/>
                <w:u w:val="none"/>
              </w:rPr>
            </w:pPr>
          </w:p>
        </w:tc>
        <w:tc>
          <w:tcPr>
            <w:tcW w:w="21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636E0">
            <w:pPr>
              <w:jc w:val="center"/>
              <w:rPr>
                <w:rFonts w:hint="eastAsia" w:ascii="宋体" w:hAnsi="宋体" w:eastAsia="宋体" w:cs="宋体"/>
                <w:i w:val="0"/>
                <w:color w:val="000000"/>
                <w:sz w:val="24"/>
                <w:szCs w:val="24"/>
                <w:highlight w:val="none"/>
                <w:u w:val="none"/>
              </w:rPr>
            </w:pPr>
          </w:p>
        </w:tc>
      </w:tr>
      <w:tr w14:paraId="4BC83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48E227">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852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A98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5BB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DECC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429A8">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5</w:t>
            </w: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192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6</w:t>
            </w:r>
          </w:p>
        </w:tc>
      </w:tr>
      <w:tr w14:paraId="7959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264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6AF97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75E9">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8C0A">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CCF2">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6B29">
            <w:pPr>
              <w:jc w:val="cente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25F5">
            <w:pPr>
              <w:jc w:val="cente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CCC65">
            <w:pPr>
              <w:jc w:val="center"/>
              <w:rPr>
                <w:rFonts w:hint="eastAsia" w:ascii="宋体" w:hAnsi="宋体" w:eastAsia="宋体" w:cs="宋体"/>
                <w:i w:val="0"/>
                <w:color w:val="000000"/>
                <w:sz w:val="24"/>
                <w:szCs w:val="24"/>
                <w:highlight w:val="none"/>
                <w:u w:val="none"/>
              </w:rPr>
            </w:pPr>
          </w:p>
        </w:tc>
      </w:tr>
      <w:tr w14:paraId="58B84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53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5EAD007">
            <w:pPr>
              <w:jc w:val="center"/>
              <w:rPr>
                <w:rFonts w:hint="eastAsia" w:ascii="宋体" w:hAnsi="宋体" w:eastAsia="宋体" w:cs="宋体"/>
                <w:i w:val="0"/>
                <w:color w:val="000000"/>
                <w:sz w:val="24"/>
                <w:szCs w:val="24"/>
                <w:highlight w:val="none"/>
                <w:u w:val="none"/>
              </w:rPr>
            </w:pPr>
            <w:r>
              <w:rPr>
                <w:rFonts w:hint="eastAsia" w:ascii="楷体" w:hAnsi="楷体" w:eastAsia="楷体" w:cs="楷体"/>
                <w:b/>
                <w:bCs/>
                <w:i w:val="0"/>
                <w:color w:val="auto"/>
                <w:kern w:val="0"/>
                <w:sz w:val="24"/>
                <w:szCs w:val="24"/>
                <w:highlight w:val="none"/>
                <w:u w:val="none"/>
                <w:lang w:val="en-US" w:eastAsia="zh-CN" w:bidi="ar"/>
              </w:rPr>
              <w:t>我单位没有政府性基金收入，也没有使用政府性基金安排的支出，故本表无数据。</w:t>
            </w:r>
          </w:p>
        </w:tc>
      </w:tr>
      <w:tr w14:paraId="338BD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7BED59">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D225">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40B2">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D76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A2C0">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948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BF03">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010C">
            <w:pPr>
              <w:rPr>
                <w:rFonts w:hint="eastAsia" w:ascii="宋体" w:hAnsi="宋体" w:eastAsia="宋体" w:cs="宋体"/>
                <w:i w:val="0"/>
                <w:color w:val="000000"/>
                <w:sz w:val="24"/>
                <w:szCs w:val="24"/>
                <w:highlight w:val="none"/>
                <w:u w:val="none"/>
              </w:rPr>
            </w:pPr>
          </w:p>
        </w:tc>
      </w:tr>
      <w:tr w14:paraId="49CED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4989F">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6257B">
            <w:pPr>
              <w:rPr>
                <w:rFonts w:hint="eastAsia" w:ascii="宋体" w:hAnsi="宋体" w:eastAsia="宋体" w:cs="宋体"/>
                <w:i w:val="0"/>
                <w:color w:val="000000"/>
                <w:sz w:val="20"/>
                <w:szCs w:val="20"/>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19D0">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1FEF">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C1B8">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844FE">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5B01">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317E">
            <w:pPr>
              <w:rPr>
                <w:rFonts w:hint="eastAsia" w:ascii="宋体" w:hAnsi="宋体" w:eastAsia="宋体" w:cs="宋体"/>
                <w:i w:val="0"/>
                <w:color w:val="000000"/>
                <w:sz w:val="24"/>
                <w:szCs w:val="24"/>
                <w:highlight w:val="none"/>
                <w:u w:val="none"/>
              </w:rPr>
            </w:pPr>
          </w:p>
        </w:tc>
      </w:tr>
      <w:tr w14:paraId="7F878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824FD4">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F398">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FDEDE">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23B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22D8">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72FA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1CF6">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D103">
            <w:pPr>
              <w:rPr>
                <w:rFonts w:hint="eastAsia" w:ascii="宋体" w:hAnsi="宋体" w:eastAsia="宋体" w:cs="宋体"/>
                <w:i w:val="0"/>
                <w:color w:val="000000"/>
                <w:sz w:val="24"/>
                <w:szCs w:val="24"/>
                <w:highlight w:val="none"/>
                <w:u w:val="none"/>
              </w:rPr>
            </w:pPr>
          </w:p>
        </w:tc>
      </w:tr>
      <w:tr w14:paraId="5F18A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5FC08">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18D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AEDE">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5F62">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24282">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9814">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ADB1B">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F4667">
            <w:pPr>
              <w:rPr>
                <w:rFonts w:hint="eastAsia" w:ascii="宋体" w:hAnsi="宋体" w:eastAsia="宋体" w:cs="宋体"/>
                <w:i w:val="0"/>
                <w:color w:val="000000"/>
                <w:sz w:val="24"/>
                <w:szCs w:val="24"/>
                <w:highlight w:val="none"/>
                <w:u w:val="none"/>
              </w:rPr>
            </w:pPr>
          </w:p>
        </w:tc>
      </w:tr>
      <w:tr w14:paraId="433D0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389AC">
            <w:pPr>
              <w:jc w:val="center"/>
              <w:rPr>
                <w:rFonts w:hint="eastAsia" w:ascii="宋体" w:hAnsi="宋体" w:eastAsia="宋体" w:cs="宋体"/>
                <w:i w:val="0"/>
                <w:color w:val="000000"/>
                <w:sz w:val="24"/>
                <w:szCs w:val="24"/>
                <w:highlight w:val="none"/>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E58F2">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CBFB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1EA1">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0CCD7">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A7A8">
            <w:pPr>
              <w:rPr>
                <w:rFonts w:hint="eastAsia" w:ascii="宋体" w:hAnsi="宋体" w:eastAsia="宋体" w:cs="宋体"/>
                <w:i w:val="0"/>
                <w:color w:val="000000"/>
                <w:sz w:val="24"/>
                <w:szCs w:val="24"/>
                <w:highlight w:val="none"/>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DE62">
            <w:pPr>
              <w:rPr>
                <w:rFonts w:hint="eastAsia" w:ascii="宋体" w:hAnsi="宋体" w:eastAsia="宋体" w:cs="宋体"/>
                <w:i w:val="0"/>
                <w:color w:val="000000"/>
                <w:sz w:val="24"/>
                <w:szCs w:val="24"/>
                <w:highlight w:val="none"/>
                <w:u w:val="none"/>
              </w:rPr>
            </w:pPr>
          </w:p>
        </w:tc>
        <w:tc>
          <w:tcPr>
            <w:tcW w:w="21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6ECD">
            <w:pPr>
              <w:rPr>
                <w:rFonts w:hint="eastAsia" w:ascii="宋体" w:hAnsi="宋体" w:eastAsia="宋体" w:cs="宋体"/>
                <w:i w:val="0"/>
                <w:color w:val="000000"/>
                <w:sz w:val="24"/>
                <w:szCs w:val="24"/>
                <w:highlight w:val="none"/>
                <w:u w:val="none"/>
              </w:rPr>
            </w:pPr>
          </w:p>
        </w:tc>
      </w:tr>
      <w:tr w14:paraId="7CB11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5360" w:type="dxa"/>
            <w:gridSpan w:val="9"/>
            <w:tcBorders>
              <w:top w:val="nil"/>
              <w:left w:val="nil"/>
              <w:bottom w:val="nil"/>
              <w:right w:val="nil"/>
            </w:tcBorders>
            <w:shd w:val="clear" w:color="auto" w:fill="auto"/>
            <w:vAlign w:val="center"/>
          </w:tcPr>
          <w:p w14:paraId="2ACD6095">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注：本表反映部门本年度政府性基金预算财政拨款收入、支出及结转和结余情况。</w:t>
            </w:r>
          </w:p>
          <w:p w14:paraId="0280B4E1">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102FE38F">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w:t>
            </w:r>
            <w:bookmarkStart w:id="1" w:name="OLE_LINK9"/>
            <w:r>
              <w:rPr>
                <w:rFonts w:hint="eastAsia" w:ascii="楷体" w:hAnsi="楷体" w:eastAsia="楷体" w:cs="楷体"/>
                <w:b/>
                <w:bCs/>
                <w:i w:val="0"/>
                <w:color w:val="auto"/>
                <w:kern w:val="0"/>
                <w:sz w:val="24"/>
                <w:szCs w:val="24"/>
                <w:highlight w:val="none"/>
                <w:u w:val="none"/>
                <w:lang w:val="en-US" w:eastAsia="zh-CN" w:bidi="ar"/>
              </w:rPr>
              <w:t>我单位没有政府性基金收入，也没有使用政府性基金安排的支出，故本表无数据。</w:t>
            </w:r>
            <w:bookmarkEnd w:id="1"/>
            <w:r>
              <w:rPr>
                <w:rFonts w:hint="eastAsia" w:ascii="楷体" w:hAnsi="楷体" w:eastAsia="楷体" w:cs="楷体"/>
                <w:b/>
                <w:bCs/>
                <w:i w:val="0"/>
                <w:color w:val="auto"/>
                <w:kern w:val="0"/>
                <w:sz w:val="24"/>
                <w:szCs w:val="24"/>
                <w:highlight w:val="none"/>
                <w:u w:val="none"/>
                <w:lang w:val="en-US" w:eastAsia="zh-CN" w:bidi="ar"/>
              </w:rPr>
              <w:t>（当表格数据为空时，应有此说明）</w:t>
            </w:r>
          </w:p>
        </w:tc>
      </w:tr>
    </w:tbl>
    <w:p w14:paraId="63ECAB02">
      <w:pPr>
        <w:pStyle w:val="2"/>
        <w:rPr>
          <w:rFonts w:hint="eastAsia" w:ascii="Times New Roman" w:hAnsi="Times New Roman" w:eastAsia="方正小标宋_GBK" w:cs="Times New Roman"/>
          <w:color w:val="000000"/>
          <w:kern w:val="0"/>
          <w:sz w:val="36"/>
          <w:szCs w:val="36"/>
          <w:highlight w:val="none"/>
        </w:rPr>
      </w:pPr>
    </w:p>
    <w:p w14:paraId="7D1D5C52">
      <w:pPr>
        <w:widowControl/>
        <w:jc w:val="center"/>
        <w:rPr>
          <w:rFonts w:hint="eastAsia" w:ascii="Times New Roman" w:hAnsi="Times New Roman" w:eastAsia="方正小标宋_GBK" w:cs="Times New Roman"/>
          <w:color w:val="000000"/>
          <w:kern w:val="0"/>
          <w:sz w:val="36"/>
          <w:szCs w:val="36"/>
          <w:highlight w:val="none"/>
        </w:rPr>
      </w:pPr>
    </w:p>
    <w:tbl>
      <w:tblPr>
        <w:tblStyle w:val="11"/>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469DF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auto"/>
            <w:vAlign w:val="center"/>
          </w:tcPr>
          <w:p w14:paraId="74AF645A">
            <w:pPr>
              <w:keepNext w:val="0"/>
              <w:keepLines w:val="0"/>
              <w:widowControl/>
              <w:suppressLineNumbers w:val="0"/>
              <w:jc w:val="center"/>
              <w:textAlignment w:val="center"/>
              <w:rPr>
                <w:rFonts w:ascii="华文中宋" w:hAnsi="华文中宋" w:eastAsia="华文中宋" w:cs="华文中宋"/>
                <w:i w:val="0"/>
                <w:color w:val="000000"/>
                <w:sz w:val="32"/>
                <w:szCs w:val="32"/>
                <w:highlight w:val="none"/>
                <w:u w:val="none"/>
              </w:rPr>
            </w:pPr>
            <w:r>
              <w:rPr>
                <w:rFonts w:hint="eastAsia" w:ascii="华文中宋" w:hAnsi="华文中宋" w:eastAsia="华文中宋" w:cs="华文中宋"/>
                <w:i w:val="0"/>
                <w:color w:val="000000"/>
                <w:kern w:val="0"/>
                <w:sz w:val="32"/>
                <w:szCs w:val="32"/>
                <w:highlight w:val="none"/>
                <w:u w:val="none"/>
                <w:lang w:val="en-US" w:eastAsia="zh-CN" w:bidi="ar"/>
              </w:rPr>
              <w:t>国有资本经营预算财政拨款支出决算表</w:t>
            </w:r>
          </w:p>
        </w:tc>
      </w:tr>
      <w:tr w14:paraId="0275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595D8E5E">
            <w:pPr>
              <w:jc w:val="center"/>
              <w:rPr>
                <w:rFonts w:hint="eastAsia" w:ascii="宋体" w:hAnsi="宋体" w:eastAsia="宋体" w:cs="宋体"/>
                <w:i w:val="0"/>
                <w:color w:val="000000"/>
                <w:sz w:val="20"/>
                <w:szCs w:val="20"/>
                <w:highlight w:val="none"/>
                <w:u w:val="none"/>
              </w:rPr>
            </w:pPr>
          </w:p>
        </w:tc>
        <w:tc>
          <w:tcPr>
            <w:tcW w:w="701" w:type="dxa"/>
            <w:tcBorders>
              <w:top w:val="nil"/>
              <w:left w:val="nil"/>
              <w:bottom w:val="nil"/>
              <w:right w:val="nil"/>
            </w:tcBorders>
            <w:shd w:val="clear" w:color="auto" w:fill="auto"/>
            <w:vAlign w:val="center"/>
          </w:tcPr>
          <w:p w14:paraId="1FA19003">
            <w:pPr>
              <w:jc w:val="center"/>
              <w:rPr>
                <w:rFonts w:hint="eastAsia" w:ascii="宋体" w:hAnsi="宋体" w:eastAsia="宋体" w:cs="宋体"/>
                <w:i w:val="0"/>
                <w:color w:val="000000"/>
                <w:sz w:val="20"/>
                <w:szCs w:val="20"/>
                <w:highlight w:val="none"/>
                <w:u w:val="none"/>
              </w:rPr>
            </w:pPr>
          </w:p>
        </w:tc>
        <w:tc>
          <w:tcPr>
            <w:tcW w:w="2292" w:type="dxa"/>
            <w:tcBorders>
              <w:top w:val="nil"/>
              <w:left w:val="nil"/>
              <w:bottom w:val="nil"/>
              <w:right w:val="nil"/>
            </w:tcBorders>
            <w:shd w:val="clear" w:color="auto" w:fill="auto"/>
            <w:vAlign w:val="center"/>
          </w:tcPr>
          <w:p w14:paraId="58DE112A">
            <w:pPr>
              <w:jc w:val="cente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auto"/>
            <w:vAlign w:val="center"/>
          </w:tcPr>
          <w:p w14:paraId="48C926C3">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auto"/>
            <w:vAlign w:val="center"/>
          </w:tcPr>
          <w:p w14:paraId="7957782A">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auto"/>
            <w:noWrap/>
            <w:vAlign w:val="center"/>
          </w:tcPr>
          <w:p w14:paraId="0DFC615E">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公开08表</w:t>
            </w:r>
          </w:p>
        </w:tc>
      </w:tr>
      <w:tr w14:paraId="23D7D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auto"/>
            <w:noWrap/>
            <w:vAlign w:val="center"/>
          </w:tcPr>
          <w:p w14:paraId="38D6603B">
            <w:pPr>
              <w:jc w:val="left"/>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部门：溆浦县发展和改革局</w:t>
            </w:r>
          </w:p>
        </w:tc>
        <w:tc>
          <w:tcPr>
            <w:tcW w:w="3315" w:type="dxa"/>
            <w:tcBorders>
              <w:top w:val="nil"/>
              <w:left w:val="nil"/>
              <w:bottom w:val="nil"/>
              <w:right w:val="nil"/>
            </w:tcBorders>
            <w:shd w:val="clear" w:color="auto" w:fill="auto"/>
            <w:vAlign w:val="center"/>
          </w:tcPr>
          <w:p w14:paraId="2700B1C9">
            <w:pPr>
              <w:rPr>
                <w:rFonts w:hint="eastAsia" w:ascii="宋体" w:hAnsi="宋体" w:eastAsia="宋体" w:cs="宋体"/>
                <w:i w:val="0"/>
                <w:color w:val="000000"/>
                <w:sz w:val="20"/>
                <w:szCs w:val="20"/>
                <w:highlight w:val="none"/>
                <w:u w:val="none"/>
              </w:rPr>
            </w:pPr>
          </w:p>
        </w:tc>
        <w:tc>
          <w:tcPr>
            <w:tcW w:w="3315" w:type="dxa"/>
            <w:tcBorders>
              <w:top w:val="nil"/>
              <w:left w:val="nil"/>
              <w:bottom w:val="nil"/>
              <w:right w:val="nil"/>
            </w:tcBorders>
            <w:shd w:val="clear" w:color="auto" w:fill="auto"/>
            <w:vAlign w:val="center"/>
          </w:tcPr>
          <w:p w14:paraId="3549709B">
            <w:pPr>
              <w:rPr>
                <w:rFonts w:hint="eastAsia" w:ascii="宋体" w:hAnsi="宋体" w:eastAsia="宋体" w:cs="宋体"/>
                <w:i w:val="0"/>
                <w:color w:val="000000"/>
                <w:sz w:val="20"/>
                <w:szCs w:val="20"/>
                <w:highlight w:val="none"/>
                <w:u w:val="none"/>
              </w:rPr>
            </w:pPr>
          </w:p>
        </w:tc>
        <w:tc>
          <w:tcPr>
            <w:tcW w:w="0" w:type="auto"/>
            <w:tcBorders>
              <w:top w:val="nil"/>
              <w:left w:val="nil"/>
              <w:bottom w:val="nil"/>
              <w:right w:val="nil"/>
            </w:tcBorders>
            <w:shd w:val="clear" w:color="auto" w:fill="auto"/>
            <w:noWrap/>
            <w:vAlign w:val="center"/>
          </w:tcPr>
          <w:p w14:paraId="4A47EDDC">
            <w:pPr>
              <w:keepNext w:val="0"/>
              <w:keepLines w:val="0"/>
              <w:widowControl/>
              <w:suppressLineNumbers w:val="0"/>
              <w:jc w:val="right"/>
              <w:textAlignment w:val="center"/>
              <w:rPr>
                <w:rFonts w:hint="eastAsia" w:ascii="宋体" w:hAnsi="宋体" w:eastAsia="宋体" w:cs="宋体"/>
                <w:i w:val="0"/>
                <w:color w:val="000000"/>
                <w:sz w:val="20"/>
                <w:szCs w:val="20"/>
                <w:highlight w:val="none"/>
                <w:u w:val="none"/>
              </w:rPr>
            </w:pPr>
            <w:r>
              <w:rPr>
                <w:rFonts w:hint="eastAsia" w:ascii="宋体" w:hAnsi="宋体" w:eastAsia="宋体" w:cs="宋体"/>
                <w:i w:val="0"/>
                <w:color w:val="000000"/>
                <w:kern w:val="0"/>
                <w:sz w:val="20"/>
                <w:szCs w:val="20"/>
                <w:highlight w:val="none"/>
                <w:u w:val="none"/>
                <w:lang w:val="en-US" w:eastAsia="zh-CN" w:bidi="ar"/>
              </w:rPr>
              <w:t>单位：万元</w:t>
            </w:r>
          </w:p>
        </w:tc>
      </w:tr>
      <w:tr w14:paraId="5E426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E12E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项 </w:t>
            </w:r>
            <w:r>
              <w:rPr>
                <w:rFonts w:hint="eastAsia" w:ascii="宋体" w:hAnsi="宋体" w:eastAsia="宋体" w:cs="宋体"/>
                <w:i w:val="0"/>
                <w:color w:val="000000"/>
                <w:kern w:val="0"/>
                <w:sz w:val="22"/>
                <w:szCs w:val="22"/>
                <w:highlight w:val="none"/>
                <w:u w:val="none"/>
                <w:lang w:val="en-US" w:eastAsia="zh-CN" w:bidi="ar"/>
              </w:rPr>
              <w:t xml:space="preserve">   </w:t>
            </w:r>
            <w:r>
              <w:rPr>
                <w:rStyle w:val="20"/>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232FB">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本年支出</w:t>
            </w:r>
          </w:p>
        </w:tc>
      </w:tr>
      <w:tr w14:paraId="676D3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97123">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7C470">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99984">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D61815">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5A86D">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项目支出</w:t>
            </w:r>
          </w:p>
        </w:tc>
      </w:tr>
      <w:tr w14:paraId="35A46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D7D1C">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7C616">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64EC3">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7E5A2">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F0713">
            <w:pPr>
              <w:jc w:val="center"/>
              <w:rPr>
                <w:rFonts w:hint="eastAsia" w:ascii="宋体" w:hAnsi="宋体" w:eastAsia="宋体" w:cs="宋体"/>
                <w:i w:val="0"/>
                <w:color w:val="000000"/>
                <w:sz w:val="24"/>
                <w:szCs w:val="24"/>
                <w:highlight w:val="none"/>
                <w:u w:val="none"/>
              </w:rPr>
            </w:pPr>
          </w:p>
        </w:tc>
      </w:tr>
      <w:tr w14:paraId="5F665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848FC">
            <w:pPr>
              <w:jc w:val="center"/>
              <w:rPr>
                <w:rFonts w:hint="eastAsia" w:ascii="宋体" w:hAnsi="宋体" w:eastAsia="宋体" w:cs="宋体"/>
                <w:i w:val="0"/>
                <w:color w:val="000000"/>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8EF74">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4E7D3">
            <w:pPr>
              <w:jc w:val="center"/>
              <w:rPr>
                <w:rFonts w:hint="eastAsia" w:ascii="宋体" w:hAnsi="宋体" w:eastAsia="宋体" w:cs="宋体"/>
                <w:i w:val="0"/>
                <w:color w:val="000000"/>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FBC6D">
            <w:pPr>
              <w:jc w:val="center"/>
              <w:rPr>
                <w:rFonts w:hint="eastAsia" w:ascii="宋体" w:hAnsi="宋体" w:eastAsia="宋体" w:cs="宋体"/>
                <w:i w:val="0"/>
                <w:color w:val="000000"/>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F9394">
            <w:pPr>
              <w:jc w:val="center"/>
              <w:rPr>
                <w:rFonts w:hint="eastAsia" w:ascii="宋体" w:hAnsi="宋体" w:eastAsia="宋体" w:cs="宋体"/>
                <w:i w:val="0"/>
                <w:color w:val="000000"/>
                <w:sz w:val="24"/>
                <w:szCs w:val="24"/>
                <w:highlight w:val="none"/>
                <w:u w:val="none"/>
              </w:rPr>
            </w:pPr>
          </w:p>
        </w:tc>
      </w:tr>
      <w:tr w14:paraId="3E772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A9381">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06DE">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BF22">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45CA">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3</w:t>
            </w:r>
          </w:p>
        </w:tc>
      </w:tr>
      <w:tr w14:paraId="1CF5F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18E4BC">
            <w:pPr>
              <w:keepNext w:val="0"/>
              <w:keepLines w:val="0"/>
              <w:widowControl/>
              <w:suppressLineNumbers w:val="0"/>
              <w:jc w:val="center"/>
              <w:textAlignment w:val="center"/>
              <w:rPr>
                <w:rFonts w:hint="eastAsia" w:ascii="宋体" w:hAnsi="宋体" w:eastAsia="宋体" w:cs="宋体"/>
                <w:i w:val="0"/>
                <w:color w:val="000000"/>
                <w:sz w:val="24"/>
                <w:szCs w:val="24"/>
                <w:highlight w:val="none"/>
                <w:u w:val="none"/>
              </w:rPr>
            </w:pPr>
            <w:r>
              <w:rPr>
                <w:rFonts w:hint="eastAsia" w:ascii="宋体" w:hAnsi="宋体" w:eastAsia="宋体" w:cs="宋体"/>
                <w:i w:val="0"/>
                <w:color w:val="000000"/>
                <w:kern w:val="0"/>
                <w:sz w:val="24"/>
                <w:szCs w:val="24"/>
                <w:highlight w:val="none"/>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1FD641">
            <w:pPr>
              <w:jc w:val="center"/>
              <w:rPr>
                <w:rFonts w:hint="eastAsia" w:ascii="宋体" w:hAnsi="宋体" w:eastAsia="宋体" w:cs="宋体"/>
                <w:i w:val="0"/>
                <w:color w:val="000000"/>
                <w:sz w:val="24"/>
                <w:szCs w:val="24"/>
                <w:highlight w:val="none"/>
                <w:u w:val="none"/>
              </w:rPr>
            </w:pPr>
            <w:r>
              <w:rPr>
                <w:rFonts w:hint="eastAsia" w:ascii="楷体" w:hAnsi="楷体" w:eastAsia="楷体" w:cs="楷体"/>
                <w:b/>
                <w:bCs/>
                <w:i w:val="0"/>
                <w:color w:val="auto"/>
                <w:kern w:val="0"/>
                <w:sz w:val="24"/>
                <w:szCs w:val="24"/>
                <w:highlight w:val="none"/>
                <w:u w:val="none"/>
                <w:lang w:val="en-US" w:eastAsia="zh-CN" w:bidi="ar"/>
              </w:rPr>
              <w:t>我单位没有使用国有资本经营预算安排的支出，故本表无数据</w:t>
            </w:r>
          </w:p>
        </w:tc>
      </w:tr>
      <w:tr w14:paraId="6028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B4F96C">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64215">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0AF94">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F11B3">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45D0">
            <w:pPr>
              <w:rPr>
                <w:rFonts w:hint="eastAsia" w:ascii="宋体" w:hAnsi="宋体" w:eastAsia="宋体" w:cs="宋体"/>
                <w:i w:val="0"/>
                <w:color w:val="000000"/>
                <w:sz w:val="24"/>
                <w:szCs w:val="24"/>
                <w:highlight w:val="none"/>
                <w:u w:val="none"/>
              </w:rPr>
            </w:pPr>
          </w:p>
        </w:tc>
      </w:tr>
      <w:tr w14:paraId="55CD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A1B8F5">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2734">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4764">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39CE2">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75ADE">
            <w:pPr>
              <w:rPr>
                <w:rFonts w:hint="eastAsia" w:ascii="宋体" w:hAnsi="宋体" w:eastAsia="宋体" w:cs="宋体"/>
                <w:i w:val="0"/>
                <w:color w:val="000000"/>
                <w:sz w:val="24"/>
                <w:szCs w:val="24"/>
                <w:highlight w:val="none"/>
                <w:u w:val="none"/>
              </w:rPr>
            </w:pPr>
          </w:p>
        </w:tc>
      </w:tr>
      <w:tr w14:paraId="122FD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D8255">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3CBF">
            <w:pPr>
              <w:rPr>
                <w:rFonts w:hint="eastAsia" w:ascii="宋体" w:hAnsi="宋体" w:eastAsia="宋体" w:cs="宋体"/>
                <w:i w:val="0"/>
                <w:color w:val="000000"/>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DA4E">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3264">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78D2">
            <w:pPr>
              <w:rPr>
                <w:rFonts w:hint="eastAsia" w:ascii="宋体" w:hAnsi="宋体" w:eastAsia="宋体" w:cs="宋体"/>
                <w:i w:val="0"/>
                <w:color w:val="000000"/>
                <w:sz w:val="24"/>
                <w:szCs w:val="24"/>
                <w:highlight w:val="none"/>
                <w:u w:val="none"/>
              </w:rPr>
            </w:pPr>
          </w:p>
        </w:tc>
      </w:tr>
      <w:tr w14:paraId="2A1DE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ADA59">
            <w:pPr>
              <w:jc w:val="center"/>
              <w:rPr>
                <w:rFonts w:hint="eastAsia" w:ascii="宋体" w:hAnsi="宋体" w:eastAsia="宋体" w:cs="宋体"/>
                <w:i w:val="0"/>
                <w:color w:val="000000"/>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F4BC">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DA93">
            <w:pPr>
              <w:rPr>
                <w:rFonts w:hint="eastAsia" w:ascii="宋体" w:hAnsi="宋体" w:eastAsia="宋体" w:cs="宋体"/>
                <w:i w:val="0"/>
                <w:color w:val="000000"/>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0E99">
            <w:pPr>
              <w:rPr>
                <w:rFonts w:hint="eastAsia" w:ascii="宋体" w:hAnsi="宋体" w:eastAsia="宋体" w:cs="宋体"/>
                <w:i w:val="0"/>
                <w:color w:val="000000"/>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22E3B">
            <w:pPr>
              <w:rPr>
                <w:rFonts w:hint="eastAsia" w:ascii="宋体" w:hAnsi="宋体" w:eastAsia="宋体" w:cs="宋体"/>
                <w:i w:val="0"/>
                <w:color w:val="000000"/>
                <w:sz w:val="24"/>
                <w:szCs w:val="24"/>
                <w:highlight w:val="none"/>
                <w:u w:val="none"/>
              </w:rPr>
            </w:pPr>
          </w:p>
        </w:tc>
      </w:tr>
      <w:tr w14:paraId="7476C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59FB587">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宋体" w:hAnsi="宋体" w:eastAsia="宋体" w:cs="宋体"/>
                <w:i w:val="0"/>
                <w:color w:val="000000"/>
                <w:kern w:val="0"/>
                <w:sz w:val="24"/>
                <w:szCs w:val="24"/>
                <w:highlight w:val="none"/>
                <w:u w:val="none"/>
                <w:lang w:val="en-US" w:eastAsia="zh-CN" w:bidi="ar"/>
              </w:rPr>
              <w:t>注：本表反映部门本年度国有资本经营预算财政拨款支出情况。</w:t>
            </w:r>
          </w:p>
          <w:p w14:paraId="62FA67D9">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p>
          <w:p w14:paraId="241099AE">
            <w:pPr>
              <w:keepNext w:val="0"/>
              <w:keepLines w:val="0"/>
              <w:widowControl/>
              <w:suppressLineNumbers w:val="0"/>
              <w:jc w:val="left"/>
              <w:textAlignment w:val="center"/>
              <w:rPr>
                <w:rFonts w:hint="eastAsia" w:ascii="宋体" w:hAnsi="宋体" w:eastAsia="宋体" w:cs="宋体"/>
                <w:i w:val="0"/>
                <w:color w:val="000000"/>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365F67FF">
      <w:pPr>
        <w:widowControl/>
        <w:jc w:val="center"/>
        <w:rPr>
          <w:rFonts w:hint="eastAsia" w:ascii="Times New Roman" w:hAnsi="Times New Roman" w:eastAsia="方正小标宋_GBK" w:cs="Times New Roman"/>
          <w:color w:val="000000"/>
          <w:kern w:val="0"/>
          <w:sz w:val="36"/>
          <w:szCs w:val="36"/>
          <w:highlight w:val="none"/>
        </w:rPr>
      </w:pPr>
    </w:p>
    <w:tbl>
      <w:tblPr>
        <w:tblStyle w:val="11"/>
        <w:tblW w:w="154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286"/>
        <w:gridCol w:w="1039"/>
        <w:gridCol w:w="1039"/>
        <w:gridCol w:w="1039"/>
        <w:gridCol w:w="1201"/>
        <w:gridCol w:w="1201"/>
        <w:gridCol w:w="1286"/>
        <w:gridCol w:w="1039"/>
        <w:gridCol w:w="1039"/>
        <w:gridCol w:w="1039"/>
        <w:gridCol w:w="1616"/>
      </w:tblGrid>
      <w:tr w14:paraId="1B860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15440" w:type="dxa"/>
            <w:gridSpan w:val="12"/>
            <w:tcBorders>
              <w:top w:val="nil"/>
              <w:left w:val="nil"/>
              <w:bottom w:val="nil"/>
              <w:right w:val="nil"/>
            </w:tcBorders>
            <w:shd w:val="clear" w:color="auto" w:fill="auto"/>
            <w:noWrap/>
            <w:vAlign w:val="center"/>
          </w:tcPr>
          <w:p w14:paraId="235E428A">
            <w:pPr>
              <w:keepNext w:val="0"/>
              <w:keepLines w:val="0"/>
              <w:widowControl/>
              <w:suppressLineNumbers w:val="0"/>
              <w:jc w:val="center"/>
              <w:textAlignment w:val="center"/>
              <w:rPr>
                <w:rFonts w:ascii="黑体" w:hAnsi="宋体" w:eastAsia="黑体" w:cs="黑体"/>
                <w:i w:val="0"/>
                <w:iCs w:val="0"/>
                <w:color w:val="000000"/>
                <w:sz w:val="44"/>
                <w:szCs w:val="44"/>
                <w:highlight w:val="none"/>
                <w:u w:val="none"/>
              </w:rPr>
            </w:pPr>
            <w:r>
              <w:rPr>
                <w:rFonts w:hint="eastAsia" w:ascii="黑体" w:hAnsi="宋体" w:eastAsia="黑体" w:cs="黑体"/>
                <w:i w:val="0"/>
                <w:iCs w:val="0"/>
                <w:color w:val="000000"/>
                <w:kern w:val="0"/>
                <w:sz w:val="44"/>
                <w:szCs w:val="44"/>
                <w:highlight w:val="none"/>
                <w:u w:val="none"/>
                <w:lang w:val="en-US" w:eastAsia="zh-CN" w:bidi="ar"/>
              </w:rPr>
              <w:t>财政拨款“三公”经费支出决算表</w:t>
            </w:r>
          </w:p>
        </w:tc>
      </w:tr>
      <w:tr w14:paraId="4E717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0" w:type="auto"/>
            <w:tcBorders>
              <w:top w:val="nil"/>
              <w:left w:val="nil"/>
              <w:bottom w:val="nil"/>
              <w:right w:val="nil"/>
            </w:tcBorders>
            <w:shd w:val="clear" w:color="auto" w:fill="auto"/>
            <w:noWrap/>
            <w:vAlign w:val="center"/>
          </w:tcPr>
          <w:p w14:paraId="6AE0D25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14C3C0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F8A518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6366EEC">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57CF5C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16951A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8295BF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E087E6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BA6D18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1B763AE">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75AF9A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5CCC6313">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157EC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tcBorders>
              <w:top w:val="nil"/>
              <w:left w:val="nil"/>
              <w:bottom w:val="nil"/>
              <w:right w:val="nil"/>
            </w:tcBorders>
            <w:shd w:val="clear" w:color="auto" w:fill="auto"/>
            <w:noWrap/>
            <w:vAlign w:val="bottom"/>
          </w:tcPr>
          <w:p w14:paraId="761694D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部门：溆浦县发展和改革局</w:t>
            </w:r>
          </w:p>
        </w:tc>
        <w:tc>
          <w:tcPr>
            <w:tcW w:w="0" w:type="auto"/>
            <w:tcBorders>
              <w:top w:val="nil"/>
              <w:left w:val="nil"/>
              <w:bottom w:val="nil"/>
              <w:right w:val="nil"/>
            </w:tcBorders>
            <w:shd w:val="clear" w:color="auto" w:fill="auto"/>
            <w:noWrap/>
            <w:vAlign w:val="center"/>
          </w:tcPr>
          <w:p w14:paraId="2A0B0EB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F4A3B8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4329A7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51681FE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47C65EA">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A972FE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FEC272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4F505D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A0D5012">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7627964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bottom"/>
          </w:tcPr>
          <w:p w14:paraId="600C51D2">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75F57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81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7AAB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26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8788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1EF41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23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0B3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E186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8A21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8D2C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2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651E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2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F05B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2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4EA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4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39E6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7F4CE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6" w:hRule="atLeast"/>
        </w:trPr>
        <w:tc>
          <w:tcPr>
            <w:tcW w:w="23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792D0">
            <w:pPr>
              <w:jc w:val="center"/>
              <w:rPr>
                <w:rFonts w:hint="eastAsia" w:ascii="宋体" w:hAnsi="宋体" w:eastAsia="宋体" w:cs="宋体"/>
                <w:i w:val="0"/>
                <w:iCs w:val="0"/>
                <w:color w:val="000000"/>
                <w:sz w:val="22"/>
                <w:szCs w:val="22"/>
                <w:highlight w:val="none"/>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6036E">
            <w:pPr>
              <w:jc w:val="center"/>
              <w:rPr>
                <w:rFonts w:hint="eastAsia" w:ascii="宋体" w:hAnsi="宋体" w:eastAsia="宋体" w:cs="宋体"/>
                <w:i w:val="0"/>
                <w:iCs w:val="0"/>
                <w:color w:val="000000"/>
                <w:sz w:val="22"/>
                <w:szCs w:val="22"/>
                <w:highlight w:val="none"/>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33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0A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8E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F1A71">
            <w:pPr>
              <w:jc w:val="center"/>
              <w:rPr>
                <w:rFonts w:hint="eastAsia" w:ascii="宋体" w:hAnsi="宋体" w:eastAsia="宋体" w:cs="宋体"/>
                <w:i w:val="0"/>
                <w:iCs w:val="0"/>
                <w:color w:val="000000"/>
                <w:sz w:val="22"/>
                <w:szCs w:val="22"/>
                <w:highlight w:val="none"/>
                <w:u w:val="none"/>
              </w:rPr>
            </w:pPr>
          </w:p>
        </w:tc>
        <w:tc>
          <w:tcPr>
            <w:tcW w:w="12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38B98">
            <w:pPr>
              <w:jc w:val="center"/>
              <w:rPr>
                <w:rFonts w:hint="eastAsia" w:ascii="宋体" w:hAnsi="宋体" w:eastAsia="宋体" w:cs="宋体"/>
                <w:i w:val="0"/>
                <w:iCs w:val="0"/>
                <w:color w:val="000000"/>
                <w:sz w:val="22"/>
                <w:szCs w:val="22"/>
                <w:highlight w:val="none"/>
                <w:u w:val="none"/>
              </w:rPr>
            </w:pPr>
          </w:p>
        </w:tc>
        <w:tc>
          <w:tcPr>
            <w:tcW w:w="12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1B7D6F">
            <w:pPr>
              <w:jc w:val="center"/>
              <w:rPr>
                <w:rFonts w:hint="eastAsia" w:ascii="宋体" w:hAnsi="宋体" w:eastAsia="宋体" w:cs="宋体"/>
                <w:i w:val="0"/>
                <w:iCs w:val="0"/>
                <w:color w:val="000000"/>
                <w:sz w:val="22"/>
                <w:szCs w:val="22"/>
                <w:highlight w:val="none"/>
                <w:u w:val="none"/>
              </w:rPr>
            </w:pP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2C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4B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DA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4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345C0">
            <w:pPr>
              <w:jc w:val="center"/>
              <w:rPr>
                <w:rFonts w:hint="eastAsia" w:ascii="宋体" w:hAnsi="宋体" w:eastAsia="宋体" w:cs="宋体"/>
                <w:i w:val="0"/>
                <w:iCs w:val="0"/>
                <w:color w:val="000000"/>
                <w:sz w:val="22"/>
                <w:szCs w:val="22"/>
                <w:highlight w:val="none"/>
                <w:u w:val="none"/>
              </w:rPr>
            </w:pPr>
          </w:p>
        </w:tc>
      </w:tr>
      <w:tr w14:paraId="63A61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94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D48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61A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9E3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31B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D1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2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EA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F4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6CD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D3F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D5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D5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8F0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77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FB42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AB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14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01C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3A1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9C5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DDC5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4FC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259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371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092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10.55</w:t>
            </w:r>
          </w:p>
        </w:tc>
      </w:tr>
      <w:tr w14:paraId="3DC8A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15440" w:type="dxa"/>
            <w:gridSpan w:val="12"/>
            <w:tcBorders>
              <w:top w:val="nil"/>
              <w:left w:val="nil"/>
              <w:bottom w:val="nil"/>
              <w:right w:val="nil"/>
            </w:tcBorders>
            <w:shd w:val="clear" w:color="auto" w:fill="auto"/>
            <w:vAlign w:val="center"/>
          </w:tcPr>
          <w:p w14:paraId="45FB1E9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5FD03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 w:hRule="atLeast"/>
        </w:trPr>
        <w:tc>
          <w:tcPr>
            <w:tcW w:w="0" w:type="auto"/>
            <w:tcBorders>
              <w:top w:val="nil"/>
              <w:left w:val="nil"/>
              <w:bottom w:val="nil"/>
              <w:right w:val="nil"/>
            </w:tcBorders>
            <w:shd w:val="clear" w:color="auto" w:fill="auto"/>
            <w:noWrap/>
            <w:vAlign w:val="center"/>
          </w:tcPr>
          <w:p w14:paraId="3367793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7984FA7">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74B381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1EA19BB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07D3015">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E703AAB">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35AD91A3">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8F08160">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4E597CA8">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67032A06">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2A3FC47F">
            <w:pPr>
              <w:rPr>
                <w:rFonts w:hint="eastAsia" w:ascii="宋体" w:hAnsi="宋体" w:eastAsia="宋体" w:cs="宋体"/>
                <w:i w:val="0"/>
                <w:iCs w:val="0"/>
                <w:color w:val="000000"/>
                <w:sz w:val="22"/>
                <w:szCs w:val="22"/>
                <w:highlight w:val="none"/>
                <w:u w:val="none"/>
              </w:rPr>
            </w:pPr>
          </w:p>
        </w:tc>
        <w:tc>
          <w:tcPr>
            <w:tcW w:w="0" w:type="auto"/>
            <w:tcBorders>
              <w:top w:val="nil"/>
              <w:left w:val="nil"/>
              <w:bottom w:val="nil"/>
              <w:right w:val="nil"/>
            </w:tcBorders>
            <w:shd w:val="clear" w:color="auto" w:fill="auto"/>
            <w:noWrap/>
            <w:vAlign w:val="center"/>
          </w:tcPr>
          <w:p w14:paraId="03FD39B0">
            <w:pPr>
              <w:rPr>
                <w:rFonts w:hint="eastAsia" w:ascii="宋体" w:hAnsi="宋体" w:eastAsia="宋体" w:cs="宋体"/>
                <w:i w:val="0"/>
                <w:iCs w:val="0"/>
                <w:color w:val="000000"/>
                <w:sz w:val="22"/>
                <w:szCs w:val="22"/>
                <w:highlight w:val="none"/>
                <w:u w:val="none"/>
              </w:rPr>
            </w:pPr>
          </w:p>
        </w:tc>
      </w:tr>
    </w:tbl>
    <w:p w14:paraId="6906E47F">
      <w:pPr>
        <w:pStyle w:val="2"/>
        <w:rPr>
          <w:rFonts w:hint="eastAsia" w:ascii="Times New Roman" w:hAnsi="Times New Roman" w:eastAsia="方正小标宋_GBK" w:cs="Times New Roman"/>
          <w:color w:val="000000"/>
          <w:kern w:val="0"/>
          <w:sz w:val="36"/>
          <w:szCs w:val="36"/>
          <w:highlight w:val="none"/>
        </w:rPr>
      </w:pPr>
    </w:p>
    <w:p w14:paraId="46FDEEDF">
      <w:pPr>
        <w:pStyle w:val="2"/>
        <w:rPr>
          <w:rFonts w:hint="eastAsia" w:ascii="Times New Roman" w:hAnsi="Times New Roman" w:eastAsia="方正小标宋_GBK" w:cs="Times New Roman"/>
          <w:color w:val="000000"/>
          <w:kern w:val="0"/>
          <w:sz w:val="36"/>
          <w:szCs w:val="36"/>
          <w:highlight w:val="none"/>
        </w:rPr>
      </w:pPr>
    </w:p>
    <w:p w14:paraId="408DCD14">
      <w:pPr>
        <w:pStyle w:val="2"/>
        <w:rPr>
          <w:rFonts w:hint="eastAsia" w:ascii="Times New Roman" w:hAnsi="Times New Roman" w:eastAsia="方正小标宋_GBK" w:cs="Times New Roman"/>
          <w:color w:val="000000"/>
          <w:kern w:val="0"/>
          <w:sz w:val="36"/>
          <w:szCs w:val="36"/>
          <w:highlight w:val="none"/>
        </w:rPr>
      </w:pPr>
    </w:p>
    <w:p w14:paraId="45339D55">
      <w:pPr>
        <w:autoSpaceDE w:val="0"/>
        <w:autoSpaceDN w:val="0"/>
        <w:adjustRightInd w:val="0"/>
        <w:ind w:left="315" w:leftChars="150"/>
        <w:jc w:val="left"/>
        <w:rPr>
          <w:rFonts w:ascii="宋体" w:eastAsia="宋体" w:cs="宋体"/>
          <w:kern w:val="0"/>
          <w:sz w:val="24"/>
          <w:szCs w:val="24"/>
          <w:highlight w:val="none"/>
        </w:rPr>
      </w:pPr>
    </w:p>
    <w:p w14:paraId="7896709B">
      <w:pPr>
        <w:autoSpaceDE w:val="0"/>
        <w:autoSpaceDN w:val="0"/>
        <w:adjustRightInd w:val="0"/>
        <w:ind w:left="315" w:leftChars="150"/>
        <w:jc w:val="left"/>
        <w:rPr>
          <w:rFonts w:ascii="宋体" w:eastAsia="宋体" w:cs="宋体"/>
          <w:kern w:val="0"/>
          <w:sz w:val="24"/>
          <w:szCs w:val="24"/>
          <w:highlight w:val="none"/>
        </w:rPr>
      </w:pPr>
    </w:p>
    <w:p w14:paraId="5B3C699F">
      <w:pPr>
        <w:autoSpaceDE w:val="0"/>
        <w:autoSpaceDN w:val="0"/>
        <w:adjustRightInd w:val="0"/>
        <w:ind w:left="315" w:leftChars="150"/>
        <w:jc w:val="left"/>
        <w:rPr>
          <w:rFonts w:ascii="宋体" w:eastAsia="宋体" w:cs="宋体"/>
          <w:kern w:val="0"/>
          <w:sz w:val="24"/>
          <w:szCs w:val="24"/>
          <w:highlight w:val="none"/>
        </w:rPr>
      </w:pPr>
    </w:p>
    <w:p w14:paraId="394CD6B6">
      <w:pPr>
        <w:autoSpaceDE w:val="0"/>
        <w:autoSpaceDN w:val="0"/>
        <w:adjustRightInd w:val="0"/>
        <w:ind w:left="315" w:leftChars="150"/>
        <w:jc w:val="left"/>
        <w:rPr>
          <w:rFonts w:ascii="宋体" w:eastAsia="宋体" w:cs="宋体"/>
          <w:kern w:val="0"/>
          <w:sz w:val="24"/>
          <w:szCs w:val="24"/>
          <w:highlight w:val="none"/>
        </w:rPr>
      </w:pPr>
    </w:p>
    <w:p w14:paraId="073103D6">
      <w:pPr>
        <w:autoSpaceDE w:val="0"/>
        <w:autoSpaceDN w:val="0"/>
        <w:adjustRightInd w:val="0"/>
        <w:ind w:left="315" w:leftChars="150"/>
        <w:jc w:val="left"/>
        <w:rPr>
          <w:rFonts w:ascii="宋体" w:eastAsia="宋体" w:cs="宋体"/>
          <w:kern w:val="0"/>
          <w:sz w:val="24"/>
          <w:szCs w:val="24"/>
          <w:highlight w:val="none"/>
        </w:rPr>
      </w:pPr>
    </w:p>
    <w:p w14:paraId="08BD27C4">
      <w:pPr>
        <w:widowControl/>
        <w:jc w:val="both"/>
        <w:rPr>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highlight w:val="none"/>
        </w:rPr>
        <w:br w:type="page"/>
      </w:r>
    </w:p>
    <w:p w14:paraId="71DC74B5">
      <w:pPr>
        <w:pStyle w:val="15"/>
        <w:rPr>
          <w:sz w:val="72"/>
          <w:szCs w:val="72"/>
          <w:highlight w:val="none"/>
        </w:rPr>
      </w:pPr>
    </w:p>
    <w:p w14:paraId="52DFAAFC">
      <w:pPr>
        <w:pStyle w:val="15"/>
        <w:rPr>
          <w:sz w:val="72"/>
          <w:szCs w:val="72"/>
          <w:highlight w:val="none"/>
        </w:rPr>
      </w:pPr>
    </w:p>
    <w:p w14:paraId="2BAD1FEB">
      <w:pPr>
        <w:pStyle w:val="15"/>
        <w:rPr>
          <w:sz w:val="72"/>
          <w:szCs w:val="72"/>
          <w:highlight w:val="none"/>
        </w:rPr>
      </w:pPr>
    </w:p>
    <w:p w14:paraId="72A9DE2E">
      <w:pPr>
        <w:pStyle w:val="15"/>
        <w:rPr>
          <w:sz w:val="72"/>
          <w:szCs w:val="72"/>
          <w:highlight w:val="none"/>
        </w:rPr>
      </w:pPr>
    </w:p>
    <w:p w14:paraId="227E1C70">
      <w:pPr>
        <w:pStyle w:val="15"/>
        <w:jc w:val="center"/>
        <w:rPr>
          <w:sz w:val="72"/>
          <w:szCs w:val="72"/>
          <w:highlight w:val="none"/>
        </w:rPr>
      </w:pPr>
    </w:p>
    <w:p w14:paraId="4AB3AAA3">
      <w:pPr>
        <w:pStyle w:val="15"/>
        <w:jc w:val="center"/>
        <w:rPr>
          <w:rFonts w:hint="eastAsia" w:ascii="方正小标宋_GBK" w:hAnsi="方正小标宋_GBK" w:eastAsia="方正小标宋_GBK" w:cs="方正小标宋_GBK"/>
          <w:sz w:val="72"/>
          <w:szCs w:val="72"/>
          <w:highlight w:val="none"/>
        </w:rPr>
      </w:pPr>
    </w:p>
    <w:p w14:paraId="435A0FDC">
      <w:pPr>
        <w:pStyle w:val="15"/>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第三部分</w:t>
      </w:r>
    </w:p>
    <w:p w14:paraId="59EC03DF">
      <w:pPr>
        <w:pStyle w:val="15"/>
        <w:jc w:val="center"/>
        <w:rPr>
          <w:rFonts w:hint="eastAsia" w:ascii="方正小标宋_GBK" w:hAnsi="方正小标宋_GBK" w:eastAsia="方正小标宋_GBK" w:cs="方正小标宋_GBK"/>
          <w:sz w:val="70"/>
          <w:szCs w:val="70"/>
          <w:highlight w:val="none"/>
        </w:rPr>
      </w:pPr>
    </w:p>
    <w:p w14:paraId="147758CE">
      <w:pPr>
        <w:pStyle w:val="15"/>
        <w:jc w:val="center"/>
        <w:rPr>
          <w:rFonts w:hint="eastAsia" w:ascii="方正小标宋_GBK" w:hAnsi="方正小标宋_GBK" w:eastAsia="方正小标宋_GBK" w:cs="方正小标宋_GBK"/>
          <w:sz w:val="70"/>
          <w:szCs w:val="70"/>
          <w:highlight w:val="none"/>
        </w:rPr>
      </w:pPr>
      <w:r>
        <w:rPr>
          <w:rFonts w:hint="eastAsia" w:ascii="方正小标宋_GBK" w:hAnsi="方正小标宋_GBK" w:eastAsia="方正小标宋_GBK" w:cs="方正小标宋_GBK"/>
          <w:sz w:val="70"/>
          <w:szCs w:val="70"/>
          <w:highlight w:val="none"/>
          <w:lang w:eastAsia="zh-CN"/>
        </w:rPr>
        <w:t>2023</w:t>
      </w:r>
      <w:r>
        <w:rPr>
          <w:rFonts w:hint="eastAsia" w:ascii="方正小标宋_GBK" w:hAnsi="方正小标宋_GBK" w:eastAsia="方正小标宋_GBK" w:cs="方正小标宋_GBK"/>
          <w:sz w:val="70"/>
          <w:szCs w:val="70"/>
          <w:highlight w:val="none"/>
        </w:rPr>
        <w:t>年度部门决算情况说明</w:t>
      </w:r>
    </w:p>
    <w:p w14:paraId="23008AC2">
      <w:pPr>
        <w:widowControl/>
        <w:jc w:val="left"/>
        <w:rPr>
          <w:rFonts w:asciiTheme="minorEastAsia" w:hAnsiTheme="minorEastAsia" w:eastAsiaTheme="minorEastAsia"/>
          <w:sz w:val="32"/>
          <w:szCs w:val="32"/>
          <w:highlight w:val="none"/>
        </w:rPr>
      </w:pPr>
      <w:r>
        <w:rPr>
          <w:rFonts w:hint="eastAsia" w:ascii="方正小标宋_GBK" w:hAnsi="方正小标宋_GBK" w:eastAsia="方正小标宋_GBK" w:cs="方正小标宋_GBK"/>
          <w:sz w:val="70"/>
          <w:szCs w:val="70"/>
          <w:highlight w:val="none"/>
        </w:rPr>
        <w:br w:type="page"/>
      </w:r>
    </w:p>
    <w:p w14:paraId="3FD67C6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一、收入支出决算总体情况说明</w:t>
      </w:r>
    </w:p>
    <w:p w14:paraId="2B2BF51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2023</w:t>
      </w:r>
      <w:r>
        <w:rPr>
          <w:rFonts w:hint="eastAsia" w:ascii="仿宋" w:hAnsi="仿宋" w:eastAsia="仿宋" w:cs="仿宋"/>
          <w:sz w:val="32"/>
          <w:szCs w:val="32"/>
          <w:highlight w:val="none"/>
        </w:rPr>
        <w:t>年度收、支总计</w:t>
      </w:r>
      <w:r>
        <w:rPr>
          <w:rFonts w:hint="eastAsia" w:ascii="仿宋" w:hAnsi="仿宋" w:eastAsia="仿宋" w:cs="仿宋"/>
          <w:sz w:val="32"/>
          <w:szCs w:val="32"/>
          <w:highlight w:val="none"/>
          <w:lang w:val="en-US" w:eastAsia="zh-CN"/>
        </w:rPr>
        <w:t>8129.36</w:t>
      </w:r>
      <w:r>
        <w:rPr>
          <w:rFonts w:hint="eastAsia" w:ascii="仿宋" w:hAnsi="仿宋" w:eastAsia="仿宋" w:cs="仿宋"/>
          <w:sz w:val="32"/>
          <w:szCs w:val="32"/>
          <w:highlight w:val="none"/>
        </w:rPr>
        <w:t>万元。与上年相比，增加</w:t>
      </w:r>
      <w:r>
        <w:rPr>
          <w:rFonts w:hint="eastAsia" w:ascii="仿宋" w:hAnsi="仿宋" w:eastAsia="仿宋" w:cs="仿宋"/>
          <w:sz w:val="32"/>
          <w:szCs w:val="32"/>
          <w:highlight w:val="none"/>
          <w:lang w:val="en-US" w:eastAsia="zh-CN"/>
        </w:rPr>
        <w:t>5373.01</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194.93</w:t>
      </w:r>
      <w:r>
        <w:rPr>
          <w:rFonts w:hint="eastAsia" w:ascii="仿宋" w:hAnsi="仿宋" w:eastAsia="仿宋" w:cs="仿宋"/>
          <w:sz w:val="32"/>
          <w:szCs w:val="32"/>
          <w:highlight w:val="none"/>
        </w:rPr>
        <w:t>%，主要是</w:t>
      </w:r>
      <w:bookmarkStart w:id="2" w:name="OLE_LINK1"/>
      <w:r>
        <w:rPr>
          <w:rFonts w:hint="eastAsia" w:ascii="仿宋" w:hAnsi="仿宋" w:eastAsia="仿宋" w:cs="仿宋"/>
          <w:sz w:val="32"/>
          <w:szCs w:val="32"/>
          <w:highlight w:val="none"/>
          <w:lang w:eastAsia="zh-CN"/>
        </w:rPr>
        <w:t>项目增多，包含</w:t>
      </w:r>
      <w:r>
        <w:rPr>
          <w:rFonts w:hint="eastAsia" w:ascii="仿宋" w:hAnsi="仿宋" w:eastAsia="仿宋" w:cs="仿宋"/>
          <w:sz w:val="32"/>
          <w:szCs w:val="32"/>
          <w:highlight w:val="none"/>
        </w:rPr>
        <w:t>2021年第一批以工代赈示范工程项目款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2021年下半年应急成品粮储备保管费用,2020年湘西地区重大产业奖补项目（金樱子果酒），县保障性安居工程基础设施建设项目等项目的开支</w:t>
      </w:r>
      <w:bookmarkEnd w:id="2"/>
      <w:r>
        <w:rPr>
          <w:rFonts w:hint="eastAsia" w:ascii="仿宋" w:hAnsi="仿宋" w:eastAsia="仿宋" w:cs="仿宋"/>
          <w:sz w:val="32"/>
          <w:szCs w:val="32"/>
          <w:highlight w:val="none"/>
          <w:lang w:eastAsia="zh-CN"/>
        </w:rPr>
        <w:t>。</w:t>
      </w:r>
    </w:p>
    <w:p w14:paraId="30973600">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二、收入决算情况说明</w:t>
      </w:r>
    </w:p>
    <w:p w14:paraId="0F52382E">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2023</w:t>
      </w:r>
      <w:r>
        <w:rPr>
          <w:rFonts w:hint="eastAsia" w:ascii="仿宋" w:hAnsi="仿宋" w:eastAsia="仿宋" w:cs="仿宋"/>
          <w:sz w:val="32"/>
          <w:szCs w:val="32"/>
          <w:highlight w:val="none"/>
        </w:rPr>
        <w:t>年度收入合计</w:t>
      </w:r>
      <w:r>
        <w:rPr>
          <w:rFonts w:hint="eastAsia" w:ascii="仿宋" w:hAnsi="仿宋" w:eastAsia="仿宋" w:cs="仿宋"/>
          <w:sz w:val="32"/>
          <w:szCs w:val="32"/>
          <w:highlight w:val="none"/>
          <w:lang w:val="en-US" w:eastAsia="zh-CN"/>
        </w:rPr>
        <w:t>8129.36</w:t>
      </w:r>
      <w:r>
        <w:rPr>
          <w:rFonts w:hint="eastAsia" w:ascii="仿宋" w:hAnsi="仿宋" w:eastAsia="仿宋" w:cs="仿宋"/>
          <w:sz w:val="32"/>
          <w:szCs w:val="32"/>
          <w:highlight w:val="none"/>
        </w:rPr>
        <w:t>万元，其中：财政拨款收入</w:t>
      </w:r>
      <w:r>
        <w:rPr>
          <w:rFonts w:hint="eastAsia" w:ascii="仿宋" w:hAnsi="仿宋" w:eastAsia="仿宋" w:cs="仿宋"/>
          <w:sz w:val="32"/>
          <w:szCs w:val="32"/>
          <w:highlight w:val="none"/>
          <w:lang w:val="en-US" w:eastAsia="zh-CN"/>
        </w:rPr>
        <w:t>8129.36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%；上级补助收入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万元；事业收入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万元；经营收入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万元%；附属单位上缴收入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万元；其他收入</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w:t>
      </w:r>
    </w:p>
    <w:p w14:paraId="322B22E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三、支出决算情况说明</w:t>
      </w:r>
    </w:p>
    <w:p w14:paraId="5568251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2023</w:t>
      </w:r>
      <w:r>
        <w:rPr>
          <w:rFonts w:hint="eastAsia" w:ascii="仿宋" w:hAnsi="仿宋" w:eastAsia="仿宋" w:cs="仿宋"/>
          <w:sz w:val="32"/>
          <w:szCs w:val="32"/>
          <w:highlight w:val="none"/>
        </w:rPr>
        <w:t>年度支出合计</w:t>
      </w:r>
      <w:r>
        <w:rPr>
          <w:rFonts w:hint="eastAsia" w:ascii="仿宋" w:hAnsi="仿宋" w:eastAsia="仿宋" w:cs="仿宋"/>
          <w:sz w:val="32"/>
          <w:szCs w:val="32"/>
          <w:highlight w:val="none"/>
          <w:lang w:val="en-US" w:eastAsia="zh-CN"/>
        </w:rPr>
        <w:t>8129.36</w:t>
      </w:r>
      <w:r>
        <w:rPr>
          <w:rFonts w:hint="eastAsia" w:ascii="仿宋" w:hAnsi="仿宋" w:eastAsia="仿宋" w:cs="仿宋"/>
          <w:sz w:val="32"/>
          <w:szCs w:val="32"/>
          <w:highlight w:val="none"/>
        </w:rPr>
        <w:t>万元，其中：基本支出</w:t>
      </w:r>
      <w:r>
        <w:rPr>
          <w:rFonts w:hint="eastAsia" w:ascii="仿宋" w:hAnsi="仿宋" w:eastAsia="仿宋" w:cs="仿宋"/>
          <w:sz w:val="32"/>
          <w:szCs w:val="32"/>
          <w:highlight w:val="none"/>
          <w:lang w:val="en-US" w:eastAsia="zh-CN"/>
        </w:rPr>
        <w:t>1148</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14.12</w:t>
      </w:r>
      <w:r>
        <w:rPr>
          <w:rFonts w:hint="eastAsia" w:ascii="仿宋" w:hAnsi="仿宋" w:eastAsia="仿宋" w:cs="仿宋"/>
          <w:sz w:val="32"/>
          <w:szCs w:val="32"/>
          <w:highlight w:val="none"/>
        </w:rPr>
        <w:t>%；项目支出</w:t>
      </w:r>
      <w:r>
        <w:rPr>
          <w:rFonts w:hint="eastAsia" w:ascii="仿宋" w:hAnsi="仿宋" w:eastAsia="仿宋" w:cs="仿宋"/>
          <w:sz w:val="32"/>
          <w:szCs w:val="32"/>
          <w:highlight w:val="none"/>
          <w:lang w:val="en-US" w:eastAsia="zh-CN"/>
        </w:rPr>
        <w:t>6981.36</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85.88</w:t>
      </w:r>
      <w:r>
        <w:rPr>
          <w:rFonts w:hint="eastAsia" w:ascii="仿宋" w:hAnsi="仿宋" w:eastAsia="仿宋" w:cs="仿宋"/>
          <w:sz w:val="32"/>
          <w:szCs w:val="32"/>
          <w:highlight w:val="none"/>
        </w:rPr>
        <w:t>%；上缴上级支出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万元；经营支出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万元；对附属单位补助支出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w:t>
      </w:r>
    </w:p>
    <w:p w14:paraId="0E7B24B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bCs w:val="0"/>
          <w:sz w:val="32"/>
          <w:szCs w:val="32"/>
          <w:highlight w:val="none"/>
        </w:rPr>
        <w:t>四、财政拨款收入支出决算总体情况说明</w:t>
      </w:r>
    </w:p>
    <w:p w14:paraId="4C23359D">
      <w:pPr>
        <w:pStyle w:val="15"/>
        <w:keepNext w:val="0"/>
        <w:keepLines w:val="0"/>
        <w:pageBreakBefore w:val="0"/>
        <w:widowControl w:val="0"/>
        <w:kinsoku/>
        <w:wordWrap/>
        <w:overflowPunct/>
        <w:topLinePunct w:val="0"/>
        <w:bidi w:val="0"/>
        <w:snapToGrid/>
        <w:spacing w:line="600" w:lineRule="exact"/>
        <w:textAlignment w:val="auto"/>
        <w:rPr>
          <w:rFonts w:hint="eastAsia" w:ascii="仿宋" w:hAnsi="仿宋" w:eastAsia="仿宋" w:cs="仿宋"/>
          <w:sz w:val="32"/>
          <w:szCs w:val="32"/>
          <w:highlight w:val="none"/>
          <w:lang w:eastAsia="zh-CN"/>
        </w:rPr>
      </w:pPr>
      <w:r>
        <w:rPr>
          <w:rFonts w:hint="eastAsia" w:ascii="Times New Roman" w:hAnsi="Times New Roman" w:eastAsia="仿宋_GB2312"/>
          <w:sz w:val="32"/>
          <w:szCs w:val="32"/>
          <w:highlight w:val="none"/>
        </w:rPr>
        <w:t xml:space="preserve">   </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eastAsia="zh-CN"/>
        </w:rPr>
        <w:t>2023</w:t>
      </w:r>
      <w:r>
        <w:rPr>
          <w:rFonts w:hint="eastAsia" w:ascii="仿宋" w:hAnsi="仿宋" w:eastAsia="仿宋" w:cs="仿宋"/>
          <w:sz w:val="32"/>
          <w:szCs w:val="32"/>
          <w:highlight w:val="none"/>
        </w:rPr>
        <w:t>年度财政拨款收、支总计</w:t>
      </w:r>
      <w:r>
        <w:rPr>
          <w:rFonts w:hint="eastAsia" w:ascii="仿宋" w:hAnsi="仿宋" w:eastAsia="仿宋" w:cs="仿宋"/>
          <w:sz w:val="32"/>
          <w:szCs w:val="32"/>
          <w:highlight w:val="none"/>
          <w:lang w:val="en-US" w:eastAsia="zh-CN"/>
        </w:rPr>
        <w:t>8129.36</w:t>
      </w:r>
      <w:r>
        <w:rPr>
          <w:rFonts w:hint="eastAsia" w:ascii="仿宋" w:hAnsi="仿宋" w:eastAsia="仿宋" w:cs="仿宋"/>
          <w:sz w:val="32"/>
          <w:szCs w:val="32"/>
          <w:highlight w:val="none"/>
        </w:rPr>
        <w:t>万元，与上年相比，</w:t>
      </w:r>
      <w:bookmarkStart w:id="3" w:name="OLE_LINK2"/>
      <w:r>
        <w:rPr>
          <w:rFonts w:hint="eastAsia" w:ascii="仿宋" w:hAnsi="仿宋" w:eastAsia="仿宋" w:cs="仿宋"/>
          <w:sz w:val="32"/>
          <w:szCs w:val="32"/>
          <w:highlight w:val="none"/>
        </w:rPr>
        <w:t>增加</w:t>
      </w:r>
      <w:r>
        <w:rPr>
          <w:rFonts w:hint="eastAsia" w:ascii="仿宋" w:hAnsi="仿宋" w:eastAsia="仿宋" w:cs="仿宋"/>
          <w:sz w:val="32"/>
          <w:szCs w:val="32"/>
          <w:highlight w:val="none"/>
          <w:lang w:val="en-US" w:eastAsia="zh-CN"/>
        </w:rPr>
        <w:t>5524.42</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212.07</w:t>
      </w:r>
      <w:r>
        <w:rPr>
          <w:rFonts w:hint="eastAsia" w:ascii="仿宋" w:hAnsi="仿宋" w:eastAsia="仿宋" w:cs="仿宋"/>
          <w:sz w:val="32"/>
          <w:szCs w:val="32"/>
          <w:highlight w:val="none"/>
        </w:rPr>
        <w:t>%，主要是</w:t>
      </w:r>
      <w:r>
        <w:rPr>
          <w:rFonts w:hint="eastAsia" w:ascii="仿宋" w:hAnsi="仿宋" w:eastAsia="仿宋" w:cs="仿宋"/>
          <w:sz w:val="32"/>
          <w:szCs w:val="32"/>
          <w:highlight w:val="none"/>
          <w:lang w:eastAsia="zh-CN"/>
        </w:rPr>
        <w:t>项目增多，包含</w:t>
      </w:r>
      <w:r>
        <w:rPr>
          <w:rFonts w:hint="eastAsia" w:ascii="仿宋" w:hAnsi="仿宋" w:eastAsia="仿宋" w:cs="仿宋"/>
          <w:sz w:val="32"/>
          <w:szCs w:val="32"/>
          <w:highlight w:val="none"/>
        </w:rPr>
        <w:t>2021年第一批以工代赈示范工程项目款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2021年下半年应急成品粮储备保管费用,2020年湘西地区重大产业奖补项目（金樱子果酒），县保障性安居工程基础设施建设项目等项目的开支</w:t>
      </w:r>
      <w:bookmarkEnd w:id="3"/>
      <w:r>
        <w:rPr>
          <w:rFonts w:hint="eastAsia" w:ascii="仿宋" w:hAnsi="仿宋" w:eastAsia="仿宋" w:cs="仿宋"/>
          <w:sz w:val="32"/>
          <w:szCs w:val="32"/>
          <w:highlight w:val="none"/>
          <w:lang w:eastAsia="zh-CN"/>
        </w:rPr>
        <w:t>。</w:t>
      </w:r>
    </w:p>
    <w:p w14:paraId="74CC583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五、一般公共预算财政拨款支出决算情况说明</w:t>
      </w:r>
    </w:p>
    <w:p w14:paraId="47E4701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（一）财政拨款支出决算总体情况</w:t>
      </w:r>
    </w:p>
    <w:p w14:paraId="0372632F">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2023</w:t>
      </w:r>
      <w:r>
        <w:rPr>
          <w:rFonts w:hint="eastAsia" w:ascii="仿宋" w:hAnsi="仿宋" w:eastAsia="仿宋" w:cs="仿宋"/>
          <w:sz w:val="32"/>
          <w:szCs w:val="32"/>
          <w:highlight w:val="none"/>
        </w:rPr>
        <w:t>年度财政拨款支出</w:t>
      </w:r>
      <w:r>
        <w:rPr>
          <w:rFonts w:hint="eastAsia" w:ascii="仿宋" w:hAnsi="仿宋" w:eastAsia="仿宋" w:cs="仿宋"/>
          <w:sz w:val="32"/>
          <w:szCs w:val="32"/>
          <w:highlight w:val="none"/>
          <w:lang w:val="en-US" w:eastAsia="zh-CN"/>
        </w:rPr>
        <w:t>8129.36</w:t>
      </w:r>
      <w:r>
        <w:rPr>
          <w:rFonts w:hint="eastAsia" w:ascii="仿宋" w:hAnsi="仿宋" w:eastAsia="仿宋" w:cs="仿宋"/>
          <w:sz w:val="32"/>
          <w:szCs w:val="32"/>
          <w:highlight w:val="none"/>
        </w:rPr>
        <w:t>万元，占本年支出合计的</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%，与上年相比，财政拨款支出增加</w:t>
      </w:r>
      <w:r>
        <w:rPr>
          <w:rFonts w:hint="eastAsia" w:ascii="仿宋" w:hAnsi="仿宋" w:eastAsia="仿宋" w:cs="仿宋"/>
          <w:sz w:val="32"/>
          <w:szCs w:val="32"/>
          <w:highlight w:val="none"/>
          <w:lang w:val="en-US" w:eastAsia="zh-CN"/>
        </w:rPr>
        <w:t>5524.42</w:t>
      </w:r>
      <w:r>
        <w:rPr>
          <w:rFonts w:hint="eastAsia" w:ascii="仿宋" w:hAnsi="仿宋" w:eastAsia="仿宋" w:cs="仿宋"/>
          <w:sz w:val="32"/>
          <w:szCs w:val="32"/>
          <w:highlight w:val="none"/>
        </w:rPr>
        <w:t>万元,增长</w:t>
      </w:r>
      <w:r>
        <w:rPr>
          <w:rFonts w:hint="eastAsia" w:ascii="仿宋" w:hAnsi="仿宋" w:eastAsia="仿宋" w:cs="仿宋"/>
          <w:sz w:val="32"/>
          <w:szCs w:val="32"/>
          <w:highlight w:val="none"/>
          <w:lang w:val="en-US" w:eastAsia="zh-CN"/>
        </w:rPr>
        <w:t>212.07</w:t>
      </w:r>
      <w:r>
        <w:rPr>
          <w:rFonts w:hint="eastAsia" w:ascii="仿宋" w:hAnsi="仿宋" w:eastAsia="仿宋" w:cs="仿宋"/>
          <w:sz w:val="32"/>
          <w:szCs w:val="32"/>
          <w:highlight w:val="none"/>
        </w:rPr>
        <w:t>%，主要是</w:t>
      </w:r>
      <w:r>
        <w:rPr>
          <w:rFonts w:hint="eastAsia" w:ascii="仿宋" w:hAnsi="仿宋" w:eastAsia="仿宋" w:cs="仿宋"/>
          <w:sz w:val="32"/>
          <w:szCs w:val="32"/>
          <w:highlight w:val="none"/>
          <w:lang w:eastAsia="zh-CN"/>
        </w:rPr>
        <w:t>项目增多，包含</w:t>
      </w:r>
      <w:r>
        <w:rPr>
          <w:rFonts w:hint="eastAsia" w:ascii="仿宋" w:hAnsi="仿宋" w:eastAsia="仿宋" w:cs="仿宋"/>
          <w:sz w:val="32"/>
          <w:szCs w:val="32"/>
          <w:highlight w:val="none"/>
        </w:rPr>
        <w:t>2021年第一批以工代赈示范工程项目款</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2021年下半年应急成品粮储备保管费用,2020年湘西地区重大产业奖补项目（金樱子果酒），县保障性安居工程基础设施建设项目等项目的开支</w:t>
      </w:r>
      <w:r>
        <w:rPr>
          <w:rFonts w:hint="eastAsia" w:ascii="仿宋" w:hAnsi="仿宋" w:eastAsia="仿宋" w:cs="仿宋"/>
          <w:sz w:val="32"/>
          <w:szCs w:val="32"/>
          <w:highlight w:val="none"/>
          <w:lang w:eastAsia="zh-CN"/>
        </w:rPr>
        <w:t>。</w:t>
      </w:r>
    </w:p>
    <w:p w14:paraId="4D804EAA">
      <w:pPr>
        <w:pStyle w:val="15"/>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rPr>
        <w:t>（二）财政拨款支出决算结构情况</w:t>
      </w:r>
    </w:p>
    <w:p w14:paraId="571851F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8129.36</w:t>
      </w:r>
      <w:r>
        <w:rPr>
          <w:rFonts w:hint="eastAsia" w:ascii="Times New Roman" w:hAnsi="Times New Roman" w:eastAsia="仿宋_GB2312"/>
          <w:sz w:val="32"/>
          <w:szCs w:val="32"/>
          <w:highlight w:val="none"/>
        </w:rPr>
        <w:t>万元，主要用于以下方面：一般公共服务（类）支出</w:t>
      </w:r>
      <w:r>
        <w:rPr>
          <w:rFonts w:hint="eastAsia" w:ascii="Times New Roman" w:hAnsi="Times New Roman" w:eastAsia="仿宋_GB2312"/>
          <w:sz w:val="32"/>
          <w:szCs w:val="32"/>
          <w:highlight w:val="none"/>
          <w:lang w:val="en-US" w:eastAsia="zh-CN"/>
        </w:rPr>
        <w:t>1541.08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18.95</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社会保障和就业支出</w:t>
      </w:r>
      <w:r>
        <w:rPr>
          <w:rFonts w:hint="eastAsia" w:ascii="Times New Roman" w:hAnsi="Times New Roman" w:eastAsia="仿宋_GB2312"/>
          <w:sz w:val="32"/>
          <w:szCs w:val="32"/>
          <w:highlight w:val="none"/>
        </w:rPr>
        <w:t>（类）支出</w:t>
      </w:r>
      <w:r>
        <w:rPr>
          <w:rFonts w:hint="eastAsia" w:ascii="Times New Roman" w:hAnsi="Times New Roman" w:eastAsia="仿宋_GB2312"/>
          <w:sz w:val="32"/>
          <w:szCs w:val="32"/>
          <w:highlight w:val="none"/>
          <w:lang w:val="en-US" w:eastAsia="zh-CN"/>
        </w:rPr>
        <w:t>299.41</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3.68</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卫生健康支出（类）支出</w:t>
      </w:r>
      <w:r>
        <w:rPr>
          <w:rFonts w:hint="eastAsia" w:ascii="Times New Roman" w:hAnsi="Times New Roman" w:eastAsia="仿宋_GB2312"/>
          <w:sz w:val="32"/>
          <w:szCs w:val="32"/>
          <w:highlight w:val="none"/>
          <w:lang w:val="en-US" w:eastAsia="zh-CN"/>
        </w:rPr>
        <w:t>41.37万元，占0.5%；节能环保支出（类）支出4706.62万元，占57.8%；城乡社区支出（类）支出50.95万元，占0.62%；农林水支出（类）支出947.7万元，占11.65%；住房保障支出（类）支出40.22万元，占0.49%； 粮油物资储备支出</w:t>
      </w:r>
      <w:r>
        <w:rPr>
          <w:rFonts w:hint="eastAsia" w:ascii="Times New Roman" w:hAnsi="Times New Roman" w:eastAsia="仿宋_GB2312"/>
          <w:sz w:val="32"/>
          <w:szCs w:val="32"/>
          <w:highlight w:val="none"/>
          <w:lang w:eastAsia="zh-CN"/>
        </w:rPr>
        <w:t>（类）支出</w:t>
      </w:r>
      <w:r>
        <w:rPr>
          <w:rFonts w:hint="eastAsia" w:ascii="Times New Roman" w:hAnsi="Times New Roman" w:eastAsia="仿宋_GB2312"/>
          <w:sz w:val="32"/>
          <w:szCs w:val="32"/>
          <w:highlight w:val="none"/>
          <w:lang w:val="en-US" w:eastAsia="zh-CN"/>
        </w:rPr>
        <w:t>497万元，占6.11%；灾害防治及应急管理支出</w:t>
      </w:r>
      <w:r>
        <w:rPr>
          <w:rFonts w:hint="eastAsia" w:ascii="Times New Roman" w:hAnsi="Times New Roman" w:eastAsia="仿宋_GB2312"/>
          <w:sz w:val="32"/>
          <w:szCs w:val="32"/>
          <w:highlight w:val="none"/>
          <w:lang w:eastAsia="zh-CN"/>
        </w:rPr>
        <w:t>（类）支出</w:t>
      </w:r>
      <w:r>
        <w:rPr>
          <w:rFonts w:hint="eastAsia" w:ascii="Times New Roman" w:hAnsi="Times New Roman" w:eastAsia="仿宋_GB2312"/>
          <w:sz w:val="32"/>
          <w:szCs w:val="32"/>
          <w:highlight w:val="none"/>
          <w:lang w:val="en-US" w:eastAsia="zh-CN"/>
        </w:rPr>
        <w:t>5万元，占0.061%。</w:t>
      </w:r>
    </w:p>
    <w:p w14:paraId="213F2F9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highlight w:val="none"/>
        </w:rPr>
      </w:pPr>
      <w:r>
        <w:rPr>
          <w:rFonts w:hint="eastAsia" w:ascii="楷体" w:hAnsi="楷体" w:eastAsia="楷体" w:cs="楷体"/>
          <w:b w:val="0"/>
          <w:bCs/>
          <w:sz w:val="32"/>
          <w:szCs w:val="32"/>
          <w:highlight w:val="none"/>
          <w:lang w:val="en-US" w:eastAsia="zh-CN"/>
        </w:rPr>
        <w:t>（三）</w:t>
      </w:r>
      <w:r>
        <w:rPr>
          <w:rFonts w:hint="eastAsia" w:ascii="楷体" w:hAnsi="楷体" w:eastAsia="楷体" w:cs="楷体"/>
          <w:b w:val="0"/>
          <w:bCs/>
          <w:sz w:val="32"/>
          <w:szCs w:val="32"/>
          <w:highlight w:val="none"/>
        </w:rPr>
        <w:t>财政拨款支出决算具体情况</w:t>
      </w:r>
    </w:p>
    <w:p w14:paraId="4FF6A3E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2023年度财政拨款支出年初预算数为</w:t>
      </w:r>
      <w:r>
        <w:rPr>
          <w:rFonts w:hint="eastAsia" w:ascii="Times New Roman" w:hAnsi="Times New Roman" w:eastAsia="仿宋_GB2312"/>
          <w:sz w:val="32"/>
          <w:szCs w:val="32"/>
          <w:highlight w:val="none"/>
          <w:lang w:val="en-US" w:eastAsia="zh-CN"/>
        </w:rPr>
        <w:t>2677.32</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8129.36</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303.64</w:t>
      </w:r>
      <w:r>
        <w:rPr>
          <w:rFonts w:hint="eastAsia" w:ascii="Times New Roman" w:hAnsi="Times New Roman" w:eastAsia="仿宋_GB2312"/>
          <w:sz w:val="32"/>
          <w:szCs w:val="32"/>
          <w:highlight w:val="none"/>
          <w:lang w:eastAsia="zh-CN"/>
        </w:rPr>
        <w:t>%，其中：</w:t>
      </w:r>
    </w:p>
    <w:p w14:paraId="2842D26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1、一般公共服务（类）发展与改革事务（款）行政运行（项）。</w:t>
      </w:r>
    </w:p>
    <w:p w14:paraId="4D11002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年初预算为</w:t>
      </w:r>
      <w:r>
        <w:rPr>
          <w:rFonts w:hint="eastAsia" w:ascii="Times New Roman" w:hAnsi="Times New Roman" w:eastAsia="仿宋_GB2312"/>
          <w:sz w:val="32"/>
          <w:szCs w:val="32"/>
          <w:highlight w:val="none"/>
          <w:lang w:val="en-US" w:eastAsia="zh-CN"/>
        </w:rPr>
        <w:t>748.15</w:t>
      </w:r>
      <w:r>
        <w:rPr>
          <w:rFonts w:hint="eastAsia" w:ascii="Times New Roman" w:hAnsi="Times New Roman" w:eastAsia="仿宋_GB2312"/>
          <w:sz w:val="32"/>
          <w:szCs w:val="32"/>
          <w:highlight w:val="none"/>
          <w:lang w:eastAsia="zh-CN"/>
        </w:rPr>
        <w:t>万元，支出决算为</w:t>
      </w:r>
      <w:r>
        <w:rPr>
          <w:rFonts w:hint="eastAsia" w:ascii="Times New Roman" w:hAnsi="Times New Roman" w:eastAsia="仿宋_GB2312"/>
          <w:sz w:val="32"/>
          <w:szCs w:val="32"/>
          <w:highlight w:val="none"/>
          <w:lang w:val="en-US" w:eastAsia="zh-CN"/>
        </w:rPr>
        <w:t>715.9</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95.69</w:t>
      </w:r>
      <w:r>
        <w:rPr>
          <w:rFonts w:hint="eastAsia" w:ascii="Times New Roman" w:hAnsi="Times New Roman" w:eastAsia="仿宋_GB2312"/>
          <w:sz w:val="32"/>
          <w:szCs w:val="32"/>
          <w:highlight w:val="none"/>
          <w:lang w:eastAsia="zh-CN"/>
        </w:rPr>
        <w:t>%，决算数小于年初预算数的主要原因是调整预算。</w:t>
      </w:r>
    </w:p>
    <w:p w14:paraId="0E62F93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2、一般公共服务（类）发展与改革事务（款）</w:t>
      </w:r>
      <w:bookmarkStart w:id="4" w:name="OLE_LINK10"/>
      <w:r>
        <w:rPr>
          <w:rFonts w:hint="eastAsia" w:ascii="Times New Roman" w:hAnsi="Times New Roman" w:eastAsia="仿宋_GB2312"/>
          <w:sz w:val="32"/>
          <w:szCs w:val="32"/>
          <w:highlight w:val="none"/>
          <w:lang w:eastAsia="zh-CN"/>
        </w:rPr>
        <w:t>一般行政管理事务</w:t>
      </w:r>
      <w:bookmarkEnd w:id="4"/>
      <w:r>
        <w:rPr>
          <w:rFonts w:hint="eastAsia" w:ascii="Times New Roman" w:hAnsi="Times New Roman" w:eastAsia="仿宋_GB2312"/>
          <w:sz w:val="32"/>
          <w:szCs w:val="32"/>
          <w:highlight w:val="none"/>
          <w:lang w:eastAsia="zh-CN"/>
        </w:rPr>
        <w:t>（项）。</w:t>
      </w:r>
    </w:p>
    <w:p w14:paraId="7C4CD11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年初预算为</w:t>
      </w: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lang w:eastAsia="zh-CN"/>
        </w:rPr>
        <w:t>万元，支出决算为</w:t>
      </w: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lang w:eastAsia="zh-CN"/>
        </w:rPr>
        <w:t>万元，完成年初预算的50%，决算数小于年初预算数的主要原因是年初预算科目为社会事业发展规划，实际做一般行政管理事务开支，调整预算。</w:t>
      </w:r>
    </w:p>
    <w:p w14:paraId="2FE75A4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lang w:eastAsia="zh-CN"/>
        </w:rPr>
        <w:t>一般公共服务（类）发展与改革事务（款）其他发展与改革事务支出（项）。</w:t>
      </w:r>
    </w:p>
    <w:p w14:paraId="1A7C34E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年初预算为</w:t>
      </w:r>
      <w:r>
        <w:rPr>
          <w:rFonts w:hint="eastAsia" w:ascii="Times New Roman" w:hAnsi="Times New Roman" w:eastAsia="仿宋_GB2312"/>
          <w:sz w:val="32"/>
          <w:szCs w:val="32"/>
          <w:highlight w:val="none"/>
          <w:lang w:val="en-US" w:eastAsia="zh-CN"/>
        </w:rPr>
        <w:t>800</w:t>
      </w:r>
      <w:r>
        <w:rPr>
          <w:rFonts w:hint="eastAsia" w:ascii="Times New Roman" w:hAnsi="Times New Roman" w:eastAsia="仿宋_GB2312"/>
          <w:sz w:val="32"/>
          <w:szCs w:val="32"/>
          <w:highlight w:val="none"/>
          <w:lang w:eastAsia="zh-CN"/>
        </w:rPr>
        <w:t>万元，支出决算为</w:t>
      </w:r>
      <w:r>
        <w:rPr>
          <w:rFonts w:hint="eastAsia" w:ascii="Times New Roman" w:hAnsi="Times New Roman" w:eastAsia="仿宋_GB2312"/>
          <w:sz w:val="32"/>
          <w:szCs w:val="32"/>
          <w:highlight w:val="none"/>
          <w:lang w:val="en-US" w:eastAsia="zh-CN"/>
        </w:rPr>
        <w:t>812.79</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101.6</w:t>
      </w:r>
      <w:r>
        <w:rPr>
          <w:rFonts w:hint="eastAsia" w:ascii="Times New Roman" w:hAnsi="Times New Roman" w:eastAsia="仿宋_GB2312"/>
          <w:sz w:val="32"/>
          <w:szCs w:val="32"/>
          <w:highlight w:val="none"/>
          <w:lang w:eastAsia="zh-CN"/>
        </w:rPr>
        <w:t>%，决算数大于年初预算数的主要原因是调整预算，项目支出增加。</w:t>
      </w:r>
    </w:p>
    <w:p w14:paraId="4E3CE134">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lang w:eastAsia="zh-CN"/>
        </w:rPr>
        <w:t>一般公共服务（类）纪检监察事务（款）行政运行（项）。</w:t>
      </w:r>
    </w:p>
    <w:p w14:paraId="68649FA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万元，支出决算数为2.4万元，</w:t>
      </w:r>
      <w:bookmarkStart w:id="5" w:name="OLE_LINK17"/>
      <w:r>
        <w:rPr>
          <w:rFonts w:hint="eastAsia" w:ascii="Times New Roman" w:hAnsi="Times New Roman" w:eastAsia="仿宋_GB2312"/>
          <w:sz w:val="32"/>
          <w:szCs w:val="32"/>
          <w:highlight w:val="none"/>
          <w:lang w:eastAsia="zh-CN"/>
        </w:rPr>
        <w:t>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w:t>
      </w:r>
      <w:bookmarkStart w:id="6" w:name="OLE_LINK12"/>
      <w:r>
        <w:rPr>
          <w:rFonts w:hint="eastAsia" w:ascii="Times New Roman" w:hAnsi="Times New Roman" w:eastAsia="仿宋_GB2312"/>
          <w:sz w:val="32"/>
          <w:szCs w:val="32"/>
          <w:highlight w:val="none"/>
          <w:lang w:eastAsia="zh-CN"/>
        </w:rPr>
        <w:t>决算数大于年初预算数的主要原因是</w:t>
      </w:r>
      <w:bookmarkEnd w:id="6"/>
      <w:r>
        <w:rPr>
          <w:rFonts w:hint="eastAsia" w:ascii="仿宋" w:hAnsi="仿宋" w:eastAsia="仿宋"/>
          <w:sz w:val="32"/>
          <w:szCs w:val="32"/>
        </w:rPr>
        <w:t>单列了纪检监察工作经费，增加了纪检监察事务行政运行支出拨款数</w:t>
      </w:r>
      <w:bookmarkEnd w:id="5"/>
      <w:r>
        <w:rPr>
          <w:rFonts w:hint="eastAsia" w:ascii="Times New Roman" w:hAnsi="Times New Roman" w:eastAsia="仿宋_GB2312"/>
          <w:sz w:val="32"/>
          <w:szCs w:val="32"/>
          <w:highlight w:val="none"/>
          <w:lang w:eastAsia="zh-CN"/>
        </w:rPr>
        <w:t>。</w:t>
      </w:r>
    </w:p>
    <w:p w14:paraId="42F7CC1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lang w:eastAsia="zh-CN"/>
        </w:rPr>
        <w:t>、社会保障和就业支出（类）行政事业单位养老支出（款）机关事业单位基本养老保险缴费支出（项）。</w:t>
      </w:r>
    </w:p>
    <w:p w14:paraId="66BA7A2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102.48</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105.78</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103.22</w:t>
      </w:r>
      <w:r>
        <w:rPr>
          <w:rFonts w:hint="eastAsia" w:ascii="Times New Roman" w:hAnsi="Times New Roman" w:eastAsia="仿宋_GB2312"/>
          <w:sz w:val="32"/>
          <w:szCs w:val="32"/>
          <w:highlight w:val="none"/>
          <w:lang w:eastAsia="zh-CN"/>
        </w:rPr>
        <w:t>%，决算数大于年初预算数</w:t>
      </w:r>
      <w:bookmarkStart w:id="7" w:name="OLE_LINK18"/>
      <w:r>
        <w:rPr>
          <w:rFonts w:hint="eastAsia" w:ascii="Times New Roman" w:hAnsi="Times New Roman" w:eastAsia="仿宋_GB2312"/>
          <w:sz w:val="32"/>
          <w:szCs w:val="32"/>
          <w:highlight w:val="none"/>
          <w:lang w:eastAsia="zh-CN"/>
        </w:rPr>
        <w:t>的主要原因是</w:t>
      </w:r>
      <w:bookmarkEnd w:id="7"/>
      <w:r>
        <w:rPr>
          <w:rFonts w:hint="eastAsia" w:ascii="Times New Roman" w:hAnsi="Times New Roman" w:eastAsia="仿宋_GB2312"/>
          <w:sz w:val="32"/>
          <w:szCs w:val="32"/>
          <w:highlight w:val="none"/>
          <w:lang w:eastAsia="zh-CN"/>
        </w:rPr>
        <w:t>单位人员调动导致。</w:t>
      </w:r>
    </w:p>
    <w:p w14:paraId="152FC8CB">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lang w:eastAsia="zh-CN"/>
        </w:rPr>
        <w:t>、社会保障和就业支出（类）抚恤（款）死亡抚恤（项）。</w:t>
      </w:r>
    </w:p>
    <w:p w14:paraId="5E194C2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年初预算数为0万元，</w:t>
      </w:r>
      <w:r>
        <w:rPr>
          <w:rFonts w:hint="eastAsia" w:ascii="Times New Roman" w:hAnsi="Times New Roman" w:eastAsia="仿宋_GB2312"/>
          <w:sz w:val="32"/>
          <w:szCs w:val="32"/>
          <w:highlight w:val="none"/>
          <w:lang w:eastAsia="zh-CN"/>
        </w:rPr>
        <w:t>支出决算数为</w:t>
      </w:r>
      <w:r>
        <w:rPr>
          <w:rFonts w:hint="eastAsia" w:ascii="Times New Roman" w:hAnsi="Times New Roman" w:eastAsia="仿宋_GB2312"/>
          <w:sz w:val="32"/>
          <w:szCs w:val="32"/>
          <w:highlight w:val="none"/>
          <w:lang w:val="en-US" w:eastAsia="zh-CN"/>
        </w:rPr>
        <w:t>193.64</w:t>
      </w:r>
      <w:r>
        <w:rPr>
          <w:rFonts w:hint="eastAsia" w:ascii="Times New Roman" w:hAnsi="Times New Roman" w:eastAsia="仿宋_GB2312"/>
          <w:sz w:val="32"/>
          <w:szCs w:val="32"/>
          <w:highlight w:val="none"/>
          <w:lang w:eastAsia="zh-CN"/>
        </w:rPr>
        <w:t>万元，</w:t>
      </w:r>
      <w:bookmarkStart w:id="8" w:name="OLE_LINK19"/>
      <w:r>
        <w:rPr>
          <w:rFonts w:hint="eastAsia" w:ascii="Times New Roman" w:hAnsi="Times New Roman" w:eastAsia="仿宋_GB2312"/>
          <w:sz w:val="32"/>
          <w:szCs w:val="32"/>
          <w:highlight w:val="none"/>
          <w:lang w:eastAsia="zh-CN"/>
        </w:rPr>
        <w:t>由于预算数为</w:t>
      </w:r>
      <w:r>
        <w:rPr>
          <w:rFonts w:hint="eastAsia" w:ascii="Times New Roman" w:hAnsi="Times New Roman" w:eastAsia="仿宋_GB2312"/>
          <w:sz w:val="32"/>
          <w:szCs w:val="32"/>
          <w:highlight w:val="none"/>
          <w:lang w:val="en-US" w:eastAsia="zh-CN"/>
        </w:rPr>
        <w:t>0，无法计算百分比</w:t>
      </w:r>
      <w:bookmarkEnd w:id="8"/>
      <w:r>
        <w:rPr>
          <w:rFonts w:hint="eastAsia" w:ascii="Times New Roman" w:hAnsi="Times New Roman" w:eastAsia="仿宋_GB2312"/>
          <w:sz w:val="32"/>
          <w:szCs w:val="32"/>
          <w:highlight w:val="none"/>
          <w:lang w:eastAsia="zh-CN"/>
        </w:rPr>
        <w:t>，决算数大于年初预算数的主要原因是</w:t>
      </w:r>
      <w:r>
        <w:rPr>
          <w:rFonts w:hint="eastAsia" w:ascii="仿宋" w:hAnsi="仿宋" w:eastAsia="仿宋"/>
          <w:sz w:val="32"/>
          <w:szCs w:val="32"/>
          <w:lang w:eastAsia="zh-CN"/>
        </w:rPr>
        <w:t>年初预算时只列支了当年的遗属生活补助</w:t>
      </w:r>
      <w:r>
        <w:rPr>
          <w:rFonts w:hint="eastAsia" w:ascii="Times New Roman" w:hAnsi="Times New Roman" w:eastAsia="仿宋_GB2312"/>
          <w:sz w:val="32"/>
          <w:szCs w:val="32"/>
          <w:highlight w:val="none"/>
          <w:lang w:eastAsia="zh-CN"/>
        </w:rPr>
        <w:t>。</w:t>
      </w:r>
    </w:p>
    <w:p w14:paraId="4D6532D5">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lang w:eastAsia="zh-CN"/>
        </w:rPr>
        <w:t>卫生健康支出（类）行政事业单位医疗（款）行政单位医疗（项）。</w:t>
      </w:r>
    </w:p>
    <w:p w14:paraId="7BA07006">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49.42</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41.37</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83.71</w:t>
      </w:r>
      <w:r>
        <w:rPr>
          <w:rFonts w:hint="eastAsia" w:ascii="Times New Roman" w:hAnsi="Times New Roman" w:eastAsia="仿宋_GB2312"/>
          <w:sz w:val="32"/>
          <w:szCs w:val="32"/>
          <w:highlight w:val="none"/>
          <w:lang w:eastAsia="zh-CN"/>
        </w:rPr>
        <w:t>%，决算数小于年初预算数</w:t>
      </w:r>
      <w:bookmarkStart w:id="9" w:name="OLE_LINK20"/>
      <w:r>
        <w:rPr>
          <w:rFonts w:hint="eastAsia" w:ascii="Times New Roman" w:hAnsi="Times New Roman" w:eastAsia="仿宋_GB2312"/>
          <w:sz w:val="32"/>
          <w:szCs w:val="32"/>
          <w:highlight w:val="none"/>
          <w:lang w:eastAsia="zh-CN"/>
        </w:rPr>
        <w:t>的主要原因是调整预算</w:t>
      </w:r>
      <w:bookmarkEnd w:id="9"/>
      <w:r>
        <w:rPr>
          <w:rFonts w:hint="eastAsia" w:ascii="Times New Roman" w:hAnsi="Times New Roman" w:eastAsia="仿宋_GB2312"/>
          <w:sz w:val="32"/>
          <w:szCs w:val="32"/>
          <w:highlight w:val="none"/>
          <w:lang w:eastAsia="zh-CN"/>
        </w:rPr>
        <w:t>。</w:t>
      </w:r>
    </w:p>
    <w:p w14:paraId="196F3E28">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lang w:eastAsia="zh-CN"/>
        </w:rPr>
        <w:t>节能环保支出（类）自然生态保护（款）</w:t>
      </w:r>
      <w:bookmarkStart w:id="10" w:name="OLE_LINK23"/>
      <w:r>
        <w:rPr>
          <w:rFonts w:hint="eastAsia" w:ascii="Times New Roman" w:hAnsi="Times New Roman" w:eastAsia="仿宋_GB2312"/>
          <w:sz w:val="32"/>
          <w:szCs w:val="32"/>
          <w:highlight w:val="none"/>
          <w:lang w:eastAsia="zh-CN"/>
        </w:rPr>
        <w:t>生态保护</w:t>
      </w:r>
      <w:bookmarkEnd w:id="10"/>
      <w:r>
        <w:rPr>
          <w:rFonts w:hint="eastAsia" w:ascii="Times New Roman" w:hAnsi="Times New Roman" w:eastAsia="仿宋_GB2312"/>
          <w:sz w:val="32"/>
          <w:szCs w:val="32"/>
          <w:highlight w:val="none"/>
          <w:lang w:eastAsia="zh-CN"/>
        </w:rPr>
        <w:t>（项）。</w:t>
      </w:r>
    </w:p>
    <w:p w14:paraId="098D968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126</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w:t>
      </w:r>
      <w:r>
        <w:rPr>
          <w:rFonts w:hint="eastAsia" w:ascii="仿宋" w:hAnsi="仿宋" w:eastAsia="仿宋"/>
          <w:sz w:val="32"/>
          <w:szCs w:val="32"/>
        </w:rPr>
        <w:t>由于分类细化，增加了</w:t>
      </w:r>
      <w:r>
        <w:rPr>
          <w:rFonts w:hint="eastAsia" w:ascii="Times New Roman" w:hAnsi="Times New Roman" w:eastAsia="仿宋_GB2312"/>
          <w:sz w:val="32"/>
          <w:szCs w:val="32"/>
          <w:highlight w:val="none"/>
          <w:lang w:eastAsia="zh-CN"/>
        </w:rPr>
        <w:t>生态保护</w:t>
      </w:r>
      <w:r>
        <w:rPr>
          <w:rFonts w:hint="eastAsia" w:ascii="仿宋" w:hAnsi="仿宋" w:eastAsia="仿宋"/>
          <w:sz w:val="32"/>
          <w:szCs w:val="32"/>
        </w:rPr>
        <w:t>支出拨款数</w:t>
      </w:r>
      <w:r>
        <w:rPr>
          <w:rFonts w:hint="eastAsia" w:ascii="仿宋" w:hAnsi="仿宋" w:eastAsia="仿宋"/>
          <w:sz w:val="32"/>
          <w:szCs w:val="32"/>
          <w:lang w:eastAsia="zh-CN"/>
        </w:rPr>
        <w:t>；</w:t>
      </w:r>
      <w:r>
        <w:rPr>
          <w:rFonts w:hint="eastAsia" w:ascii="仿宋" w:hAnsi="仿宋" w:eastAsia="仿宋"/>
          <w:sz w:val="32"/>
          <w:szCs w:val="32"/>
          <w:lang w:val="en-US" w:eastAsia="zh-CN"/>
        </w:rPr>
        <w:t>增加了项目支出</w:t>
      </w:r>
      <w:r>
        <w:rPr>
          <w:rFonts w:hint="eastAsia" w:ascii="Times New Roman" w:hAnsi="Times New Roman" w:eastAsia="仿宋_GB2312"/>
          <w:sz w:val="32"/>
          <w:szCs w:val="32"/>
          <w:highlight w:val="none"/>
          <w:lang w:eastAsia="zh-CN"/>
        </w:rPr>
        <w:t>。</w:t>
      </w:r>
    </w:p>
    <w:p w14:paraId="71F3F3F9">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lang w:eastAsia="zh-CN"/>
        </w:rPr>
        <w:t>节能环保支出（类）能源节约利用（款）能源节约利用（项）。</w:t>
      </w:r>
    </w:p>
    <w:p w14:paraId="21F9CBA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7.37</w:t>
      </w:r>
      <w:r>
        <w:rPr>
          <w:rFonts w:hint="eastAsia" w:ascii="Times New Roman" w:hAnsi="Times New Roman" w:eastAsia="仿宋_GB2312"/>
          <w:sz w:val="32"/>
          <w:szCs w:val="32"/>
          <w:highlight w:val="none"/>
          <w:lang w:eastAsia="zh-CN"/>
        </w:rPr>
        <w:t>万元，</w:t>
      </w:r>
      <w:bookmarkStart w:id="11" w:name="OLE_LINK21"/>
      <w:r>
        <w:rPr>
          <w:rFonts w:hint="eastAsia" w:ascii="Times New Roman" w:hAnsi="Times New Roman" w:eastAsia="仿宋_GB2312"/>
          <w:sz w:val="32"/>
          <w:szCs w:val="32"/>
          <w:highlight w:val="none"/>
          <w:lang w:eastAsia="zh-CN"/>
        </w:rPr>
        <w:t>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w:t>
      </w:r>
      <w:bookmarkEnd w:id="11"/>
      <w:r>
        <w:rPr>
          <w:rFonts w:hint="eastAsia" w:ascii="Times New Roman" w:hAnsi="Times New Roman" w:eastAsia="仿宋_GB2312"/>
          <w:sz w:val="32"/>
          <w:szCs w:val="32"/>
          <w:highlight w:val="none"/>
          <w:lang w:eastAsia="zh-CN"/>
        </w:rPr>
        <w:t>。</w:t>
      </w:r>
    </w:p>
    <w:p w14:paraId="30E1C72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10、</w:t>
      </w:r>
      <w:r>
        <w:rPr>
          <w:rFonts w:hint="eastAsia" w:ascii="Times New Roman" w:hAnsi="Times New Roman" w:eastAsia="仿宋_GB2312"/>
          <w:sz w:val="32"/>
          <w:szCs w:val="32"/>
          <w:highlight w:val="none"/>
          <w:lang w:eastAsia="zh-CN"/>
        </w:rPr>
        <w:t>节能环保支出（类）其他节能环保支出（款）其他节能环保支出（项）。</w:t>
      </w:r>
    </w:p>
    <w:p w14:paraId="462A6DC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4573.25</w:t>
      </w:r>
      <w:r>
        <w:rPr>
          <w:rFonts w:hint="eastAsia" w:ascii="Times New Roman" w:hAnsi="Times New Roman" w:eastAsia="仿宋_GB2312"/>
          <w:sz w:val="32"/>
          <w:szCs w:val="32"/>
          <w:highlight w:val="none"/>
          <w:lang w:eastAsia="zh-CN"/>
        </w:rPr>
        <w:t>万元，</w:t>
      </w:r>
      <w:bookmarkStart w:id="12" w:name="OLE_LINK22"/>
      <w:r>
        <w:rPr>
          <w:rFonts w:hint="eastAsia" w:ascii="Times New Roman" w:hAnsi="Times New Roman" w:eastAsia="仿宋_GB2312"/>
          <w:sz w:val="32"/>
          <w:szCs w:val="32"/>
          <w:highlight w:val="none"/>
          <w:lang w:eastAsia="zh-CN"/>
        </w:rPr>
        <w:t>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bookmarkEnd w:id="12"/>
      <w:r>
        <w:rPr>
          <w:rFonts w:hint="eastAsia" w:ascii="Times New Roman" w:hAnsi="Times New Roman" w:eastAsia="仿宋_GB2312"/>
          <w:sz w:val="32"/>
          <w:szCs w:val="32"/>
          <w:highlight w:val="none"/>
          <w:lang w:eastAsia="zh-CN"/>
        </w:rPr>
        <w:t>。</w:t>
      </w:r>
    </w:p>
    <w:p w14:paraId="599C7333">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11</w:t>
      </w:r>
      <w:r>
        <w:rPr>
          <w:rFonts w:hint="eastAsia" w:ascii="Times New Roman" w:hAnsi="Times New Roman" w:eastAsia="仿宋_GB2312"/>
          <w:sz w:val="32"/>
          <w:szCs w:val="32"/>
          <w:highlight w:val="none"/>
          <w:lang w:eastAsia="zh-CN"/>
        </w:rPr>
        <w:t>、城乡社区支出（类）城乡社区管理事务（款）其他城乡社区管理事务支出（项）。</w:t>
      </w:r>
    </w:p>
    <w:p w14:paraId="4E093CAC">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50.95</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p>
    <w:p w14:paraId="605AC4F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lang w:eastAsia="zh-CN"/>
        </w:rPr>
        <w:t>农林水支出（类）农业农村（款）其他农业农村支出（项）。</w:t>
      </w:r>
    </w:p>
    <w:p w14:paraId="752E3039">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894.73</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p>
    <w:p w14:paraId="6999A177">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13、</w:t>
      </w:r>
      <w:r>
        <w:rPr>
          <w:rFonts w:hint="eastAsia" w:ascii="Times New Roman" w:hAnsi="Times New Roman" w:eastAsia="仿宋_GB2312"/>
          <w:sz w:val="32"/>
          <w:szCs w:val="32"/>
          <w:highlight w:val="none"/>
          <w:lang w:eastAsia="zh-CN"/>
        </w:rPr>
        <w:t>农林水支出（类）巩固拓展脱贫攻坚成果衔接乡村振兴（款）农村基础设施建设（项）。</w:t>
      </w:r>
    </w:p>
    <w:p w14:paraId="03967E91">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 xml:space="preserve"> 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p>
    <w:p w14:paraId="5CDCE27D">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14、</w:t>
      </w:r>
      <w:r>
        <w:rPr>
          <w:rFonts w:hint="eastAsia" w:ascii="Times New Roman" w:hAnsi="Times New Roman" w:eastAsia="仿宋_GB2312"/>
          <w:sz w:val="32"/>
          <w:szCs w:val="32"/>
          <w:highlight w:val="none"/>
          <w:lang w:eastAsia="zh-CN"/>
        </w:rPr>
        <w:t xml:space="preserve">农林水支出（类）巩固拓展脱贫攻坚成果衔接乡村振兴（款）其他巩固拓展脱贫攻坚成果衔接乡村振兴支出（项）。  </w:t>
      </w:r>
    </w:p>
    <w:p w14:paraId="48DF8118">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44.98</w:t>
      </w:r>
      <w:r>
        <w:rPr>
          <w:rFonts w:hint="eastAsia" w:ascii="Times New Roman" w:hAnsi="Times New Roman" w:eastAsia="仿宋_GB2312"/>
          <w:sz w:val="32"/>
          <w:szCs w:val="32"/>
          <w:highlight w:val="none"/>
          <w:lang w:eastAsia="zh-CN"/>
        </w:rPr>
        <w:t>万元，</w:t>
      </w:r>
      <w:bookmarkStart w:id="13" w:name="OLE_LINK24"/>
      <w:r>
        <w:rPr>
          <w:rFonts w:hint="eastAsia" w:ascii="Times New Roman" w:hAnsi="Times New Roman" w:eastAsia="仿宋_GB2312"/>
          <w:sz w:val="32"/>
          <w:szCs w:val="32"/>
          <w:highlight w:val="none"/>
          <w:lang w:eastAsia="zh-CN"/>
        </w:rPr>
        <w:t>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bookmarkEnd w:id="13"/>
      <w:r>
        <w:rPr>
          <w:rFonts w:hint="eastAsia" w:ascii="Times New Roman" w:hAnsi="Times New Roman" w:eastAsia="仿宋_GB2312"/>
          <w:sz w:val="32"/>
          <w:szCs w:val="32"/>
          <w:highlight w:val="none"/>
          <w:lang w:eastAsia="zh-CN"/>
        </w:rPr>
        <w:t>。</w:t>
      </w:r>
    </w:p>
    <w:p w14:paraId="6E7F5005">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15、</w:t>
      </w:r>
      <w:r>
        <w:rPr>
          <w:rFonts w:hint="eastAsia" w:ascii="Times New Roman" w:hAnsi="Times New Roman" w:eastAsia="仿宋_GB2312"/>
          <w:sz w:val="32"/>
          <w:szCs w:val="32"/>
          <w:highlight w:val="none"/>
          <w:lang w:eastAsia="zh-CN"/>
        </w:rPr>
        <w:t>住房保障支出（类）住房改革支出（款）住房公积金（项）。</w:t>
      </w:r>
    </w:p>
    <w:p w14:paraId="5F22468E">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40.7</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40.22</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98.82</w:t>
      </w:r>
      <w:r>
        <w:rPr>
          <w:rFonts w:hint="eastAsia" w:ascii="Times New Roman" w:hAnsi="Times New Roman" w:eastAsia="仿宋_GB2312"/>
          <w:sz w:val="32"/>
          <w:szCs w:val="32"/>
          <w:highlight w:val="none"/>
          <w:lang w:eastAsia="zh-CN"/>
        </w:rPr>
        <w:t>%，决算数小于年初预算数</w:t>
      </w:r>
      <w:r>
        <w:rPr>
          <w:rFonts w:hint="eastAsia" w:ascii="仿宋" w:hAnsi="仿宋" w:eastAsia="仿宋"/>
          <w:sz w:val="32"/>
          <w:szCs w:val="32"/>
          <w:lang w:eastAsia="zh-CN"/>
        </w:rPr>
        <w:t>的主要原因是调整预算</w:t>
      </w:r>
      <w:r>
        <w:rPr>
          <w:rFonts w:hint="eastAsia" w:ascii="Times New Roman" w:hAnsi="Times New Roman" w:eastAsia="仿宋_GB2312"/>
          <w:sz w:val="32"/>
          <w:szCs w:val="32"/>
          <w:highlight w:val="none"/>
          <w:lang w:eastAsia="zh-CN"/>
        </w:rPr>
        <w:t>。</w:t>
      </w:r>
    </w:p>
    <w:p w14:paraId="7425D320">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16、</w:t>
      </w:r>
      <w:r>
        <w:rPr>
          <w:rFonts w:hint="eastAsia" w:ascii="Times New Roman" w:hAnsi="Times New Roman" w:eastAsia="仿宋_GB2312"/>
          <w:sz w:val="32"/>
          <w:szCs w:val="32"/>
          <w:highlight w:val="none"/>
          <w:lang w:eastAsia="zh-CN"/>
        </w:rPr>
        <w:t>粮油物资储备支出（类）粮油物资事务（款）粮食财务挂账利息补贴（项）。</w:t>
      </w:r>
    </w:p>
    <w:p w14:paraId="5FEF3F9B">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157.08</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78.33</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49.86</w:t>
      </w:r>
      <w:r>
        <w:rPr>
          <w:rFonts w:hint="eastAsia" w:ascii="Times New Roman" w:hAnsi="Times New Roman" w:eastAsia="仿宋_GB2312"/>
          <w:sz w:val="32"/>
          <w:szCs w:val="32"/>
          <w:highlight w:val="none"/>
          <w:lang w:eastAsia="zh-CN"/>
        </w:rPr>
        <w:t>%，决算数小于年初预算数的主要原因是调整预算。</w:t>
      </w:r>
    </w:p>
    <w:p w14:paraId="149A91B1">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17、</w:t>
      </w:r>
      <w:r>
        <w:rPr>
          <w:rFonts w:hint="eastAsia" w:ascii="Times New Roman" w:hAnsi="Times New Roman" w:eastAsia="仿宋_GB2312"/>
          <w:sz w:val="32"/>
          <w:szCs w:val="32"/>
          <w:highlight w:val="none"/>
          <w:lang w:eastAsia="zh-CN"/>
        </w:rPr>
        <w:t>粮油物资储备支出（类）粮油物资事务（款）粮食风险基金（项）。</w:t>
      </w:r>
    </w:p>
    <w:p w14:paraId="1907334B">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186</w:t>
      </w:r>
      <w:r>
        <w:rPr>
          <w:rFonts w:hint="eastAsia" w:ascii="Times New Roman" w:hAnsi="Times New Roman" w:eastAsia="仿宋_GB2312"/>
          <w:sz w:val="32"/>
          <w:szCs w:val="32"/>
          <w:highlight w:val="none"/>
          <w:lang w:eastAsia="zh-CN"/>
        </w:rPr>
        <w:t>万元，</w:t>
      </w:r>
      <w:bookmarkStart w:id="14" w:name="OLE_LINK26"/>
      <w:r>
        <w:rPr>
          <w:rFonts w:hint="eastAsia" w:ascii="Times New Roman" w:hAnsi="Times New Roman" w:eastAsia="仿宋_GB2312"/>
          <w:sz w:val="32"/>
          <w:szCs w:val="32"/>
          <w:highlight w:val="none"/>
          <w:lang w:eastAsia="zh-CN"/>
        </w:rPr>
        <w:t>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w:t>
      </w:r>
      <w:bookmarkStart w:id="15" w:name="OLE_LINK25"/>
      <w:r>
        <w:rPr>
          <w:rFonts w:hint="eastAsia" w:ascii="Times New Roman" w:hAnsi="Times New Roman" w:eastAsia="仿宋_GB2312"/>
          <w:sz w:val="32"/>
          <w:szCs w:val="32"/>
          <w:highlight w:val="none"/>
          <w:lang w:eastAsia="zh-CN"/>
        </w:rPr>
        <w:t>的主要原因是</w:t>
      </w:r>
      <w:bookmarkEnd w:id="15"/>
      <w:r>
        <w:rPr>
          <w:rFonts w:hint="eastAsia" w:ascii="Times New Roman" w:hAnsi="Times New Roman" w:eastAsia="仿宋_GB2312"/>
          <w:sz w:val="32"/>
          <w:szCs w:val="32"/>
          <w:highlight w:val="none"/>
          <w:lang w:eastAsia="zh-CN"/>
        </w:rPr>
        <w:t>调整预算，年初没有列支该方面预算</w:t>
      </w:r>
      <w:bookmarkEnd w:id="14"/>
      <w:r>
        <w:rPr>
          <w:rFonts w:hint="eastAsia" w:ascii="Times New Roman" w:hAnsi="Times New Roman" w:eastAsia="仿宋_GB2312"/>
          <w:sz w:val="32"/>
          <w:szCs w:val="32"/>
          <w:highlight w:val="none"/>
          <w:lang w:eastAsia="zh-CN"/>
        </w:rPr>
        <w:t>。</w:t>
      </w:r>
    </w:p>
    <w:p w14:paraId="47EC2E7E">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18、</w:t>
      </w:r>
      <w:r>
        <w:rPr>
          <w:rFonts w:hint="eastAsia" w:ascii="Times New Roman" w:hAnsi="Times New Roman" w:eastAsia="仿宋_GB2312"/>
          <w:sz w:val="32"/>
          <w:szCs w:val="32"/>
          <w:highlight w:val="none"/>
          <w:lang w:eastAsia="zh-CN"/>
        </w:rPr>
        <w:t>粮油物资储备支出（类）粮油物资事务（款）物资保管保养（项）。</w:t>
      </w:r>
    </w:p>
    <w:p w14:paraId="10778588">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52.8</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18.75</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35.51</w:t>
      </w:r>
      <w:r>
        <w:rPr>
          <w:rFonts w:hint="eastAsia" w:ascii="Times New Roman" w:hAnsi="Times New Roman" w:eastAsia="仿宋_GB2312"/>
          <w:sz w:val="32"/>
          <w:szCs w:val="32"/>
          <w:highlight w:val="none"/>
          <w:lang w:eastAsia="zh-CN"/>
        </w:rPr>
        <w:t>%，决算数小于年初预算数的主要原因是。</w:t>
      </w:r>
    </w:p>
    <w:p w14:paraId="3B806EEE">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19、</w:t>
      </w:r>
      <w:r>
        <w:rPr>
          <w:rFonts w:hint="eastAsia" w:ascii="Times New Roman" w:hAnsi="Times New Roman" w:eastAsia="仿宋_GB2312"/>
          <w:sz w:val="32"/>
          <w:szCs w:val="32"/>
          <w:highlight w:val="none"/>
          <w:lang w:eastAsia="zh-CN"/>
        </w:rPr>
        <w:t>粮油物资储备支出（类）粮油物资事务（款）</w:t>
      </w:r>
      <w:bookmarkStart w:id="16" w:name="OLE_LINK29"/>
      <w:r>
        <w:rPr>
          <w:rFonts w:hint="eastAsia" w:ascii="Times New Roman" w:hAnsi="Times New Roman" w:eastAsia="仿宋_GB2312"/>
          <w:sz w:val="32"/>
          <w:szCs w:val="32"/>
          <w:highlight w:val="none"/>
          <w:lang w:eastAsia="zh-CN"/>
        </w:rPr>
        <w:t>其他粮油物资事务支出</w:t>
      </w:r>
      <w:bookmarkEnd w:id="16"/>
      <w:r>
        <w:rPr>
          <w:rFonts w:hint="eastAsia" w:ascii="Times New Roman" w:hAnsi="Times New Roman" w:eastAsia="仿宋_GB2312"/>
          <w:sz w:val="32"/>
          <w:szCs w:val="32"/>
          <w:highlight w:val="none"/>
          <w:lang w:eastAsia="zh-CN"/>
        </w:rPr>
        <w:t>（项）。</w:t>
      </w:r>
    </w:p>
    <w:p w14:paraId="201EF1ED">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30</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w:t>
      </w:r>
      <w:bookmarkStart w:id="17" w:name="OLE_LINK27"/>
      <w:r>
        <w:rPr>
          <w:rFonts w:hint="eastAsia" w:ascii="Times New Roman" w:hAnsi="Times New Roman" w:eastAsia="仿宋_GB2312"/>
          <w:sz w:val="32"/>
          <w:szCs w:val="32"/>
          <w:highlight w:val="none"/>
          <w:lang w:eastAsia="zh-CN"/>
        </w:rPr>
        <w:t>的主要原因是调整预算</w:t>
      </w:r>
      <w:bookmarkEnd w:id="17"/>
      <w:r>
        <w:rPr>
          <w:rFonts w:hint="eastAsia" w:ascii="Times New Roman" w:hAnsi="Times New Roman" w:eastAsia="仿宋_GB2312"/>
          <w:sz w:val="32"/>
          <w:szCs w:val="32"/>
          <w:highlight w:val="none"/>
          <w:lang w:eastAsia="zh-CN"/>
        </w:rPr>
        <w:t>，</w:t>
      </w:r>
      <w:r>
        <w:rPr>
          <w:rFonts w:hint="eastAsia" w:ascii="仿宋" w:hAnsi="仿宋" w:eastAsia="仿宋"/>
          <w:sz w:val="32"/>
          <w:szCs w:val="32"/>
        </w:rPr>
        <w:t>由于分类细化，</w:t>
      </w:r>
      <w:r>
        <w:rPr>
          <w:rFonts w:hint="eastAsia" w:ascii="仿宋" w:hAnsi="仿宋" w:eastAsia="仿宋"/>
          <w:sz w:val="32"/>
          <w:szCs w:val="32"/>
          <w:lang w:eastAsia="zh-CN"/>
        </w:rPr>
        <w:t>增加</w:t>
      </w:r>
      <w:r>
        <w:rPr>
          <w:rFonts w:hint="eastAsia" w:ascii="仿宋" w:hAnsi="仿宋" w:eastAsia="仿宋"/>
          <w:sz w:val="32"/>
          <w:szCs w:val="32"/>
        </w:rPr>
        <w:t>了</w:t>
      </w:r>
      <w:r>
        <w:rPr>
          <w:rFonts w:hint="eastAsia" w:ascii="Times New Roman" w:hAnsi="Times New Roman" w:eastAsia="仿宋_GB2312"/>
          <w:sz w:val="32"/>
          <w:szCs w:val="32"/>
          <w:highlight w:val="none"/>
          <w:lang w:eastAsia="zh-CN"/>
        </w:rPr>
        <w:t>其他粮油物资事务支出</w:t>
      </w:r>
      <w:r>
        <w:rPr>
          <w:rFonts w:hint="eastAsia" w:ascii="仿宋" w:hAnsi="仿宋" w:eastAsia="仿宋"/>
          <w:sz w:val="32"/>
          <w:szCs w:val="32"/>
        </w:rPr>
        <w:t>支出拨款数，从而</w:t>
      </w:r>
      <w:r>
        <w:rPr>
          <w:rFonts w:hint="eastAsia" w:ascii="仿宋" w:hAnsi="仿宋" w:eastAsia="仿宋"/>
          <w:sz w:val="32"/>
          <w:szCs w:val="32"/>
          <w:lang w:eastAsia="zh-CN"/>
        </w:rPr>
        <w:t>减少</w:t>
      </w:r>
      <w:r>
        <w:rPr>
          <w:rFonts w:hint="eastAsia" w:ascii="仿宋" w:hAnsi="仿宋" w:eastAsia="仿宋"/>
          <w:sz w:val="32"/>
          <w:szCs w:val="32"/>
        </w:rPr>
        <w:t>了</w:t>
      </w:r>
      <w:r>
        <w:rPr>
          <w:rFonts w:hint="eastAsia" w:ascii="仿宋" w:hAnsi="仿宋" w:eastAsia="仿宋"/>
          <w:sz w:val="32"/>
          <w:szCs w:val="32"/>
          <w:lang w:eastAsia="zh-CN"/>
        </w:rPr>
        <w:t>一般行政管理事务</w:t>
      </w:r>
      <w:r>
        <w:rPr>
          <w:rFonts w:hint="eastAsia" w:ascii="仿宋" w:hAnsi="仿宋" w:eastAsia="仿宋"/>
          <w:sz w:val="32"/>
          <w:szCs w:val="32"/>
        </w:rPr>
        <w:t>支出拨款数</w:t>
      </w:r>
      <w:r>
        <w:rPr>
          <w:rFonts w:hint="eastAsia" w:ascii="Times New Roman" w:hAnsi="Times New Roman" w:eastAsia="仿宋_GB2312"/>
          <w:sz w:val="32"/>
          <w:szCs w:val="32"/>
          <w:highlight w:val="none"/>
          <w:lang w:eastAsia="zh-CN"/>
        </w:rPr>
        <w:t>。</w:t>
      </w:r>
    </w:p>
    <w:p w14:paraId="4F718F66">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20、</w:t>
      </w:r>
      <w:r>
        <w:rPr>
          <w:rFonts w:hint="eastAsia" w:ascii="Times New Roman" w:hAnsi="Times New Roman" w:eastAsia="仿宋_GB2312"/>
          <w:sz w:val="32"/>
          <w:szCs w:val="32"/>
          <w:highlight w:val="none"/>
          <w:lang w:eastAsia="zh-CN"/>
        </w:rPr>
        <w:t>粮油物资储备支出（类）粮油储备（款）储备粮油补贴（项）。</w:t>
      </w:r>
    </w:p>
    <w:p w14:paraId="72012C43">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380.24</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178.92</w:t>
      </w:r>
      <w:r>
        <w:rPr>
          <w:rFonts w:hint="eastAsia" w:ascii="Times New Roman" w:hAnsi="Times New Roman" w:eastAsia="仿宋_GB2312"/>
          <w:sz w:val="32"/>
          <w:szCs w:val="32"/>
          <w:highlight w:val="none"/>
          <w:lang w:eastAsia="zh-CN"/>
        </w:rPr>
        <w:t>万元，完成年初预算的</w:t>
      </w:r>
      <w:r>
        <w:rPr>
          <w:rFonts w:hint="eastAsia" w:ascii="Times New Roman" w:hAnsi="Times New Roman" w:eastAsia="仿宋_GB2312"/>
          <w:sz w:val="32"/>
          <w:szCs w:val="32"/>
          <w:highlight w:val="none"/>
          <w:lang w:val="en-US" w:eastAsia="zh-CN"/>
        </w:rPr>
        <w:t>47.05</w:t>
      </w:r>
      <w:r>
        <w:rPr>
          <w:rFonts w:hint="eastAsia" w:ascii="Times New Roman" w:hAnsi="Times New Roman" w:eastAsia="仿宋_GB2312"/>
          <w:sz w:val="32"/>
          <w:szCs w:val="32"/>
          <w:highlight w:val="none"/>
          <w:lang w:eastAsia="zh-CN"/>
        </w:rPr>
        <w:t>%，决算数小于年初预算数的主要原因是调整预算。</w:t>
      </w:r>
    </w:p>
    <w:p w14:paraId="38510F6D">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21、</w:t>
      </w:r>
      <w:r>
        <w:rPr>
          <w:rFonts w:hint="eastAsia" w:ascii="Times New Roman" w:hAnsi="Times New Roman" w:eastAsia="仿宋_GB2312"/>
          <w:sz w:val="32"/>
          <w:szCs w:val="32"/>
          <w:highlight w:val="none"/>
          <w:lang w:eastAsia="zh-CN"/>
        </w:rPr>
        <w:t>粮油物资储备支出（类）粮油储备（款）其他粮油储备支出（项）。</w:t>
      </w:r>
    </w:p>
    <w:p w14:paraId="1F6A10DF">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p>
    <w:p w14:paraId="510AC766">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22、</w:t>
      </w:r>
      <w:r>
        <w:rPr>
          <w:rFonts w:hint="eastAsia" w:ascii="Times New Roman" w:hAnsi="Times New Roman" w:eastAsia="仿宋_GB2312"/>
          <w:sz w:val="32"/>
          <w:szCs w:val="32"/>
          <w:highlight w:val="none"/>
          <w:lang w:eastAsia="zh-CN"/>
        </w:rPr>
        <w:t>灾害防治及应急管理支出（类）应急管理事务（款）一般行政管理事务（项）。</w:t>
      </w:r>
    </w:p>
    <w:p w14:paraId="4267E495">
      <w:pPr>
        <w:pStyle w:val="15"/>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仿宋" w:hAnsi="仿宋" w:eastAsia="仿宋"/>
          <w:sz w:val="32"/>
          <w:szCs w:val="32"/>
          <w:highlight w:val="none"/>
          <w:lang w:val="en-US" w:eastAsia="zh-CN"/>
        </w:rPr>
      </w:pPr>
      <w:r>
        <w:rPr>
          <w:rFonts w:hint="eastAsia" w:ascii="Times New Roman" w:hAnsi="Times New Roman" w:eastAsia="仿宋_GB2312"/>
          <w:sz w:val="32"/>
          <w:szCs w:val="32"/>
          <w:highlight w:val="none"/>
          <w:lang w:eastAsia="zh-CN"/>
        </w:rPr>
        <w:t>年初预算数为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lang w:eastAsia="zh-CN"/>
        </w:rPr>
        <w:t>万元，支出决算数为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lang w:eastAsia="zh-CN"/>
        </w:rPr>
        <w:t>万元，由于预算数为</w:t>
      </w:r>
      <w:r>
        <w:rPr>
          <w:rFonts w:hint="eastAsia" w:ascii="Times New Roman" w:hAnsi="Times New Roman" w:eastAsia="仿宋_GB2312"/>
          <w:sz w:val="32"/>
          <w:szCs w:val="32"/>
          <w:highlight w:val="none"/>
          <w:lang w:val="en-US" w:eastAsia="zh-CN"/>
        </w:rPr>
        <w:t>0，无法计算百分比</w:t>
      </w:r>
      <w:r>
        <w:rPr>
          <w:rFonts w:hint="eastAsia" w:ascii="Times New Roman" w:hAnsi="Times New Roman" w:eastAsia="仿宋_GB2312"/>
          <w:sz w:val="32"/>
          <w:szCs w:val="32"/>
          <w:highlight w:val="none"/>
          <w:lang w:eastAsia="zh-CN"/>
        </w:rPr>
        <w:t>，决算数大于年初预算数的主要原因是调整预算，年初没有列支该方面预算。</w:t>
      </w:r>
    </w:p>
    <w:p w14:paraId="5ABBF1CA">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六、一般公共预算财政拨款基本支出决算情况说明</w:t>
      </w:r>
    </w:p>
    <w:p w14:paraId="3C29260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1148</w:t>
      </w:r>
      <w:r>
        <w:rPr>
          <w:rFonts w:hint="eastAsia" w:ascii="Times New Roman" w:hAnsi="Times New Roman" w:eastAsia="仿宋_GB2312"/>
          <w:sz w:val="32"/>
          <w:szCs w:val="32"/>
          <w:highlight w:val="none"/>
        </w:rPr>
        <w:t>万元，其中：</w:t>
      </w:r>
    </w:p>
    <w:p w14:paraId="4C455321">
      <w:pPr>
        <w:pStyle w:val="15"/>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lang w:val="en-US" w:eastAsia="zh-CN"/>
        </w:rPr>
        <w:t>1046.35</w:t>
      </w:r>
      <w:r>
        <w:rPr>
          <w:rFonts w:hint="eastAsia" w:ascii="Times New Roman" w:hAnsi="Times New Roman" w:eastAsia="仿宋_GB2312"/>
          <w:sz w:val="32"/>
          <w:szCs w:val="32"/>
          <w:highlight w:val="none"/>
        </w:rPr>
        <w:t>万元，占基本支出的</w:t>
      </w:r>
      <w:r>
        <w:rPr>
          <w:rFonts w:hint="eastAsia" w:ascii="Times New Roman" w:hAnsi="Times New Roman" w:eastAsia="仿宋_GB2312"/>
          <w:sz w:val="32"/>
          <w:szCs w:val="32"/>
          <w:highlight w:val="none"/>
          <w:lang w:val="en-US" w:eastAsia="zh-CN"/>
        </w:rPr>
        <w:t>91.14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仿宋" w:hAnsi="仿宋" w:eastAsia="仿宋" w:cs="仿宋"/>
          <w:color w:val="000000" w:themeColor="text1"/>
          <w:sz w:val="32"/>
          <w:szCs w:val="32"/>
          <w:highlight w:val="none"/>
          <w14:textFill>
            <w14:solidFill>
              <w14:schemeClr w14:val="tx1"/>
            </w14:solidFill>
          </w14:textFill>
        </w:rPr>
        <w:t>主要包括基本工资</w:t>
      </w:r>
      <w:r>
        <w:rPr>
          <w:rFonts w:hint="eastAsia" w:ascii="仿宋" w:hAnsi="仿宋" w:eastAsia="仿宋" w:cs="仿宋"/>
          <w:color w:val="000000" w:themeColor="text1"/>
          <w:sz w:val="32"/>
          <w:szCs w:val="32"/>
          <w:highlight w:val="none"/>
          <w:lang w:val="en-US" w:eastAsia="zh-CN"/>
          <w14:textFill>
            <w14:solidFill>
              <w14:schemeClr w14:val="tx1"/>
            </w14:solidFill>
          </w14:textFill>
        </w:rPr>
        <w:t>358.98万元</w:t>
      </w:r>
      <w:r>
        <w:rPr>
          <w:rFonts w:hint="eastAsia" w:ascii="仿宋" w:hAnsi="仿宋" w:eastAsia="仿宋" w:cs="仿宋"/>
          <w:color w:val="000000" w:themeColor="text1"/>
          <w:sz w:val="32"/>
          <w:szCs w:val="32"/>
          <w:highlight w:val="none"/>
          <w14:textFill>
            <w14:solidFill>
              <w14:schemeClr w14:val="tx1"/>
            </w14:solidFill>
          </w14:textFill>
        </w:rPr>
        <w:t>、津贴补贴</w:t>
      </w:r>
      <w:r>
        <w:rPr>
          <w:rFonts w:hint="eastAsia" w:ascii="仿宋" w:hAnsi="仿宋" w:eastAsia="仿宋" w:cs="仿宋"/>
          <w:color w:val="000000" w:themeColor="text1"/>
          <w:sz w:val="32"/>
          <w:szCs w:val="32"/>
          <w:highlight w:val="none"/>
          <w:lang w:val="en-US" w:eastAsia="zh-CN"/>
          <w14:textFill>
            <w14:solidFill>
              <w14:schemeClr w14:val="tx1"/>
            </w14:solidFill>
          </w14:textFill>
        </w:rPr>
        <w:t>144.4万元</w:t>
      </w:r>
      <w:r>
        <w:rPr>
          <w:rFonts w:hint="eastAsia" w:ascii="仿宋" w:hAnsi="仿宋" w:eastAsia="仿宋" w:cs="仿宋"/>
          <w:color w:val="000000" w:themeColor="text1"/>
          <w:sz w:val="32"/>
          <w:szCs w:val="32"/>
          <w:highlight w:val="none"/>
          <w14:textFill>
            <w14:solidFill>
              <w14:schemeClr w14:val="tx1"/>
            </w14:solidFill>
          </w14:textFill>
        </w:rPr>
        <w:t>、奖金</w:t>
      </w:r>
      <w:r>
        <w:rPr>
          <w:rFonts w:hint="eastAsia" w:ascii="仿宋" w:hAnsi="仿宋" w:eastAsia="仿宋" w:cs="仿宋"/>
          <w:color w:val="000000" w:themeColor="text1"/>
          <w:sz w:val="32"/>
          <w:szCs w:val="32"/>
          <w:highlight w:val="none"/>
          <w:lang w:val="en-US" w:eastAsia="zh-CN"/>
          <w14:textFill>
            <w14:solidFill>
              <w14:schemeClr w14:val="tx1"/>
            </w14:solidFill>
          </w14:textFill>
        </w:rPr>
        <w:t>44.41万元</w:t>
      </w:r>
      <w:r>
        <w:rPr>
          <w:rFonts w:hint="eastAsia" w:ascii="仿宋" w:hAnsi="仿宋" w:eastAsia="仿宋" w:cs="仿宋"/>
          <w:color w:val="000000" w:themeColor="text1"/>
          <w:sz w:val="32"/>
          <w:szCs w:val="32"/>
          <w:highlight w:val="none"/>
          <w14:textFill>
            <w14:solidFill>
              <w14:schemeClr w14:val="tx1"/>
            </w14:solidFill>
          </w14:textFill>
        </w:rPr>
        <w:t>、伙食补助费</w:t>
      </w:r>
      <w:r>
        <w:rPr>
          <w:rFonts w:hint="eastAsia" w:ascii="仿宋" w:hAnsi="仿宋" w:eastAsia="仿宋" w:cs="仿宋"/>
          <w:color w:val="000000" w:themeColor="text1"/>
          <w:sz w:val="32"/>
          <w:szCs w:val="32"/>
          <w:highlight w:val="none"/>
          <w:lang w:val="en-US" w:eastAsia="zh-CN"/>
          <w14:textFill>
            <w14:solidFill>
              <w14:schemeClr w14:val="tx1"/>
            </w14:solidFill>
          </w14:textFill>
        </w:rPr>
        <w:t>8.15万元</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绩效工资</w:t>
      </w:r>
      <w:r>
        <w:rPr>
          <w:rFonts w:hint="eastAsia" w:ascii="仿宋" w:hAnsi="仿宋" w:eastAsia="仿宋" w:cs="仿宋"/>
          <w:color w:val="000000" w:themeColor="text1"/>
          <w:sz w:val="32"/>
          <w:szCs w:val="32"/>
          <w:highlight w:val="none"/>
          <w:lang w:val="en-US" w:eastAsia="zh-CN"/>
          <w14:textFill>
            <w14:solidFill>
              <w14:schemeClr w14:val="tx1"/>
            </w14:solidFill>
          </w14:textFill>
        </w:rPr>
        <w:t>82.6万元、</w:t>
      </w:r>
      <w:r>
        <w:rPr>
          <w:rFonts w:hint="eastAsia" w:ascii="仿宋" w:hAnsi="仿宋" w:eastAsia="仿宋" w:cs="仿宋"/>
          <w:color w:val="000000" w:themeColor="text1"/>
          <w:sz w:val="32"/>
          <w:szCs w:val="32"/>
          <w:highlight w:val="none"/>
          <w:lang w:eastAsia="zh-CN"/>
          <w14:textFill>
            <w14:solidFill>
              <w14:schemeClr w14:val="tx1"/>
            </w14:solidFill>
          </w14:textFill>
        </w:rPr>
        <w:t>机关养老保险缴费</w:t>
      </w:r>
      <w:r>
        <w:rPr>
          <w:rFonts w:hint="eastAsia" w:ascii="仿宋" w:hAnsi="仿宋" w:eastAsia="仿宋" w:cs="仿宋"/>
          <w:color w:val="000000" w:themeColor="text1"/>
          <w:sz w:val="32"/>
          <w:szCs w:val="32"/>
          <w:highlight w:val="none"/>
          <w:lang w:val="en-US" w:eastAsia="zh-CN"/>
          <w14:textFill>
            <w14:solidFill>
              <w14:schemeClr w14:val="tx1"/>
            </w14:solidFill>
          </w14:textFill>
        </w:rPr>
        <w:t>110.29万元，</w:t>
      </w:r>
      <w:r>
        <w:rPr>
          <w:rFonts w:hint="eastAsia" w:ascii="仿宋" w:hAnsi="仿宋" w:eastAsia="仿宋" w:cs="仿宋"/>
          <w:color w:val="000000" w:themeColor="text1"/>
          <w:sz w:val="32"/>
          <w:szCs w:val="32"/>
          <w:highlight w:val="none"/>
          <w14:textFill>
            <w14:solidFill>
              <w14:schemeClr w14:val="tx1"/>
            </w14:solidFill>
          </w14:textFill>
        </w:rPr>
        <w:t>职工基本医疗保险费</w:t>
      </w:r>
      <w:r>
        <w:rPr>
          <w:rFonts w:hint="eastAsia" w:ascii="仿宋" w:hAnsi="仿宋" w:eastAsia="仿宋" w:cs="仿宋"/>
          <w:color w:val="000000" w:themeColor="text1"/>
          <w:sz w:val="32"/>
          <w:szCs w:val="32"/>
          <w:highlight w:val="none"/>
          <w:lang w:val="en-US" w:eastAsia="zh-CN"/>
          <w14:textFill>
            <w14:solidFill>
              <w14:schemeClr w14:val="tx1"/>
            </w14:solidFill>
          </w14:textFill>
        </w:rPr>
        <w:t>41.34万元</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其他社会保障费</w:t>
      </w:r>
      <w:r>
        <w:rPr>
          <w:rFonts w:hint="eastAsia" w:ascii="仿宋" w:hAnsi="仿宋" w:eastAsia="仿宋" w:cs="仿宋"/>
          <w:color w:val="000000" w:themeColor="text1"/>
          <w:sz w:val="32"/>
          <w:szCs w:val="32"/>
          <w:highlight w:val="none"/>
          <w:lang w:val="en-US" w:eastAsia="zh-CN"/>
          <w14:textFill>
            <w14:solidFill>
              <w14:schemeClr w14:val="tx1"/>
            </w14:solidFill>
          </w14:textFill>
        </w:rPr>
        <w:t>6.43万元，住房公积金40.28万元，</w:t>
      </w:r>
      <w:r>
        <w:rPr>
          <w:rFonts w:hint="eastAsia" w:ascii="仿宋" w:hAnsi="仿宋" w:eastAsia="仿宋" w:cs="仿宋"/>
          <w:color w:val="000000" w:themeColor="text1"/>
          <w:sz w:val="32"/>
          <w:szCs w:val="32"/>
          <w:highlight w:val="none"/>
          <w14:textFill>
            <w14:solidFill>
              <w14:schemeClr w14:val="tx1"/>
            </w14:solidFill>
          </w14:textFill>
        </w:rPr>
        <w:t>抚恤金</w:t>
      </w:r>
      <w:r>
        <w:rPr>
          <w:rFonts w:hint="eastAsia" w:ascii="仿宋" w:hAnsi="仿宋" w:eastAsia="仿宋" w:cs="仿宋"/>
          <w:color w:val="000000" w:themeColor="text1"/>
          <w:sz w:val="32"/>
          <w:szCs w:val="32"/>
          <w:highlight w:val="none"/>
          <w:lang w:val="en-US" w:eastAsia="zh-CN"/>
          <w14:textFill>
            <w14:solidFill>
              <w14:schemeClr w14:val="tx1"/>
            </w14:solidFill>
          </w14:textFill>
        </w:rPr>
        <w:t>183.29万元</w:t>
      </w:r>
      <w:r>
        <w:rPr>
          <w:rFonts w:hint="eastAsia" w:ascii="仿宋" w:hAnsi="仿宋" w:eastAsia="仿宋" w:cs="仿宋"/>
          <w:color w:val="000000" w:themeColor="text1"/>
          <w:sz w:val="32"/>
          <w:szCs w:val="32"/>
          <w:highlight w:val="none"/>
          <w14:textFill>
            <w14:solidFill>
              <w14:schemeClr w14:val="tx1"/>
            </w14:solidFill>
          </w14:textFill>
        </w:rPr>
        <w:t>、生活补助</w:t>
      </w:r>
      <w:r>
        <w:rPr>
          <w:rFonts w:hint="eastAsia" w:ascii="仿宋" w:hAnsi="仿宋" w:eastAsia="仿宋" w:cs="仿宋"/>
          <w:color w:val="000000" w:themeColor="text1"/>
          <w:sz w:val="32"/>
          <w:szCs w:val="32"/>
          <w:highlight w:val="none"/>
          <w:lang w:val="en-US" w:eastAsia="zh-CN"/>
          <w14:textFill>
            <w14:solidFill>
              <w14:schemeClr w14:val="tx1"/>
            </w14:solidFill>
          </w14:textFill>
        </w:rPr>
        <w:t>10.35万元、</w:t>
      </w:r>
      <w:r>
        <w:rPr>
          <w:rFonts w:hint="eastAsia" w:ascii="仿宋" w:hAnsi="仿宋" w:eastAsia="仿宋" w:cs="仿宋"/>
          <w:color w:val="000000" w:themeColor="text1"/>
          <w:sz w:val="32"/>
          <w:szCs w:val="32"/>
          <w:highlight w:val="none"/>
          <w14:textFill>
            <w14:solidFill>
              <w14:schemeClr w14:val="tx1"/>
            </w14:solidFill>
          </w14:textFill>
        </w:rPr>
        <w:t>其他对个人和家庭的补助</w:t>
      </w:r>
      <w:r>
        <w:rPr>
          <w:rFonts w:hint="eastAsia" w:ascii="仿宋" w:hAnsi="仿宋" w:eastAsia="仿宋" w:cs="仿宋"/>
          <w:color w:val="000000" w:themeColor="text1"/>
          <w:sz w:val="32"/>
          <w:szCs w:val="32"/>
          <w:highlight w:val="none"/>
          <w:lang w:val="en-US" w:eastAsia="zh-CN"/>
          <w14:textFill>
            <w14:solidFill>
              <w14:schemeClr w14:val="tx1"/>
            </w14:solidFill>
          </w14:textFill>
        </w:rPr>
        <w:t>4.82万元</w:t>
      </w:r>
      <w:r>
        <w:rPr>
          <w:rFonts w:hint="eastAsia" w:ascii="仿宋" w:hAnsi="仿宋" w:eastAsia="仿宋" w:cs="仿宋"/>
          <w:color w:val="000000" w:themeColor="text1"/>
          <w:sz w:val="32"/>
          <w:szCs w:val="32"/>
          <w:highlight w:val="none"/>
          <w:lang w:eastAsia="zh-CN"/>
          <w14:textFill>
            <w14:solidFill>
              <w14:schemeClr w14:val="tx1"/>
            </w14:solidFill>
          </w14:textFill>
        </w:rPr>
        <w:t>。</w:t>
      </w:r>
    </w:p>
    <w:p w14:paraId="01595DEE">
      <w:pPr>
        <w:pStyle w:val="15"/>
        <w:ind w:firstLine="640" w:firstLineChars="200"/>
        <w:rPr>
          <w:rFonts w:eastAsia="仿宋" w:asciiTheme="minorEastAsia" w:hAnsiTheme="minorEastAsia"/>
          <w:color w:val="000000" w:themeColor="text1"/>
          <w:sz w:val="32"/>
          <w:szCs w:val="32"/>
          <w:highlight w:val="none"/>
          <w14:textFill>
            <w14:solidFill>
              <w14:schemeClr w14:val="tx1"/>
            </w14:solidFill>
          </w14:textFill>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b w:val="0"/>
          <w:bCs w:val="0"/>
          <w:sz w:val="32"/>
          <w:szCs w:val="32"/>
          <w:highlight w:val="none"/>
          <w:lang w:val="en-US" w:eastAsia="zh-CN"/>
        </w:rPr>
        <w:t>101.65</w:t>
      </w:r>
      <w:r>
        <w:rPr>
          <w:rFonts w:hint="eastAsia" w:ascii="Times New Roman" w:hAnsi="Times New Roman" w:eastAsia="仿宋_GB2312"/>
          <w:b w:val="0"/>
          <w:bCs w:val="0"/>
          <w:sz w:val="32"/>
          <w:szCs w:val="32"/>
          <w:highlight w:val="none"/>
        </w:rPr>
        <w:t>万元，占基本支出的</w:t>
      </w:r>
      <w:r>
        <w:rPr>
          <w:rFonts w:hint="eastAsia" w:ascii="Times New Roman" w:hAnsi="Times New Roman" w:eastAsia="仿宋_GB2312"/>
          <w:b w:val="0"/>
          <w:bCs w:val="0"/>
          <w:sz w:val="32"/>
          <w:szCs w:val="32"/>
          <w:highlight w:val="none"/>
          <w:lang w:val="en-US" w:eastAsia="zh-CN"/>
        </w:rPr>
        <w:t>8.86</w:t>
      </w:r>
      <w:r>
        <w:rPr>
          <w:rFonts w:hint="eastAsia" w:ascii="Times New Roman" w:hAnsi="Times New Roman" w:eastAsia="仿宋_GB2312"/>
          <w:b w:val="0"/>
          <w:bCs w:val="0"/>
          <w:sz w:val="32"/>
          <w:szCs w:val="32"/>
          <w:highlight w:val="none"/>
        </w:rPr>
        <w:t>%，</w:t>
      </w:r>
      <w:r>
        <w:rPr>
          <w:rFonts w:hint="eastAsia" w:ascii="仿宋" w:hAnsi="仿宋" w:eastAsia="仿宋" w:cs="仿宋"/>
          <w:color w:val="000000" w:themeColor="text1"/>
          <w:sz w:val="32"/>
          <w:szCs w:val="32"/>
          <w:highlight w:val="none"/>
          <w14:textFill>
            <w14:solidFill>
              <w14:schemeClr w14:val="tx1"/>
            </w14:solidFill>
          </w14:textFill>
        </w:rPr>
        <w:t>主要包括办公费</w:t>
      </w:r>
      <w:r>
        <w:rPr>
          <w:rFonts w:hint="eastAsia" w:ascii="仿宋" w:hAnsi="仿宋" w:eastAsia="仿宋" w:cs="仿宋"/>
          <w:color w:val="000000" w:themeColor="text1"/>
          <w:sz w:val="32"/>
          <w:szCs w:val="32"/>
          <w:highlight w:val="none"/>
          <w:lang w:val="en-US" w:eastAsia="zh-CN"/>
          <w14:textFill>
            <w14:solidFill>
              <w14:schemeClr w14:val="tx1"/>
            </w14:solidFill>
          </w14:textFill>
        </w:rPr>
        <w:t>2.94万元</w:t>
      </w:r>
      <w:r>
        <w:rPr>
          <w:rFonts w:hint="eastAsia" w:ascii="仿宋" w:hAnsi="仿宋" w:eastAsia="仿宋" w:cs="仿宋"/>
          <w:color w:val="000000" w:themeColor="text1"/>
          <w:sz w:val="32"/>
          <w:szCs w:val="32"/>
          <w:highlight w:val="none"/>
          <w14:textFill>
            <w14:solidFill>
              <w14:schemeClr w14:val="tx1"/>
            </w14:solidFill>
          </w14:textFill>
        </w:rPr>
        <w:t>、印刷费</w:t>
      </w:r>
      <w:r>
        <w:rPr>
          <w:rFonts w:hint="eastAsia" w:ascii="仿宋" w:hAnsi="仿宋" w:eastAsia="仿宋" w:cs="仿宋"/>
          <w:color w:val="000000" w:themeColor="text1"/>
          <w:sz w:val="32"/>
          <w:szCs w:val="32"/>
          <w:highlight w:val="none"/>
          <w:lang w:val="en-US" w:eastAsia="zh-CN"/>
          <w14:textFill>
            <w14:solidFill>
              <w14:schemeClr w14:val="tx1"/>
            </w14:solidFill>
          </w14:textFill>
        </w:rPr>
        <w:t>2.42万元</w:t>
      </w:r>
      <w:r>
        <w:rPr>
          <w:rFonts w:hint="eastAsia" w:ascii="仿宋" w:hAnsi="仿宋" w:eastAsia="仿宋" w:cs="仿宋"/>
          <w:color w:val="000000" w:themeColor="text1"/>
          <w:sz w:val="32"/>
          <w:szCs w:val="32"/>
          <w:highlight w:val="none"/>
          <w14:textFill>
            <w14:solidFill>
              <w14:schemeClr w14:val="tx1"/>
            </w14:solidFill>
          </w14:textFill>
        </w:rPr>
        <w:t>、电费</w:t>
      </w:r>
      <w:r>
        <w:rPr>
          <w:rFonts w:hint="eastAsia" w:ascii="仿宋" w:hAnsi="仿宋" w:eastAsia="仿宋" w:cs="仿宋"/>
          <w:color w:val="000000" w:themeColor="text1"/>
          <w:sz w:val="32"/>
          <w:szCs w:val="32"/>
          <w:highlight w:val="none"/>
          <w:lang w:val="en-US" w:eastAsia="zh-CN"/>
          <w14:textFill>
            <w14:solidFill>
              <w14:schemeClr w14:val="tx1"/>
            </w14:solidFill>
          </w14:textFill>
        </w:rPr>
        <w:t>5.42万元</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邮电费</w:t>
      </w:r>
      <w:r>
        <w:rPr>
          <w:rFonts w:hint="eastAsia" w:ascii="仿宋" w:hAnsi="仿宋" w:eastAsia="仿宋" w:cs="仿宋"/>
          <w:color w:val="000000" w:themeColor="text1"/>
          <w:sz w:val="32"/>
          <w:szCs w:val="32"/>
          <w:highlight w:val="none"/>
          <w:lang w:val="en-US" w:eastAsia="zh-CN"/>
          <w14:textFill>
            <w14:solidFill>
              <w14:schemeClr w14:val="tx1"/>
            </w14:solidFill>
          </w14:textFill>
        </w:rPr>
        <w:t>0.23万元、</w:t>
      </w:r>
      <w:r>
        <w:rPr>
          <w:rFonts w:hint="eastAsia" w:ascii="仿宋" w:hAnsi="仿宋" w:eastAsia="仿宋" w:cs="仿宋"/>
          <w:color w:val="000000" w:themeColor="text1"/>
          <w:sz w:val="32"/>
          <w:szCs w:val="32"/>
          <w:highlight w:val="none"/>
          <w14:textFill>
            <w14:solidFill>
              <w14:schemeClr w14:val="tx1"/>
            </w14:solidFill>
          </w14:textFill>
        </w:rPr>
        <w:t>维修费</w:t>
      </w:r>
      <w:r>
        <w:rPr>
          <w:rFonts w:hint="eastAsia" w:ascii="仿宋" w:hAnsi="仿宋" w:eastAsia="仿宋" w:cs="仿宋"/>
          <w:color w:val="000000" w:themeColor="text1"/>
          <w:sz w:val="32"/>
          <w:szCs w:val="32"/>
          <w:highlight w:val="none"/>
          <w:lang w:val="en-US" w:eastAsia="zh-CN"/>
          <w14:textFill>
            <w14:solidFill>
              <w14:schemeClr w14:val="tx1"/>
            </w14:solidFill>
          </w14:textFill>
        </w:rPr>
        <w:t>2.01万元</w:t>
      </w:r>
      <w:r>
        <w:rPr>
          <w:rFonts w:hint="eastAsia" w:ascii="仿宋" w:hAnsi="仿宋" w:eastAsia="仿宋" w:cs="仿宋"/>
          <w:color w:val="000000" w:themeColor="text1"/>
          <w:sz w:val="32"/>
          <w:szCs w:val="32"/>
          <w:highlight w:val="none"/>
          <w14:textFill>
            <w14:solidFill>
              <w14:schemeClr w14:val="tx1"/>
            </w14:solidFill>
          </w14:textFill>
        </w:rPr>
        <w:t>、差旅费</w:t>
      </w:r>
      <w:r>
        <w:rPr>
          <w:rFonts w:hint="eastAsia" w:ascii="仿宋" w:hAnsi="仿宋" w:eastAsia="仿宋" w:cs="仿宋"/>
          <w:color w:val="000000" w:themeColor="text1"/>
          <w:sz w:val="32"/>
          <w:szCs w:val="32"/>
          <w:highlight w:val="none"/>
          <w:lang w:val="en-US" w:eastAsia="zh-CN"/>
          <w14:textFill>
            <w14:solidFill>
              <w14:schemeClr w14:val="tx1"/>
            </w14:solidFill>
          </w14:textFill>
        </w:rPr>
        <w:t>6.6万元</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培训费1.49万元、</w:t>
      </w:r>
      <w:r>
        <w:rPr>
          <w:rFonts w:hint="eastAsia" w:ascii="仿宋" w:hAnsi="仿宋" w:eastAsia="仿宋" w:cs="仿宋"/>
          <w:color w:val="000000" w:themeColor="text1"/>
          <w:sz w:val="32"/>
          <w:szCs w:val="32"/>
          <w:highlight w:val="none"/>
          <w14:textFill>
            <w14:solidFill>
              <w14:schemeClr w14:val="tx1"/>
            </w14:solidFill>
          </w14:textFill>
        </w:rPr>
        <w:t>公务接待费</w:t>
      </w:r>
      <w:r>
        <w:rPr>
          <w:rFonts w:hint="eastAsia" w:ascii="仿宋" w:hAnsi="仿宋" w:eastAsia="仿宋" w:cs="仿宋"/>
          <w:color w:val="000000" w:themeColor="text1"/>
          <w:sz w:val="32"/>
          <w:szCs w:val="32"/>
          <w:highlight w:val="none"/>
          <w:lang w:val="en-US" w:eastAsia="zh-CN"/>
          <w14:textFill>
            <w14:solidFill>
              <w14:schemeClr w14:val="tx1"/>
            </w14:solidFill>
          </w14:textFill>
        </w:rPr>
        <w:t>1.37万元</w:t>
      </w:r>
      <w:r>
        <w:rPr>
          <w:rFonts w:hint="eastAsia" w:ascii="仿宋" w:hAnsi="仿宋" w:eastAsia="仿宋" w:cs="仿宋"/>
          <w:color w:val="000000" w:themeColor="text1"/>
          <w:sz w:val="32"/>
          <w:szCs w:val="32"/>
          <w:highlight w:val="none"/>
          <w14:textFill>
            <w14:solidFill>
              <w14:schemeClr w14:val="tx1"/>
            </w14:solidFill>
          </w14:textFill>
        </w:rPr>
        <w:t>、劳务</w:t>
      </w:r>
      <w:r>
        <w:rPr>
          <w:rFonts w:hint="eastAsia" w:ascii="仿宋" w:hAnsi="仿宋" w:eastAsia="仿宋" w:cs="仿宋"/>
          <w:color w:val="000000" w:themeColor="text1"/>
          <w:sz w:val="32"/>
          <w:szCs w:val="32"/>
          <w:highlight w:val="none"/>
          <w:lang w:eastAsia="zh-CN"/>
          <w14:textFill>
            <w14:solidFill>
              <w14:schemeClr w14:val="tx1"/>
            </w14:solidFill>
          </w14:textFill>
        </w:rPr>
        <w:t>费</w:t>
      </w:r>
      <w:r>
        <w:rPr>
          <w:rFonts w:hint="eastAsia" w:ascii="仿宋" w:hAnsi="仿宋" w:eastAsia="仿宋" w:cs="仿宋"/>
          <w:color w:val="000000" w:themeColor="text1"/>
          <w:sz w:val="32"/>
          <w:szCs w:val="32"/>
          <w:highlight w:val="none"/>
          <w:lang w:val="en-US" w:eastAsia="zh-CN"/>
          <w14:textFill>
            <w14:solidFill>
              <w14:schemeClr w14:val="tx1"/>
            </w14:solidFill>
          </w14:textFill>
        </w:rPr>
        <w:t>2.8万元</w:t>
      </w:r>
      <w:r>
        <w:rPr>
          <w:rFonts w:hint="eastAsia" w:ascii="仿宋" w:hAnsi="仿宋" w:eastAsia="仿宋" w:cs="仿宋"/>
          <w:color w:val="000000" w:themeColor="text1"/>
          <w:sz w:val="32"/>
          <w:szCs w:val="32"/>
          <w:highlight w:val="none"/>
          <w14:textFill>
            <w14:solidFill>
              <w14:schemeClr w14:val="tx1"/>
            </w14:solidFill>
          </w14:textFill>
        </w:rPr>
        <w:t>、福利费</w:t>
      </w:r>
      <w:r>
        <w:rPr>
          <w:rFonts w:hint="eastAsia" w:ascii="仿宋" w:hAnsi="仿宋" w:eastAsia="仿宋" w:cs="仿宋"/>
          <w:color w:val="000000" w:themeColor="text1"/>
          <w:sz w:val="32"/>
          <w:szCs w:val="32"/>
          <w:highlight w:val="none"/>
          <w:lang w:val="en-US" w:eastAsia="zh-CN"/>
          <w14:textFill>
            <w14:solidFill>
              <w14:schemeClr w14:val="tx1"/>
            </w14:solidFill>
          </w14:textFill>
        </w:rPr>
        <w:t>0.96万元</w:t>
      </w:r>
      <w:r>
        <w:rPr>
          <w:rFonts w:hint="eastAsia" w:ascii="仿宋" w:hAnsi="仿宋" w:eastAsia="仿宋" w:cs="仿宋"/>
          <w:color w:val="000000" w:themeColor="text1"/>
          <w:sz w:val="32"/>
          <w:szCs w:val="32"/>
          <w:highlight w:val="none"/>
          <w14:textFill>
            <w14:solidFill>
              <w14:schemeClr w14:val="tx1"/>
            </w14:solidFill>
          </w14:textFill>
        </w:rPr>
        <w:t>、工会经费</w:t>
      </w:r>
      <w:r>
        <w:rPr>
          <w:rFonts w:hint="eastAsia" w:ascii="仿宋" w:hAnsi="仿宋" w:eastAsia="仿宋" w:cs="仿宋"/>
          <w:color w:val="000000" w:themeColor="text1"/>
          <w:sz w:val="32"/>
          <w:szCs w:val="32"/>
          <w:highlight w:val="none"/>
          <w:lang w:val="en-US" w:eastAsia="zh-CN"/>
          <w14:textFill>
            <w14:solidFill>
              <w14:schemeClr w14:val="tx1"/>
            </w14:solidFill>
          </w14:textFill>
        </w:rPr>
        <w:t>5万元</w:t>
      </w:r>
      <w:r>
        <w:rPr>
          <w:rFonts w:hint="eastAsia" w:ascii="仿宋" w:hAnsi="仿宋" w:eastAsia="仿宋" w:cs="仿宋"/>
          <w:color w:val="000000" w:themeColor="text1"/>
          <w:sz w:val="32"/>
          <w:szCs w:val="32"/>
          <w:highlight w:val="none"/>
          <w14:textFill>
            <w14:solidFill>
              <w14:schemeClr w14:val="tx1"/>
            </w14:solidFill>
          </w14:textFill>
        </w:rPr>
        <w:t>、其他交通费用</w:t>
      </w:r>
      <w:r>
        <w:rPr>
          <w:rFonts w:hint="eastAsia" w:ascii="仿宋" w:hAnsi="仿宋" w:eastAsia="仿宋" w:cs="仿宋"/>
          <w:color w:val="000000" w:themeColor="text1"/>
          <w:sz w:val="32"/>
          <w:szCs w:val="32"/>
          <w:highlight w:val="none"/>
          <w:lang w:val="en-US" w:eastAsia="zh-CN"/>
          <w14:textFill>
            <w14:solidFill>
              <w14:schemeClr w14:val="tx1"/>
            </w14:solidFill>
          </w14:textFill>
        </w:rPr>
        <w:t>39.06万元</w:t>
      </w:r>
      <w:r>
        <w:rPr>
          <w:rFonts w:hint="eastAsia" w:ascii="仿宋" w:hAnsi="仿宋" w:eastAsia="仿宋" w:cs="仿宋"/>
          <w:color w:val="000000" w:themeColor="text1"/>
          <w:sz w:val="32"/>
          <w:szCs w:val="32"/>
          <w:highlight w:val="none"/>
          <w14:textFill>
            <w14:solidFill>
              <w14:schemeClr w14:val="tx1"/>
            </w14:solidFill>
          </w14:textFill>
        </w:rPr>
        <w:t>、其他商品和服务支出</w:t>
      </w:r>
      <w:r>
        <w:rPr>
          <w:rFonts w:hint="eastAsia" w:ascii="仿宋" w:hAnsi="仿宋" w:eastAsia="仿宋" w:cs="仿宋"/>
          <w:color w:val="000000" w:themeColor="text1"/>
          <w:sz w:val="32"/>
          <w:szCs w:val="32"/>
          <w:highlight w:val="none"/>
          <w:lang w:val="en-US" w:eastAsia="zh-CN"/>
          <w14:textFill>
            <w14:solidFill>
              <w14:schemeClr w14:val="tx1"/>
            </w14:solidFill>
          </w14:textFill>
        </w:rPr>
        <w:t>29.59万元</w:t>
      </w:r>
      <w:r>
        <w:rPr>
          <w:rFonts w:hint="eastAsia" w:ascii="仿宋" w:hAnsi="仿宋" w:eastAsia="仿宋" w:cs="仿宋"/>
          <w:color w:val="000000" w:themeColor="text1"/>
          <w:sz w:val="32"/>
          <w:szCs w:val="32"/>
          <w:highlight w:val="none"/>
          <w14:textFill>
            <w14:solidFill>
              <w14:schemeClr w14:val="tx1"/>
            </w14:solidFill>
          </w14:textFill>
        </w:rPr>
        <w:t>。</w:t>
      </w:r>
    </w:p>
    <w:p w14:paraId="65C37F57">
      <w:pPr>
        <w:pStyle w:val="15"/>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财政拨款三公经费支出决算情况说明</w:t>
      </w:r>
    </w:p>
    <w:p w14:paraId="0D05D332">
      <w:pPr>
        <w:pStyle w:val="15"/>
        <w:keepNext w:val="0"/>
        <w:keepLines w:val="0"/>
        <w:pageBreakBefore w:val="0"/>
        <w:widowControl w:val="0"/>
        <w:numPr>
          <w:ilvl w:val="0"/>
          <w:numId w:val="0"/>
        </w:numPr>
        <w:kinsoku/>
        <w:wordWrap/>
        <w:overflowPunct/>
        <w:topLinePunct w:val="0"/>
        <w:bidi w:val="0"/>
        <w:snapToGrid/>
        <w:spacing w:line="600" w:lineRule="exact"/>
        <w:ind w:firstLine="320" w:firstLineChars="1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（一）“三公”经费财政拨款支出决算总体情况说明</w:t>
      </w:r>
    </w:p>
    <w:p w14:paraId="616B63E0">
      <w:pPr>
        <w:pStyle w:val="15"/>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10.55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10.55</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w:t>
      </w:r>
    </w:p>
    <w:p w14:paraId="1F24D6D6">
      <w:pPr>
        <w:pStyle w:val="15"/>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Times New Roman" w:hAnsi="Times New Roman" w:eastAsia="仿宋_GB2312"/>
          <w:sz w:val="32"/>
          <w:szCs w:val="32"/>
          <w:highlight w:val="none"/>
        </w:rPr>
        <w:t>因公出国（</w:t>
      </w:r>
      <w:r>
        <w:rPr>
          <w:rFonts w:hint="eastAsia" w:ascii="仿宋" w:hAnsi="仿宋" w:eastAsia="仿宋" w:cs="仿宋"/>
          <w:color w:val="000000" w:themeColor="text1"/>
          <w:sz w:val="32"/>
          <w:szCs w:val="32"/>
          <w:highlight w:val="none"/>
          <w14:textFill>
            <w14:solidFill>
              <w14:schemeClr w14:val="tx1"/>
            </w14:solidFill>
          </w14:textFill>
        </w:rPr>
        <w:t>境）费支出</w:t>
      </w:r>
      <w:r>
        <w:rPr>
          <w:rFonts w:hint="eastAsia" w:ascii="仿宋" w:hAnsi="仿宋" w:eastAsia="仿宋" w:cs="仿宋"/>
          <w:color w:val="000000" w:themeColor="text1"/>
          <w:sz w:val="32"/>
          <w:szCs w:val="32"/>
          <w:highlight w:val="none"/>
          <w:lang w:eastAsia="zh-CN"/>
          <w14:textFill>
            <w14:solidFill>
              <w14:schemeClr w14:val="tx1"/>
            </w14:solidFill>
          </w14:textFill>
        </w:rPr>
        <w:t>预算为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lang w:eastAsia="zh-CN"/>
          <w14:textFill>
            <w14:solidFill>
              <w14:schemeClr w14:val="tx1"/>
            </w14:solidFill>
          </w14:textFill>
        </w:rPr>
        <w:t>万元，支出决算为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lang w:eastAsia="zh-CN"/>
          <w14:textFill>
            <w14:solidFill>
              <w14:schemeClr w14:val="tx1"/>
            </w14:solidFill>
          </w14:textFill>
        </w:rPr>
        <w:t>万元，</w:t>
      </w:r>
      <w:bookmarkStart w:id="18" w:name="OLE_LINK3"/>
      <w:r>
        <w:rPr>
          <w:rFonts w:hint="eastAsia" w:ascii="仿宋" w:hAnsi="仿宋" w:eastAsia="仿宋" w:cs="仿宋"/>
          <w:color w:val="000000" w:themeColor="text1"/>
          <w:sz w:val="32"/>
          <w:szCs w:val="32"/>
          <w:highlight w:val="none"/>
          <w:lang w:eastAsia="zh-CN"/>
          <w14:textFill>
            <w14:solidFill>
              <w14:schemeClr w14:val="tx1"/>
            </w14:solidFill>
          </w14:textFill>
        </w:rPr>
        <w:t>由于预算数为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0，无法计算百分比</w:t>
      </w:r>
      <w:bookmarkEnd w:id="18"/>
      <w:r>
        <w:rPr>
          <w:rFonts w:hint="eastAsia" w:ascii="仿宋" w:hAnsi="仿宋" w:eastAsia="仿宋" w:cs="仿宋"/>
          <w:color w:val="000000" w:themeColor="text1"/>
          <w:sz w:val="32"/>
          <w:szCs w:val="32"/>
          <w:highlight w:val="none"/>
          <w:lang w:eastAsia="zh-CN"/>
          <w14:textFill>
            <w14:solidFill>
              <w14:schemeClr w14:val="tx1"/>
            </w14:solidFill>
          </w14:textFill>
        </w:rPr>
        <w:t>，决算数等于预算数，与上年一致</w:t>
      </w:r>
      <w:r>
        <w:rPr>
          <w:rFonts w:hint="eastAsia" w:ascii="仿宋" w:hAnsi="仿宋" w:eastAsia="仿宋" w:cs="仿宋"/>
          <w:color w:val="000000" w:themeColor="text1"/>
          <w:sz w:val="32"/>
          <w:szCs w:val="32"/>
          <w:highlight w:val="none"/>
          <w14:textFill>
            <w14:solidFill>
              <w14:schemeClr w14:val="tx1"/>
            </w14:solidFill>
          </w14:textFill>
        </w:rPr>
        <w:t>。</w:t>
      </w:r>
    </w:p>
    <w:p w14:paraId="5F60EA62">
      <w:pPr>
        <w:pStyle w:val="15"/>
        <w:ind w:firstLine="640" w:firstLineChars="200"/>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公务接待费支出预算为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10.55</w:t>
      </w:r>
      <w:r>
        <w:rPr>
          <w:rFonts w:hint="eastAsia" w:ascii="仿宋" w:hAnsi="仿宋" w:eastAsia="仿宋" w:cs="仿宋"/>
          <w:color w:val="000000" w:themeColor="text1"/>
          <w:sz w:val="32"/>
          <w:szCs w:val="32"/>
          <w:highlight w:val="none"/>
          <w14:textFill>
            <w14:solidFill>
              <w14:schemeClr w14:val="tx1"/>
            </w14:solidFill>
          </w14:textFill>
        </w:rPr>
        <w:t>万元，支出决算为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10.55</w:t>
      </w:r>
      <w:r>
        <w:rPr>
          <w:rFonts w:hint="eastAsia" w:ascii="仿宋" w:hAnsi="仿宋" w:eastAsia="仿宋" w:cs="仿宋"/>
          <w:color w:val="000000" w:themeColor="text1"/>
          <w:sz w:val="32"/>
          <w:szCs w:val="32"/>
          <w:highlight w:val="none"/>
          <w14:textFill>
            <w14:solidFill>
              <w14:schemeClr w14:val="tx1"/>
            </w14:solidFill>
          </w14:textFill>
        </w:rPr>
        <w:t>万元，完成预算的</w:t>
      </w:r>
      <w:r>
        <w:rPr>
          <w:rFonts w:hint="eastAsia" w:ascii="仿宋" w:hAnsi="仿宋" w:eastAsia="仿宋" w:cs="仿宋"/>
          <w:color w:val="000000" w:themeColor="text1"/>
          <w:sz w:val="32"/>
          <w:szCs w:val="32"/>
          <w:highlight w:val="none"/>
          <w:lang w:val="en-US" w:eastAsia="zh-CN"/>
          <w14:textFill>
            <w14:solidFill>
              <w14:schemeClr w14:val="tx1"/>
            </w14:solidFill>
          </w14:textFill>
        </w:rPr>
        <w:t>100</w:t>
      </w:r>
      <w:r>
        <w:rPr>
          <w:rFonts w:hint="eastAsia" w:ascii="仿宋" w:hAnsi="仿宋" w:eastAsia="仿宋" w:cs="仿宋"/>
          <w:color w:val="000000" w:themeColor="text1"/>
          <w:sz w:val="32"/>
          <w:szCs w:val="32"/>
          <w:highlight w:val="none"/>
          <w14:textFill>
            <w14:solidFill>
              <w14:schemeClr w14:val="tx1"/>
            </w14:solidFill>
          </w14:textFill>
        </w:rPr>
        <w:t>%，决算数</w:t>
      </w:r>
      <w:r>
        <w:rPr>
          <w:rFonts w:hint="eastAsia" w:ascii="仿宋" w:hAnsi="仿宋" w:eastAsia="仿宋" w:cs="仿宋"/>
          <w:color w:val="000000" w:themeColor="text1"/>
          <w:sz w:val="32"/>
          <w:szCs w:val="32"/>
          <w:highlight w:val="none"/>
          <w:lang w:eastAsia="zh-CN"/>
          <w14:textFill>
            <w14:solidFill>
              <w14:schemeClr w14:val="tx1"/>
            </w14:solidFill>
          </w14:textFill>
        </w:rPr>
        <w:t>等于</w:t>
      </w:r>
      <w:r>
        <w:rPr>
          <w:rFonts w:hint="eastAsia" w:ascii="仿宋" w:hAnsi="仿宋" w:eastAsia="仿宋" w:cs="仿宋"/>
          <w:color w:val="000000" w:themeColor="text1"/>
          <w:sz w:val="32"/>
          <w:szCs w:val="32"/>
          <w:highlight w:val="none"/>
          <w14:textFill>
            <w14:solidFill>
              <w14:schemeClr w14:val="tx1"/>
            </w14:solidFill>
          </w14:textFill>
        </w:rPr>
        <w:t>预算数，与上年相比</w:t>
      </w:r>
      <w:r>
        <w:rPr>
          <w:rFonts w:hint="eastAsia" w:ascii="仿宋" w:hAnsi="仿宋" w:eastAsia="仿宋" w:cs="仿宋"/>
          <w:color w:val="000000" w:themeColor="text1"/>
          <w:sz w:val="32"/>
          <w:szCs w:val="32"/>
          <w:highlight w:val="none"/>
          <w:lang w:eastAsia="zh-CN"/>
          <w14:textFill>
            <w14:solidFill>
              <w14:schemeClr w14:val="tx1"/>
            </w14:solidFill>
          </w14:textFill>
        </w:rPr>
        <w:t>增加</w:t>
      </w:r>
      <w:r>
        <w:rPr>
          <w:rFonts w:hint="eastAsia" w:ascii="仿宋" w:hAnsi="仿宋" w:eastAsia="仿宋" w:cs="仿宋"/>
          <w:color w:val="000000" w:themeColor="text1"/>
          <w:sz w:val="32"/>
          <w:szCs w:val="32"/>
          <w:highlight w:val="none"/>
          <w:lang w:val="en-US" w:eastAsia="zh-CN"/>
          <w14:textFill>
            <w14:solidFill>
              <w14:schemeClr w14:val="tx1"/>
            </w14:solidFill>
          </w14:textFill>
        </w:rPr>
        <w:t>4.33</w:t>
      </w:r>
      <w:r>
        <w:rPr>
          <w:rFonts w:hint="eastAsia" w:ascii="仿宋" w:hAnsi="仿宋" w:eastAsia="仿宋" w:cs="仿宋"/>
          <w:color w:val="000000" w:themeColor="text1"/>
          <w:sz w:val="32"/>
          <w:szCs w:val="32"/>
          <w:highlight w:val="none"/>
          <w14:textFill>
            <w14:solidFill>
              <w14:schemeClr w14:val="tx1"/>
            </w14:solidFill>
          </w14:textFill>
        </w:rPr>
        <w:t>万元，</w:t>
      </w:r>
      <w:r>
        <w:rPr>
          <w:rFonts w:hint="eastAsia" w:ascii="仿宋" w:hAnsi="仿宋" w:eastAsia="仿宋" w:cs="仿宋"/>
          <w:color w:val="000000" w:themeColor="text1"/>
          <w:sz w:val="32"/>
          <w:szCs w:val="32"/>
          <w:highlight w:val="none"/>
          <w:lang w:eastAsia="zh-CN"/>
          <w14:textFill>
            <w14:solidFill>
              <w14:schemeClr w14:val="tx1"/>
            </w14:solidFill>
          </w14:textFill>
        </w:rPr>
        <w:t>增长</w:t>
      </w:r>
      <w:r>
        <w:rPr>
          <w:rFonts w:hint="eastAsia" w:ascii="仿宋" w:hAnsi="仿宋" w:eastAsia="仿宋" w:cs="仿宋"/>
          <w:color w:val="000000" w:themeColor="text1"/>
          <w:sz w:val="32"/>
          <w:szCs w:val="32"/>
          <w:highlight w:val="none"/>
          <w:lang w:val="en-US" w:eastAsia="zh-CN"/>
          <w14:textFill>
            <w14:solidFill>
              <w14:schemeClr w14:val="tx1"/>
            </w14:solidFill>
          </w14:textFill>
        </w:rPr>
        <w:t>69.61</w:t>
      </w:r>
      <w:r>
        <w:rPr>
          <w:rFonts w:hint="eastAsia" w:ascii="仿宋" w:hAnsi="仿宋" w:eastAsia="仿宋" w:cs="仿宋"/>
          <w:color w:val="000000" w:themeColor="text1"/>
          <w:sz w:val="32"/>
          <w:szCs w:val="32"/>
          <w:highlight w:val="none"/>
          <w14:textFill>
            <w14:solidFill>
              <w14:schemeClr w14:val="tx1"/>
            </w14:solidFill>
          </w14:textFill>
        </w:rPr>
        <w:t>%</w:t>
      </w:r>
      <w:r>
        <w:rPr>
          <w:rFonts w:hint="eastAsia" w:ascii="仿宋" w:hAnsi="仿宋" w:eastAsia="仿宋" w:cs="仿宋"/>
          <w:color w:val="000000" w:themeColor="text1"/>
          <w:sz w:val="32"/>
          <w:szCs w:val="32"/>
          <w:highlight w:val="none"/>
          <w:lang w:eastAsia="zh-CN"/>
          <w14:textFill>
            <w14:solidFill>
              <w14:schemeClr w14:val="tx1"/>
            </w14:solidFill>
          </w14:textFill>
        </w:rPr>
        <w:t>，增长</w:t>
      </w:r>
      <w:r>
        <w:rPr>
          <w:rFonts w:hint="eastAsia" w:ascii="仿宋" w:hAnsi="仿宋" w:eastAsia="仿宋" w:cs="仿宋"/>
          <w:color w:val="000000" w:themeColor="text1"/>
          <w:sz w:val="32"/>
          <w:szCs w:val="32"/>
          <w:highlight w:val="none"/>
          <w14:textFill>
            <w14:solidFill>
              <w14:schemeClr w14:val="tx1"/>
            </w14:solidFill>
          </w14:textFill>
        </w:rPr>
        <w:t>的主要原因是</w:t>
      </w:r>
      <w:r>
        <w:rPr>
          <w:rFonts w:hint="eastAsia" w:ascii="仿宋" w:hAnsi="仿宋" w:eastAsia="仿宋" w:cs="仿宋"/>
          <w:color w:val="000000" w:themeColor="text1"/>
          <w:sz w:val="32"/>
          <w:szCs w:val="32"/>
          <w:highlight w:val="none"/>
          <w:lang w:eastAsia="zh-CN"/>
          <w14:textFill>
            <w14:solidFill>
              <w14:schemeClr w14:val="tx1"/>
            </w14:solidFill>
          </w14:textFill>
        </w:rPr>
        <w:t>公务接待费的增多。</w:t>
      </w:r>
    </w:p>
    <w:p w14:paraId="07B21EE2">
      <w:pPr>
        <w:pStyle w:val="15"/>
        <w:ind w:firstLine="640" w:firstLineChars="200"/>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32"/>
          <w:szCs w:val="32"/>
          <w:highlight w:val="none"/>
          <w14:textFill>
            <w14:solidFill>
              <w14:schemeClr w14:val="tx1"/>
            </w14:solidFill>
          </w14:textFill>
        </w:rPr>
        <w:t>公务用车购置费支出</w:t>
      </w:r>
      <w:r>
        <w:rPr>
          <w:rFonts w:hint="eastAsia" w:ascii="仿宋" w:hAnsi="仿宋" w:eastAsia="仿宋" w:cs="仿宋"/>
          <w:color w:val="000000" w:themeColor="text1"/>
          <w:sz w:val="32"/>
          <w:szCs w:val="32"/>
          <w:highlight w:val="none"/>
          <w:lang w:eastAsia="zh-CN"/>
          <w14:textFill>
            <w14:solidFill>
              <w14:schemeClr w14:val="tx1"/>
            </w14:solidFill>
          </w14:textFill>
        </w:rPr>
        <w:t>预算为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lang w:eastAsia="zh-CN"/>
          <w14:textFill>
            <w14:solidFill>
              <w14:schemeClr w14:val="tx1"/>
            </w14:solidFill>
          </w14:textFill>
        </w:rPr>
        <w:t>万元，支出决算为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lang w:eastAsia="zh-CN"/>
          <w14:textFill>
            <w14:solidFill>
              <w14:schemeClr w14:val="tx1"/>
            </w14:solidFill>
          </w14:textFill>
        </w:rPr>
        <w:t>万元，由于预算数为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0，无法计算百分比</w:t>
      </w:r>
      <w:r>
        <w:rPr>
          <w:rFonts w:hint="eastAsia" w:ascii="仿宋" w:hAnsi="仿宋" w:eastAsia="仿宋" w:cs="仿宋"/>
          <w:color w:val="000000" w:themeColor="text1"/>
          <w:sz w:val="32"/>
          <w:szCs w:val="32"/>
          <w:highlight w:val="none"/>
          <w:lang w:eastAsia="zh-CN"/>
          <w14:textFill>
            <w14:solidFill>
              <w14:schemeClr w14:val="tx1"/>
            </w14:solidFill>
          </w14:textFill>
        </w:rPr>
        <w:t>，决算数等于预算数，与上年一致</w:t>
      </w:r>
      <w:r>
        <w:rPr>
          <w:rFonts w:hint="eastAsia" w:ascii="仿宋" w:hAnsi="仿宋" w:eastAsia="仿宋" w:cs="仿宋"/>
          <w:color w:val="000000" w:themeColor="text1"/>
          <w:sz w:val="32"/>
          <w:szCs w:val="32"/>
          <w:highlight w:val="none"/>
          <w14:textFill>
            <w14:solidFill>
              <w14:schemeClr w14:val="tx1"/>
            </w14:solidFill>
          </w14:textFill>
        </w:rPr>
        <w:t>。</w:t>
      </w:r>
    </w:p>
    <w:p w14:paraId="0E510721">
      <w:pPr>
        <w:pStyle w:val="15"/>
        <w:ind w:firstLine="640" w:firstLineChars="200"/>
        <w:rPr>
          <w:rFonts w:hint="eastAsia" w:ascii="仿宋" w:hAnsi="仿宋" w:eastAsia="仿宋" w:cs="仿宋"/>
          <w:sz w:val="32"/>
          <w:szCs w:val="32"/>
          <w:highlight w:val="none"/>
        </w:rPr>
      </w:pPr>
      <w:r>
        <w:rPr>
          <w:rFonts w:hint="eastAsia" w:ascii="仿宋" w:hAnsi="仿宋" w:eastAsia="仿宋" w:cs="仿宋"/>
          <w:color w:val="000000" w:themeColor="text1"/>
          <w:sz w:val="32"/>
          <w:szCs w:val="32"/>
          <w:highlight w:val="none"/>
          <w14:textFill>
            <w14:solidFill>
              <w14:schemeClr w14:val="tx1"/>
            </w14:solidFill>
          </w14:textFill>
        </w:rPr>
        <w:t>公务用车运行维护费支出</w:t>
      </w:r>
      <w:r>
        <w:rPr>
          <w:rFonts w:hint="eastAsia" w:ascii="仿宋" w:hAnsi="仿宋" w:eastAsia="仿宋" w:cs="仿宋"/>
          <w:color w:val="000000" w:themeColor="text1"/>
          <w:sz w:val="32"/>
          <w:szCs w:val="32"/>
          <w:highlight w:val="none"/>
          <w:lang w:eastAsia="zh-CN"/>
          <w14:textFill>
            <w14:solidFill>
              <w14:schemeClr w14:val="tx1"/>
            </w14:solidFill>
          </w14:textFill>
        </w:rPr>
        <w:t>预算为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lang w:eastAsia="zh-CN"/>
          <w14:textFill>
            <w14:solidFill>
              <w14:schemeClr w14:val="tx1"/>
            </w14:solidFill>
          </w14:textFill>
        </w:rPr>
        <w:t>万元，支出决算为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w:t>
      </w:r>
      <w:r>
        <w:rPr>
          <w:rFonts w:hint="eastAsia" w:ascii="仿宋" w:hAnsi="仿宋" w:eastAsia="仿宋" w:cs="仿宋"/>
          <w:color w:val="000000" w:themeColor="text1"/>
          <w:sz w:val="32"/>
          <w:szCs w:val="32"/>
          <w:highlight w:val="none"/>
          <w:lang w:eastAsia="zh-CN"/>
          <w14:textFill>
            <w14:solidFill>
              <w14:schemeClr w14:val="tx1"/>
            </w14:solidFill>
          </w14:textFill>
        </w:rPr>
        <w:t>万元，由于预算数为</w:t>
      </w:r>
      <w:r>
        <w:rPr>
          <w:rFonts w:hint="eastAsia" w:ascii="仿宋" w:hAnsi="仿宋" w:eastAsia="仿宋" w:cs="仿宋"/>
          <w:color w:val="000000" w:themeColor="text1"/>
          <w:sz w:val="32"/>
          <w:szCs w:val="32"/>
          <w:highlight w:val="none"/>
          <w:lang w:val="en-US" w:eastAsia="zh-CN"/>
          <w14:textFill>
            <w14:solidFill>
              <w14:schemeClr w14:val="tx1"/>
            </w14:solidFill>
          </w14:textFill>
        </w:rPr>
        <w:t>0，无法计算百分比</w:t>
      </w:r>
      <w:r>
        <w:rPr>
          <w:rFonts w:hint="eastAsia" w:ascii="仿宋" w:hAnsi="仿宋" w:eastAsia="仿宋" w:cs="仿宋"/>
          <w:color w:val="000000" w:themeColor="text1"/>
          <w:sz w:val="32"/>
          <w:szCs w:val="32"/>
          <w:highlight w:val="none"/>
          <w:lang w:eastAsia="zh-CN"/>
          <w14:textFill>
            <w14:solidFill>
              <w14:schemeClr w14:val="tx1"/>
            </w14:solidFill>
          </w14:textFill>
        </w:rPr>
        <w:t>，决算数等于预算数，与上年一致</w:t>
      </w:r>
      <w:r>
        <w:rPr>
          <w:rFonts w:hint="eastAsia" w:ascii="仿宋" w:hAnsi="仿宋" w:eastAsia="仿宋" w:cs="仿宋"/>
          <w:color w:val="000000" w:themeColor="text1"/>
          <w:sz w:val="32"/>
          <w:szCs w:val="32"/>
          <w:highlight w:val="none"/>
          <w14:textFill>
            <w14:solidFill>
              <w14:schemeClr w14:val="tx1"/>
            </w14:solidFill>
          </w14:textFill>
        </w:rPr>
        <w:t>。</w:t>
      </w:r>
    </w:p>
    <w:p w14:paraId="480A514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highlight w:val="none"/>
        </w:rPr>
      </w:pPr>
      <w:r>
        <w:rPr>
          <w:rFonts w:hint="eastAsia" w:ascii="楷体" w:hAnsi="楷体" w:eastAsia="楷体" w:cs="楷体"/>
          <w:b/>
          <w:bCs w:val="0"/>
          <w:sz w:val="32"/>
          <w:szCs w:val="32"/>
          <w:highlight w:val="none"/>
        </w:rPr>
        <w:t>（二）“三公”经费财政拨款支出决算具体情况说明</w:t>
      </w:r>
    </w:p>
    <w:p w14:paraId="16C5A5B6">
      <w:pPr>
        <w:pStyle w:val="15"/>
        <w:numPr>
          <w:ilvl w:val="0"/>
          <w:numId w:val="0"/>
        </w:num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2023</w:t>
      </w:r>
      <w:r>
        <w:rPr>
          <w:rFonts w:hint="eastAsia" w:ascii="仿宋" w:hAnsi="仿宋" w:eastAsia="仿宋" w:cs="仿宋"/>
          <w:sz w:val="32"/>
          <w:szCs w:val="32"/>
          <w:highlight w:val="none"/>
        </w:rPr>
        <w:t>年度“三公”经费财政拨款支出决算中，公务接待费支出决算</w:t>
      </w:r>
      <w:r>
        <w:rPr>
          <w:rFonts w:hint="eastAsia" w:ascii="仿宋" w:hAnsi="仿宋" w:eastAsia="仿宋" w:cs="仿宋"/>
          <w:sz w:val="32"/>
          <w:szCs w:val="32"/>
          <w:highlight w:val="none"/>
          <w:lang w:val="en-US" w:eastAsia="zh-CN"/>
        </w:rPr>
        <w:t>10.55</w:t>
      </w:r>
      <w:r>
        <w:rPr>
          <w:rFonts w:hint="eastAsia" w:ascii="仿宋" w:hAnsi="仿宋" w:eastAsia="仿宋" w:cs="仿宋"/>
          <w:sz w:val="32"/>
          <w:szCs w:val="32"/>
          <w:highlight w:val="none"/>
        </w:rPr>
        <w:t>万元，占</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%,因公出国（境）费支出决算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万元，公务用车购置费及运行维护费支出决算</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万元。其中：</w:t>
      </w:r>
    </w:p>
    <w:p w14:paraId="4905CB35">
      <w:pPr>
        <w:pStyle w:val="15"/>
        <w:numPr>
          <w:ilvl w:val="0"/>
          <w:numId w:val="2"/>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因公出国（境）费支出决算为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万元，全年安排因公出国（境）团组</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个，累计</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人次</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全年</w:t>
      </w:r>
      <w:r>
        <w:rPr>
          <w:rFonts w:hint="eastAsia" w:ascii="仿宋" w:hAnsi="仿宋" w:eastAsia="仿宋" w:cs="仿宋"/>
          <w:sz w:val="32"/>
          <w:szCs w:val="32"/>
          <w:highlight w:val="none"/>
          <w:lang w:val="en-US" w:eastAsia="zh-CN"/>
        </w:rPr>
        <w:t>无人员出国</w:t>
      </w:r>
      <w:r>
        <w:rPr>
          <w:rFonts w:hint="eastAsia" w:ascii="仿宋" w:hAnsi="仿宋" w:eastAsia="仿宋" w:cs="仿宋"/>
          <w:sz w:val="32"/>
          <w:szCs w:val="32"/>
          <w:highlight w:val="none"/>
        </w:rPr>
        <w:t>（境）</w:t>
      </w:r>
      <w:r>
        <w:rPr>
          <w:rFonts w:hint="eastAsia" w:ascii="仿宋" w:hAnsi="仿宋" w:eastAsia="仿宋" w:cs="仿宋"/>
          <w:sz w:val="32"/>
          <w:szCs w:val="32"/>
          <w:highlight w:val="none"/>
          <w:lang w:val="en-US" w:eastAsia="zh-CN"/>
        </w:rPr>
        <w:t>。</w:t>
      </w:r>
    </w:p>
    <w:p w14:paraId="73A01D90">
      <w:pPr>
        <w:pStyle w:val="15"/>
        <w:numPr>
          <w:ilvl w:val="0"/>
          <w:numId w:val="2"/>
        </w:numPr>
        <w:ind w:firstLine="640" w:firstLineChars="200"/>
        <w:rPr>
          <w:rFonts w:hint="eastAsia" w:ascii="仿宋" w:hAnsi="仿宋" w:eastAsia="仿宋" w:cs="仿宋"/>
          <w:sz w:val="32"/>
          <w:szCs w:val="32"/>
          <w:highlight w:val="none"/>
        </w:rPr>
      </w:pPr>
      <w:r>
        <w:rPr>
          <w:rFonts w:hint="eastAsia" w:ascii="仿宋" w:hAnsi="仿宋" w:eastAsia="仿宋" w:cs="仿宋"/>
          <w:sz w:val="32"/>
          <w:szCs w:val="32"/>
          <w:highlight w:val="none"/>
        </w:rPr>
        <w:t>公务接待费支出决算为</w:t>
      </w:r>
      <w:r>
        <w:rPr>
          <w:rFonts w:hint="eastAsia" w:ascii="仿宋" w:hAnsi="仿宋" w:eastAsia="仿宋" w:cs="仿宋"/>
          <w:sz w:val="32"/>
          <w:szCs w:val="32"/>
          <w:highlight w:val="none"/>
          <w:lang w:val="en-US" w:eastAsia="zh-CN"/>
        </w:rPr>
        <w:t>10.55</w:t>
      </w:r>
      <w:r>
        <w:rPr>
          <w:rFonts w:hint="eastAsia" w:ascii="仿宋" w:hAnsi="仿宋" w:eastAsia="仿宋" w:cs="仿宋"/>
          <w:sz w:val="32"/>
          <w:szCs w:val="32"/>
          <w:highlight w:val="none"/>
        </w:rPr>
        <w:t>万元，全年共接待来访团组</w:t>
      </w:r>
      <w:r>
        <w:rPr>
          <w:rFonts w:hint="eastAsia" w:ascii="仿宋" w:hAnsi="仿宋" w:eastAsia="仿宋" w:cs="仿宋"/>
          <w:sz w:val="32"/>
          <w:szCs w:val="32"/>
          <w:highlight w:val="none"/>
          <w:lang w:val="en-US" w:eastAsia="zh-CN"/>
        </w:rPr>
        <w:t>72</w:t>
      </w:r>
      <w:r>
        <w:rPr>
          <w:rFonts w:hint="eastAsia" w:ascii="仿宋" w:hAnsi="仿宋" w:eastAsia="仿宋" w:cs="仿宋"/>
          <w:sz w:val="32"/>
          <w:szCs w:val="32"/>
          <w:highlight w:val="none"/>
        </w:rPr>
        <w:t>个、来宾</w:t>
      </w:r>
      <w:r>
        <w:rPr>
          <w:rFonts w:hint="eastAsia" w:ascii="仿宋" w:hAnsi="仿宋" w:eastAsia="仿宋" w:cs="仿宋"/>
          <w:sz w:val="32"/>
          <w:szCs w:val="32"/>
          <w:highlight w:val="none"/>
          <w:lang w:val="en-US" w:eastAsia="zh-CN"/>
        </w:rPr>
        <w:t>812</w:t>
      </w:r>
      <w:r>
        <w:rPr>
          <w:rFonts w:hint="eastAsia" w:ascii="仿宋" w:hAnsi="仿宋" w:eastAsia="仿宋" w:cs="仿宋"/>
          <w:sz w:val="32"/>
          <w:szCs w:val="32"/>
          <w:highlight w:val="none"/>
        </w:rPr>
        <w:t>人次，主要是</w:t>
      </w:r>
      <w:r>
        <w:rPr>
          <w:rFonts w:hint="eastAsia" w:ascii="仿宋" w:hAnsi="仿宋" w:eastAsia="仿宋" w:cs="仿宋"/>
          <w:sz w:val="32"/>
          <w:szCs w:val="32"/>
          <w:highlight w:val="none"/>
          <w:lang w:val="en-US" w:eastAsia="zh-CN"/>
        </w:rPr>
        <w:t>开展公务活动</w:t>
      </w:r>
      <w:r>
        <w:rPr>
          <w:rFonts w:hint="eastAsia" w:ascii="仿宋" w:hAnsi="仿宋" w:eastAsia="仿宋" w:cs="仿宋"/>
          <w:sz w:val="32"/>
          <w:szCs w:val="32"/>
          <w:highlight w:val="none"/>
        </w:rPr>
        <w:t>发生的接待支出。</w:t>
      </w:r>
    </w:p>
    <w:p w14:paraId="01E890F1">
      <w:pPr>
        <w:pStyle w:val="15"/>
        <w:numPr>
          <w:ilvl w:val="0"/>
          <w:numId w:val="2"/>
        </w:num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公务用车购置费及运行维护费支出决算为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万元，其中：公务用车购置费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万元，更新公务用车</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辆。公务用车运行维护费</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万元，截止202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年12月31日，我单位开支财政拨款的公务用车保有量为</w:t>
      </w:r>
      <w:r>
        <w:rPr>
          <w:rFonts w:hint="eastAsia" w:ascii="仿宋" w:hAnsi="仿宋" w:eastAsia="仿宋" w:cs="仿宋"/>
          <w:sz w:val="32"/>
          <w:szCs w:val="32"/>
          <w:highlight w:val="none"/>
          <w:lang w:val="en-US" w:eastAsia="zh-CN"/>
        </w:rPr>
        <w:t>0</w:t>
      </w:r>
      <w:r>
        <w:rPr>
          <w:rFonts w:hint="eastAsia" w:ascii="仿宋" w:hAnsi="仿宋" w:eastAsia="仿宋" w:cs="仿宋"/>
          <w:sz w:val="32"/>
          <w:szCs w:val="32"/>
          <w:highlight w:val="none"/>
        </w:rPr>
        <w:t>辆。</w:t>
      </w:r>
    </w:p>
    <w:p w14:paraId="775FC7D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八、政府性基金预算收入支出决算情况</w:t>
      </w:r>
    </w:p>
    <w:p w14:paraId="1FF26BC8">
      <w:pPr>
        <w:pStyle w:val="15"/>
        <w:ind w:firstLine="640" w:firstLineChars="200"/>
        <w:rPr>
          <w:rFonts w:asciiTheme="minorEastAsia" w:hAnsiTheme="minorEastAsia" w:eastAsiaTheme="minorEastAsia"/>
          <w:sz w:val="32"/>
          <w:szCs w:val="32"/>
          <w:highlight w:val="none"/>
        </w:rPr>
      </w:pPr>
      <w:r>
        <w:rPr>
          <w:rFonts w:hint="eastAsia" w:asciiTheme="minorEastAsia" w:hAnsiTheme="minorEastAsia" w:eastAsiaTheme="minorEastAsia"/>
          <w:sz w:val="32"/>
          <w:szCs w:val="32"/>
          <w:highlight w:val="none"/>
        </w:rPr>
        <w:t xml:space="preserve"> </w:t>
      </w:r>
      <w:r>
        <w:rPr>
          <w:rFonts w:hint="eastAsia" w:ascii="仿宋" w:hAnsi="仿宋" w:eastAsia="仿宋" w:cs="仿宋"/>
          <w:sz w:val="32"/>
          <w:szCs w:val="32"/>
          <w:highlight w:val="none"/>
        </w:rPr>
        <w:t>本单位无政府性基金收支。</w:t>
      </w:r>
    </w:p>
    <w:p w14:paraId="508F97BF">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九、关于机关运行经费支出说明</w:t>
      </w:r>
    </w:p>
    <w:p w14:paraId="4F95362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本部门</w:t>
      </w: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年度机关运行经费支出</w:t>
      </w:r>
      <w:r>
        <w:rPr>
          <w:rFonts w:hint="eastAsia" w:ascii="Times New Roman" w:hAnsi="Times New Roman" w:eastAsia="仿宋_GB2312"/>
          <w:sz w:val="32"/>
          <w:szCs w:val="32"/>
          <w:highlight w:val="none"/>
          <w:lang w:val="en-US" w:eastAsia="zh-CN"/>
        </w:rPr>
        <w:t>101.65</w:t>
      </w:r>
      <w:r>
        <w:rPr>
          <w:rFonts w:hint="eastAsia" w:ascii="Times New Roman" w:hAnsi="Times New Roman" w:eastAsia="仿宋_GB2312"/>
          <w:sz w:val="32"/>
          <w:szCs w:val="32"/>
          <w:highlight w:val="none"/>
        </w:rPr>
        <w:t>万元，比</w:t>
      </w:r>
      <w:r>
        <w:rPr>
          <w:rFonts w:hint="eastAsia" w:ascii="Times New Roman" w:hAnsi="Times New Roman" w:eastAsia="仿宋_GB2312"/>
          <w:sz w:val="32"/>
          <w:szCs w:val="32"/>
          <w:highlight w:val="none"/>
          <w:lang w:eastAsia="zh-CN"/>
        </w:rPr>
        <w:t>上年决算数减少</w:t>
      </w:r>
      <w:r>
        <w:rPr>
          <w:rFonts w:hint="eastAsia" w:ascii="Times New Roman" w:hAnsi="Times New Roman" w:eastAsia="仿宋_GB2312"/>
          <w:sz w:val="32"/>
          <w:szCs w:val="32"/>
          <w:highlight w:val="none"/>
          <w:lang w:val="en-US" w:eastAsia="zh-CN"/>
        </w:rPr>
        <w:t>283.86</w:t>
      </w:r>
      <w:r>
        <w:rPr>
          <w:rFonts w:hint="eastAsia" w:ascii="Times New Roman" w:hAnsi="Times New Roman" w:eastAsia="仿宋_GB2312"/>
          <w:sz w:val="32"/>
          <w:szCs w:val="32"/>
          <w:highlight w:val="none"/>
        </w:rPr>
        <w:t>万元，降低</w:t>
      </w:r>
      <w:r>
        <w:rPr>
          <w:rFonts w:hint="eastAsia" w:ascii="Times New Roman" w:hAnsi="Times New Roman" w:eastAsia="仿宋_GB2312"/>
          <w:sz w:val="32"/>
          <w:szCs w:val="32"/>
          <w:highlight w:val="none"/>
          <w:lang w:val="en-US" w:eastAsia="zh-CN"/>
        </w:rPr>
        <w:t>73.63</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eastAsia="zh-CN"/>
        </w:rPr>
        <w:t>项目编制、规划咨询、委托业务等费用有所减少</w:t>
      </w:r>
      <w:r>
        <w:rPr>
          <w:rFonts w:hint="eastAsia" w:ascii="Times New Roman" w:hAnsi="Times New Roman" w:eastAsia="仿宋_GB2312"/>
          <w:sz w:val="32"/>
          <w:szCs w:val="32"/>
          <w:highlight w:val="none"/>
        </w:rPr>
        <w:t>。</w:t>
      </w:r>
    </w:p>
    <w:p w14:paraId="57DBD5B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十、一般性支出情况说明</w:t>
      </w:r>
    </w:p>
    <w:p w14:paraId="701BA262">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bookmarkStart w:id="19" w:name="OLE_LINK39"/>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年本部门开支会议费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万元，用于召开</w:t>
      </w:r>
      <w:r>
        <w:rPr>
          <w:rFonts w:hint="eastAsia" w:ascii="Times New Roman" w:hAnsi="Times New Roman" w:eastAsia="仿宋_GB2312"/>
          <w:sz w:val="32"/>
          <w:szCs w:val="32"/>
          <w:highlight w:val="none"/>
          <w:lang w:val="en-US" w:eastAsia="zh-CN"/>
        </w:rPr>
        <w:t>0次</w:t>
      </w:r>
      <w:r>
        <w:rPr>
          <w:rFonts w:hint="eastAsia" w:ascii="Times New Roman" w:hAnsi="Times New Roman" w:eastAsia="仿宋_GB2312"/>
          <w:sz w:val="32"/>
          <w:szCs w:val="32"/>
          <w:highlight w:val="none"/>
        </w:rPr>
        <w:t>会议，人数</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人；</w:t>
      </w:r>
    </w:p>
    <w:p w14:paraId="044D8B2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开支培训费</w:t>
      </w:r>
      <w:r>
        <w:rPr>
          <w:rFonts w:hint="eastAsia" w:ascii="Times New Roman" w:hAnsi="Times New Roman" w:eastAsia="仿宋_GB2312"/>
          <w:sz w:val="32"/>
          <w:szCs w:val="32"/>
          <w:highlight w:val="none"/>
          <w:lang w:val="en-US" w:eastAsia="zh-CN"/>
        </w:rPr>
        <w:t>1.49</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用于</w:t>
      </w:r>
      <w:bookmarkStart w:id="20" w:name="OLE_LINK4"/>
      <w:r>
        <w:rPr>
          <w:rFonts w:hint="eastAsia" w:ascii="Times New Roman" w:hAnsi="Times New Roman" w:eastAsia="仿宋_GB2312"/>
          <w:sz w:val="32"/>
          <w:szCs w:val="32"/>
          <w:highlight w:val="none"/>
          <w:lang w:eastAsia="zh-CN"/>
        </w:rPr>
        <w:t>干部职工参加职称考试网络培训学习</w:t>
      </w:r>
      <w:bookmarkEnd w:id="20"/>
      <w:r>
        <w:rPr>
          <w:rFonts w:hint="eastAsia" w:ascii="Times New Roman" w:hAnsi="Times New Roman" w:eastAsia="仿宋_GB2312"/>
          <w:sz w:val="32"/>
          <w:szCs w:val="32"/>
          <w:highlight w:val="none"/>
          <w:lang w:eastAsia="zh-CN"/>
        </w:rPr>
        <w:t>，参加人数</w:t>
      </w:r>
      <w:r>
        <w:rPr>
          <w:rFonts w:hint="eastAsia" w:ascii="Times New Roman" w:hAnsi="Times New Roman" w:eastAsia="仿宋_GB2312"/>
          <w:sz w:val="32"/>
          <w:szCs w:val="32"/>
          <w:highlight w:val="none"/>
          <w:lang w:val="en-US" w:eastAsia="zh-CN"/>
        </w:rPr>
        <w:t>35人次，内容为</w:t>
      </w:r>
      <w:r>
        <w:rPr>
          <w:rFonts w:hint="eastAsia" w:ascii="Times New Roman" w:hAnsi="Times New Roman" w:eastAsia="仿宋_GB2312"/>
          <w:sz w:val="32"/>
          <w:szCs w:val="32"/>
          <w:highlight w:val="none"/>
          <w:lang w:eastAsia="zh-CN"/>
        </w:rPr>
        <w:t>干部职工参加职称考试网络培训学习</w:t>
      </w:r>
      <w:r>
        <w:rPr>
          <w:rFonts w:hint="eastAsia" w:ascii="Times New Roman" w:hAnsi="Times New Roman" w:eastAsia="仿宋_GB2312"/>
          <w:sz w:val="32"/>
          <w:szCs w:val="32"/>
          <w:highlight w:val="none"/>
        </w:rPr>
        <w:t>；</w:t>
      </w:r>
    </w:p>
    <w:p w14:paraId="5055C27C">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举办</w:t>
      </w:r>
      <w:r>
        <w:rPr>
          <w:rFonts w:hint="eastAsia" w:ascii="Times New Roman" w:hAnsi="Times New Roman" w:eastAsia="仿宋_GB2312"/>
          <w:sz w:val="32"/>
          <w:szCs w:val="32"/>
          <w:highlight w:val="none"/>
          <w:lang w:val="en-US" w:eastAsia="zh-CN"/>
        </w:rPr>
        <w:t>0次</w:t>
      </w:r>
      <w:r>
        <w:rPr>
          <w:rFonts w:hint="eastAsia" w:ascii="Times New Roman" w:hAnsi="Times New Roman" w:eastAsia="仿宋_GB2312"/>
          <w:sz w:val="32"/>
          <w:szCs w:val="32"/>
          <w:highlight w:val="none"/>
        </w:rPr>
        <w:t>节庆、晚会、论坛、赛事活动，开支</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bookmarkEnd w:id="19"/>
      <w:r>
        <w:rPr>
          <w:rFonts w:hint="eastAsia" w:ascii="Times New Roman" w:hAnsi="Times New Roman" w:eastAsia="仿宋_GB2312"/>
          <w:sz w:val="32"/>
          <w:szCs w:val="32"/>
          <w:highlight w:val="none"/>
        </w:rPr>
        <w:t>；</w:t>
      </w:r>
    </w:p>
    <w:p w14:paraId="720B78D7">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十一、关于政府采购支出说明</w:t>
      </w:r>
    </w:p>
    <w:p w14:paraId="32CAD0ED">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本部门</w:t>
      </w: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36.42</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36.42</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万元、政府采购服务支出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万元。授予中小企业合同金额</w:t>
      </w:r>
      <w:bookmarkStart w:id="21" w:name="OLE_LINK8"/>
      <w:r>
        <w:rPr>
          <w:rFonts w:hint="eastAsia" w:ascii="Times New Roman" w:hAnsi="Times New Roman" w:eastAsia="仿宋_GB2312"/>
          <w:sz w:val="32"/>
          <w:szCs w:val="32"/>
          <w:highlight w:val="none"/>
          <w:lang w:val="en-US" w:eastAsia="zh-CN"/>
        </w:rPr>
        <w:t>36.62</w:t>
      </w:r>
      <w:bookmarkEnd w:id="21"/>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36.62</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%。货物采购授予中小企业合同金额占货物支出金额的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%，工程采购授予中小企业合同金额占工程支出金额的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%，服务采购授予中小企业合同金额占服务支出金额的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w:t>
      </w:r>
    </w:p>
    <w:p w14:paraId="2DC26FCB">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bCs w:val="0"/>
          <w:sz w:val="32"/>
          <w:szCs w:val="32"/>
          <w:highlight w:val="none"/>
        </w:rPr>
      </w:pPr>
      <w:r>
        <w:rPr>
          <w:rFonts w:hint="eastAsia" w:ascii="黑体" w:hAnsi="黑体" w:eastAsia="黑体" w:cs="黑体"/>
          <w:b/>
          <w:bCs w:val="0"/>
          <w:sz w:val="32"/>
          <w:szCs w:val="32"/>
          <w:highlight w:val="none"/>
        </w:rPr>
        <w:t>十二、关于国有资产占用情况说明</w:t>
      </w:r>
    </w:p>
    <w:p w14:paraId="14B2ED93">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截至</w:t>
      </w:r>
      <w:r>
        <w:rPr>
          <w:rFonts w:hint="eastAsia" w:ascii="Times New Roman" w:hAnsi="Times New Roman" w:eastAsia="仿宋_GB2312"/>
          <w:sz w:val="32"/>
          <w:szCs w:val="32"/>
          <w:highlight w:val="none"/>
          <w:lang w:eastAsia="zh-CN"/>
        </w:rPr>
        <w:t>2023</w:t>
      </w:r>
      <w:r>
        <w:rPr>
          <w:rFonts w:hint="eastAsia" w:ascii="Times New Roman" w:hAnsi="Times New Roman" w:eastAsia="仿宋_GB2312"/>
          <w:sz w:val="32"/>
          <w:szCs w:val="32"/>
          <w:highlight w:val="none"/>
        </w:rPr>
        <w:t>年12月31日，本单位共有车辆</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辆，其中，主要领导干部用车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辆，机要通信用车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辆、应急保障用车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辆、执法执勤用车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辆、特种专业技术用车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辆、其他用车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辆；单位价值50万元以上通用设备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台（套）；单位价值100万元以上专用设备</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台（套）。</w:t>
      </w:r>
    </w:p>
    <w:p w14:paraId="239C7C51">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bCs w:val="0"/>
          <w:sz w:val="32"/>
          <w:szCs w:val="32"/>
          <w:highlight w:val="none"/>
        </w:rPr>
        <w:t>十三、关于</w:t>
      </w:r>
      <w:r>
        <w:rPr>
          <w:rFonts w:hint="eastAsia" w:hAnsi="黑体" w:cs="黑体"/>
          <w:b/>
          <w:bCs w:val="0"/>
          <w:sz w:val="32"/>
          <w:szCs w:val="32"/>
          <w:highlight w:val="none"/>
          <w:lang w:eastAsia="zh-CN"/>
        </w:rPr>
        <w:t>2023</w:t>
      </w:r>
      <w:r>
        <w:rPr>
          <w:rFonts w:hint="eastAsia" w:ascii="黑体" w:hAnsi="黑体" w:eastAsia="黑体" w:cs="黑体"/>
          <w:b/>
          <w:bCs w:val="0"/>
          <w:sz w:val="32"/>
          <w:szCs w:val="32"/>
          <w:highlight w:val="none"/>
        </w:rPr>
        <w:t>年度预算绩效情况的说明</w:t>
      </w:r>
    </w:p>
    <w:p w14:paraId="6095A23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lang w:eastAsia="zh-CN"/>
        </w:rPr>
      </w:pPr>
      <w:bookmarkStart w:id="22" w:name="OLE_LINK13"/>
      <w:bookmarkStart w:id="23" w:name="OLE_LINK50"/>
      <w:bookmarkStart w:id="24" w:name="OLE_LINK45"/>
      <w:bookmarkStart w:id="25" w:name="OLE_LINK52"/>
      <w:bookmarkStart w:id="26" w:name="OLE_LINK28"/>
      <w:bookmarkStart w:id="27" w:name="OLE_LINK14"/>
      <w:r>
        <w:rPr>
          <w:rFonts w:hint="eastAsia" w:ascii="楷体" w:hAnsi="楷体" w:eastAsia="楷体" w:cs="楷体"/>
          <w:b/>
          <w:bCs/>
          <w:sz w:val="32"/>
          <w:szCs w:val="32"/>
          <w:highlight w:val="none"/>
          <w:lang w:eastAsia="zh-CN"/>
        </w:rPr>
        <w:t>（一）</w:t>
      </w:r>
      <w:bookmarkStart w:id="28" w:name="OLE_LINK5"/>
      <w:r>
        <w:rPr>
          <w:rFonts w:hint="eastAsia" w:ascii="楷体" w:hAnsi="楷体" w:eastAsia="楷体" w:cs="楷体"/>
          <w:b/>
          <w:bCs/>
          <w:sz w:val="32"/>
          <w:szCs w:val="32"/>
          <w:highlight w:val="none"/>
          <w:lang w:eastAsia="zh-CN"/>
        </w:rPr>
        <w:t>绩效管理工作开展情况</w:t>
      </w:r>
      <w:bookmarkEnd w:id="22"/>
      <w:bookmarkEnd w:id="28"/>
    </w:p>
    <w:p w14:paraId="33221484">
      <w:pPr>
        <w:pStyle w:val="15"/>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bookmarkStart w:id="29" w:name="OLE_LINK40"/>
      <w:r>
        <w:rPr>
          <w:rFonts w:hint="eastAsia" w:ascii="Times New Roman" w:hAnsi="Times New Roman" w:eastAsia="仿宋_GB2312"/>
          <w:sz w:val="32"/>
          <w:szCs w:val="32"/>
          <w:highlight w:val="none"/>
          <w:lang w:eastAsia="zh-CN"/>
        </w:rPr>
        <w:t>2023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23"/>
      <w:r>
        <w:rPr>
          <w:rFonts w:hint="eastAsia" w:ascii="Times New Roman" w:hAnsi="Times New Roman" w:eastAsia="仿宋_GB2312"/>
          <w:sz w:val="32"/>
          <w:szCs w:val="32"/>
          <w:highlight w:val="none"/>
          <w:lang w:eastAsia="zh-CN"/>
        </w:rPr>
        <w:t>。</w:t>
      </w:r>
      <w:bookmarkEnd w:id="29"/>
    </w:p>
    <w:bookmarkEnd w:id="24"/>
    <w:p w14:paraId="353E2F76">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bookmarkStart w:id="30" w:name="OLE_LINK46"/>
      <w:bookmarkStart w:id="31" w:name="OLE_LINK51"/>
      <w:r>
        <w:rPr>
          <w:rFonts w:hint="eastAsia" w:ascii="楷体" w:hAnsi="楷体" w:eastAsia="楷体" w:cs="楷体"/>
          <w:b/>
          <w:bCs/>
          <w:sz w:val="32"/>
          <w:szCs w:val="32"/>
          <w:highlight w:val="none"/>
          <w:lang w:eastAsia="zh-CN"/>
        </w:rPr>
        <w:t>（二）</w:t>
      </w:r>
      <w:bookmarkStart w:id="32" w:name="OLE_LINK6"/>
      <w:r>
        <w:rPr>
          <w:rFonts w:hint="eastAsia" w:ascii="楷体" w:hAnsi="楷体" w:eastAsia="楷体" w:cs="楷体"/>
          <w:b/>
          <w:bCs/>
          <w:sz w:val="32"/>
          <w:szCs w:val="32"/>
          <w:highlight w:val="none"/>
        </w:rPr>
        <w:t>部门</w:t>
      </w:r>
      <w:r>
        <w:rPr>
          <w:rFonts w:hint="eastAsia" w:ascii="楷体" w:hAnsi="楷体" w:eastAsia="楷体" w:cs="楷体"/>
          <w:b/>
          <w:bCs/>
          <w:sz w:val="32"/>
          <w:szCs w:val="32"/>
          <w:highlight w:val="none"/>
          <w:lang w:eastAsia="zh-CN"/>
        </w:rPr>
        <w:t>（单位）</w:t>
      </w:r>
      <w:r>
        <w:rPr>
          <w:rFonts w:hint="eastAsia" w:ascii="楷体" w:hAnsi="楷体" w:eastAsia="楷体" w:cs="楷体"/>
          <w:b/>
          <w:bCs/>
          <w:sz w:val="32"/>
          <w:szCs w:val="32"/>
          <w:highlight w:val="none"/>
        </w:rPr>
        <w:t>整体支出绩效情况</w:t>
      </w:r>
      <w:bookmarkEnd w:id="32"/>
    </w:p>
    <w:bookmarkEnd w:id="30"/>
    <w:p w14:paraId="1D42E9B4">
      <w:pPr>
        <w:widowControl/>
        <w:shd w:val="clear"/>
        <w:spacing w:line="600" w:lineRule="exact"/>
        <w:ind w:firstLine="640" w:firstLineChars="200"/>
        <w:rPr>
          <w:rFonts w:hint="eastAsia" w:ascii="仿宋" w:hAnsi="仿宋" w:eastAsia="仿宋"/>
          <w:b/>
          <w:sz w:val="32"/>
          <w:szCs w:val="32"/>
          <w:lang w:eastAsia="zh-CN"/>
        </w:rPr>
      </w:pPr>
      <w:r>
        <w:rPr>
          <w:rFonts w:hint="eastAsia" w:ascii="仿宋" w:hAnsi="仿宋" w:eastAsia="仿宋"/>
          <w:b/>
          <w:sz w:val="32"/>
          <w:szCs w:val="32"/>
          <w:lang w:eastAsia="zh-CN"/>
        </w:rPr>
        <w:t>一、部门履职情况分析</w:t>
      </w:r>
    </w:p>
    <w:p w14:paraId="68CF9AB2">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color w:val="auto"/>
          <w:kern w:val="2"/>
          <w:sz w:val="32"/>
          <w:szCs w:val="32"/>
          <w:lang w:val="en-US" w:eastAsia="zh-CN" w:bidi="ar-SA"/>
        </w:rPr>
        <w:t>积极做好争资争项。</w:t>
      </w:r>
      <w:r>
        <w:rPr>
          <w:rFonts w:hint="eastAsia" w:ascii="仿宋_GB2312" w:hAnsi="仿宋_GB2312" w:eastAsia="仿宋_GB2312" w:cs="仿宋_GB2312"/>
          <w:color w:val="auto"/>
          <w:kern w:val="0"/>
          <w:sz w:val="32"/>
          <w:szCs w:val="32"/>
          <w:lang w:val="en-US" w:eastAsia="zh-CN" w:bidi="ar-SA"/>
        </w:rPr>
        <w:t>积极向上申报项目资金，谋划储备中央、省预算内和地方政府专项债券项目45个，总投资50.61亿元；新增国债项目47个，总投资25.68亿元；超长周期国债项目31个，总投资45.23亿元；乡村振兴基础设施、重大产业和重大基础设施、省级重点招商引资等项目188个，总投资超过1000亿元。做好能源开发工作，龙庄湾、低庄2家风电都已签订投资开发合作协议，正在做用地预审、水土保持、可研编制等核准前的准备工作，各风电场测风塔都已设立完成，现正在进行测风数据的收集。初步风机点位预选址已经完成，正在进行敏感性因素的排查。江口抽水蓄能项目完成了初步分析报告并提交申报资料。</w:t>
      </w:r>
    </w:p>
    <w:p w14:paraId="742C8C5A">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.大力推进项目投资。</w:t>
      </w:r>
      <w:r>
        <w:rPr>
          <w:rFonts w:hint="eastAsia" w:ascii="仿宋_GB2312" w:hAnsi="仿宋_GB2312" w:eastAsia="仿宋_GB2312" w:cs="仿宋_GB2312"/>
          <w:color w:val="auto"/>
          <w:kern w:val="0"/>
          <w:sz w:val="32"/>
          <w:szCs w:val="32"/>
          <w:lang w:val="en-US" w:eastAsia="zh-CN" w:bidi="ar-SA"/>
        </w:rPr>
        <w:t>省、市重点分别完成投资11.67亿元、45.67亿元。其中：省级重点项目完成年度投资计划的145.81%；市级重点项目完成年度计划投资的114.82%。全力推进“贯彻二十大锚定新目标奋力闯创干”活动开展，在全市活动综合评比中，在全市综合评比中，我县一、三季度分别获得全市第三、第二名。</w:t>
      </w:r>
    </w:p>
    <w:p w14:paraId="371E2614">
      <w:pPr>
        <w:pStyle w:val="10"/>
        <w:numPr>
          <w:ilvl w:val="0"/>
          <w:numId w:val="0"/>
        </w:numPr>
        <w:shd w:val="clear"/>
        <w:spacing w:before="0" w:beforeAutospacing="0" w:after="0" w:afterAutospacing="0"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3.不断夯实产业发展。</w:t>
      </w:r>
      <w:r>
        <w:rPr>
          <w:rFonts w:hint="eastAsia" w:ascii="仿宋_GB2312" w:hAnsi="仿宋_GB2312" w:eastAsia="仿宋_GB2312" w:cs="仿宋_GB2312"/>
          <w:color w:val="auto"/>
          <w:kern w:val="0"/>
          <w:sz w:val="32"/>
          <w:szCs w:val="32"/>
          <w:lang w:val="en-US" w:eastAsia="zh-CN" w:bidi="ar-SA"/>
        </w:rPr>
        <w:t>严格贯彻落实市、县有关构建现代产业发展新体系工作要求，大力发展先进制造业、绿色农产品及其加工业、商贸物流、文化旅游4大产业及细分的12条产业链（产业）。截至目前，产业链</w:t>
      </w:r>
      <w:r>
        <w:rPr>
          <w:rFonts w:hint="eastAsia" w:ascii="仿宋_GB2312" w:hAnsi="仿宋_GB2312" w:eastAsia="仿宋_GB2312" w:cs="仿宋_GB2312"/>
          <w:color w:val="auto"/>
          <w:sz w:val="32"/>
          <w:szCs w:val="32"/>
          <w:lang w:val="en-US" w:eastAsia="zh-CN"/>
        </w:rPr>
        <w:t>新签约项目30个，</w:t>
      </w:r>
      <w:r>
        <w:rPr>
          <w:rFonts w:hint="default" w:ascii="仿宋_GB2312" w:hAnsi="仿宋_GB2312" w:eastAsia="仿宋_GB2312" w:cs="仿宋_GB2312"/>
          <w:color w:val="auto"/>
          <w:sz w:val="32"/>
          <w:szCs w:val="32"/>
          <w:lang w:val="en-US" w:eastAsia="zh-CN"/>
        </w:rPr>
        <w:t>到位资金62.42亿元</w:t>
      </w:r>
      <w:r>
        <w:rPr>
          <w:rFonts w:hint="eastAsia" w:ascii="仿宋_GB2312" w:hAnsi="仿宋_GB2312" w:eastAsia="仿宋_GB2312" w:cs="仿宋_GB2312"/>
          <w:color w:val="auto"/>
          <w:sz w:val="32"/>
          <w:szCs w:val="32"/>
          <w:lang w:val="en-US" w:eastAsia="zh-CN"/>
        </w:rPr>
        <w:t>，其中10亿元以上项目2个，“三类500强”企业项目3个。</w:t>
      </w:r>
    </w:p>
    <w:p w14:paraId="258D14A1">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4、扎实开展价格管理。</w:t>
      </w:r>
      <w:r>
        <w:rPr>
          <w:rFonts w:hint="eastAsia" w:ascii="仿宋_GB2312" w:hAnsi="仿宋_GB2312" w:eastAsia="仿宋_GB2312" w:cs="仿宋_GB2312"/>
          <w:color w:val="auto"/>
          <w:kern w:val="0"/>
          <w:sz w:val="32"/>
          <w:szCs w:val="32"/>
          <w:lang w:val="en-US" w:eastAsia="zh-CN" w:bidi="ar-SA"/>
        </w:rPr>
        <w:t>牵头完成溆浦县2023年度农业水价综合改革工作，核定农业用水价格。完成了我县的民办非营利性学校学费、住宿费定价工作；完成我县公办幼儿园保教费标准的核定；指导2023年教育收费工作，并制定2023教育收费政策；核定了我县公办养老机构养老服务收费标准；完成了溆北佳苑、大汉名邸等小区的前期物业核价工作。开展7项常规农产品成本调查工作，完成6项价格成本监审工作，按时完成价格监测工作。完成司法机关涉案物价格认定200件，行政执法部门标的物询价12件；全面完成对2010—2022年存量案卷入库工作，2023年以来的业务全部网上办理。</w:t>
      </w:r>
    </w:p>
    <w:p w14:paraId="110001BD">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奋力</w:t>
      </w:r>
      <w:r>
        <w:rPr>
          <w:rFonts w:hint="eastAsia" w:ascii="楷体_GB2312" w:hAnsi="楷体_GB2312" w:eastAsia="楷体_GB2312" w:cs="楷体_GB2312"/>
          <w:b/>
          <w:bCs/>
          <w:sz w:val="32"/>
          <w:szCs w:val="32"/>
        </w:rPr>
        <w:t>做好粮食</w:t>
      </w:r>
      <w:r>
        <w:rPr>
          <w:rFonts w:hint="eastAsia" w:ascii="楷体_GB2312" w:hAnsi="楷体_GB2312" w:eastAsia="楷体_GB2312" w:cs="楷体_GB2312"/>
          <w:b/>
          <w:bCs/>
          <w:sz w:val="32"/>
          <w:szCs w:val="32"/>
          <w:lang w:eastAsia="zh-CN"/>
        </w:rPr>
        <w:t>保障</w:t>
      </w:r>
      <w:r>
        <w:rPr>
          <w:rFonts w:hint="eastAsia" w:ascii="楷体_GB2312" w:hAnsi="楷体_GB2312" w:eastAsia="楷体_GB2312" w:cs="楷体_GB2312"/>
          <w:b/>
          <w:bCs/>
          <w:sz w:val="32"/>
          <w:szCs w:val="32"/>
        </w:rPr>
        <w:t>。</w:t>
      </w:r>
      <w:r>
        <w:rPr>
          <w:rFonts w:hint="eastAsia" w:ascii="仿宋_GB2312" w:hAnsi="仿宋_GB2312" w:eastAsia="仿宋_GB2312" w:cs="仿宋_GB2312"/>
          <w:color w:val="auto"/>
          <w:kern w:val="0"/>
          <w:sz w:val="32"/>
          <w:szCs w:val="32"/>
          <w:lang w:val="en-US" w:eastAsia="zh-CN" w:bidi="ar-SA"/>
        </w:rPr>
        <w:t>加强地方储备管理，现有地方储备粮1.2万吨，粮食数量真实、质量良好、储存安全；省级储备粮3500吨全面完成轮换任务，县级储备粮3000吨，完成销售3000吨，收购1500吨；完成应急成品粮储备建设任务440吨；截至目前，实现粮油工业总产值2.24亿元；组织开展粮食库存、粮食销售出库、安全储粮和安全生产检查等专项检查5次；开展粮食购销领域专项整治工作，推进粮食监管信息化工作，持续做好军粮供应工作。</w:t>
      </w:r>
    </w:p>
    <w:p w14:paraId="7E55F2A8">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6.稳步推进易迁后扶。</w:t>
      </w:r>
      <w:r>
        <w:rPr>
          <w:rFonts w:hint="eastAsia" w:ascii="仿宋_GB2312" w:hAnsi="仿宋_GB2312" w:eastAsia="仿宋_GB2312" w:cs="仿宋_GB2312"/>
          <w:color w:val="auto"/>
          <w:kern w:val="0"/>
          <w:sz w:val="32"/>
          <w:szCs w:val="32"/>
          <w:lang w:val="en-US" w:eastAsia="zh-CN" w:bidi="ar-SA"/>
        </w:rPr>
        <w:t>抓好后续帮扶各项工作，全县5236户易地搬迁户产业奖补实现全覆盖，搬迁群众持续享受产业分红。今年来，</w:t>
      </w:r>
      <w:r>
        <w:rPr>
          <w:rFonts w:hint="eastAsia" w:ascii="仿宋_GB2312" w:hAnsi="仿宋_GB2312" w:eastAsia="仿宋_GB2312" w:cs="仿宋_GB2312"/>
          <w:b w:val="0"/>
          <w:bCs w:val="0"/>
          <w:color w:val="auto"/>
          <w:sz w:val="32"/>
          <w:szCs w:val="32"/>
          <w:lang w:val="en-US" w:eastAsia="zh-CN"/>
        </w:rPr>
        <w:t>在安置点所在地申报以工代赈项目4个，争取中央资金1959万元；申报湘</w:t>
      </w:r>
      <w:r>
        <w:rPr>
          <w:rFonts w:hint="eastAsia" w:ascii="仿宋_GB2312" w:hAnsi="仿宋_GB2312" w:eastAsia="仿宋_GB2312" w:cs="仿宋_GB2312"/>
          <w:color w:val="auto"/>
          <w:sz w:val="32"/>
          <w:szCs w:val="32"/>
          <w:lang w:val="en-US" w:eastAsia="zh-CN"/>
        </w:rPr>
        <w:t>西开发产业奖补项目</w:t>
      </w:r>
      <w:r>
        <w:rPr>
          <w:rFonts w:hint="eastAsia" w:ascii="仿宋_GB2312" w:hAnsi="仿宋_GB2312" w:eastAsia="仿宋_GB2312" w:cs="仿宋_GB2312"/>
          <w:b w:val="0"/>
          <w:bCs w:val="0"/>
          <w:color w:val="auto"/>
          <w:sz w:val="32"/>
          <w:szCs w:val="32"/>
          <w:lang w:val="en-US" w:eastAsia="zh-CN"/>
        </w:rPr>
        <w:t>2个</w:t>
      </w:r>
      <w:r>
        <w:rPr>
          <w:rFonts w:hint="eastAsia" w:ascii="仿宋_GB2312" w:hAnsi="仿宋_GB2312" w:eastAsia="仿宋_GB2312" w:cs="仿宋_GB2312"/>
          <w:color w:val="auto"/>
          <w:sz w:val="32"/>
          <w:szCs w:val="32"/>
          <w:lang w:val="en-US" w:eastAsia="zh-CN"/>
        </w:rPr>
        <w:t>，争取中央资金267万元。</w:t>
      </w:r>
      <w:r>
        <w:rPr>
          <w:rFonts w:hint="eastAsia" w:ascii="仿宋_GB2312" w:hAnsi="仿宋_GB2312" w:eastAsia="仿宋_GB2312" w:cs="仿宋_GB2312"/>
          <w:b w:val="0"/>
          <w:bCs w:val="0"/>
          <w:color w:val="auto"/>
          <w:sz w:val="32"/>
          <w:szCs w:val="32"/>
          <w:lang w:val="en-US" w:eastAsia="zh-CN"/>
        </w:rPr>
        <w:t>投入易地扶贫搬迁后续产业发展资金1130万元。整合资金</w:t>
      </w:r>
      <w:r>
        <w:rPr>
          <w:rFonts w:hint="eastAsia" w:ascii="仿宋_GB2312" w:hAnsi="仿宋_GB2312" w:eastAsia="仿宋_GB2312" w:cs="仿宋_GB2312"/>
          <w:bCs/>
          <w:color w:val="auto"/>
          <w:sz w:val="32"/>
          <w:szCs w:val="32"/>
          <w:lang w:val="en-US" w:eastAsia="zh-CN"/>
        </w:rPr>
        <w:t>174万元用于易地搬迁安置点配套设施的维护、提升。</w:t>
      </w:r>
    </w:p>
    <w:p w14:paraId="58564211">
      <w:pPr>
        <w:shd w:val="clear"/>
        <w:spacing w:line="600" w:lineRule="exact"/>
        <w:ind w:firstLine="640" w:firstLineChars="200"/>
        <w:rPr>
          <w:rFonts w:hint="default" w:ascii="仿宋" w:hAnsi="仿宋" w:eastAsia="仿宋" w:cs="仿宋_GB2312"/>
          <w:b/>
          <w:bCs/>
          <w:sz w:val="32"/>
          <w:szCs w:val="32"/>
          <w:lang w:val="en-US" w:eastAsia="zh-CN"/>
        </w:rPr>
      </w:pPr>
      <w:r>
        <w:rPr>
          <w:rFonts w:hint="eastAsia" w:ascii="仿宋" w:hAnsi="仿宋" w:eastAsia="仿宋" w:cs="仿宋_GB2312"/>
          <w:b/>
          <w:bCs/>
          <w:sz w:val="32"/>
          <w:szCs w:val="32"/>
          <w:lang w:eastAsia="zh-CN"/>
        </w:rPr>
        <w:t>二、经济效能分析</w:t>
      </w:r>
    </w:p>
    <w:p w14:paraId="205DB00C">
      <w:pPr>
        <w:widowControl/>
        <w:shd w:val="clear"/>
        <w:spacing w:line="600" w:lineRule="exact"/>
        <w:ind w:firstLine="640" w:firstLineChars="200"/>
        <w:rPr>
          <w:rFonts w:ascii="仿宋" w:hAnsi="仿宋" w:eastAsia="仿宋"/>
          <w:sz w:val="32"/>
          <w:szCs w:val="32"/>
        </w:rPr>
      </w:pPr>
      <w:r>
        <w:rPr>
          <w:rFonts w:hint="eastAsia" w:ascii="仿宋" w:hAnsi="仿宋" w:eastAsia="仿宋"/>
          <w:b/>
          <w:bCs/>
          <w:sz w:val="32"/>
          <w:szCs w:val="32"/>
          <w:lang w:val="en-US" w:eastAsia="zh-CN"/>
        </w:rPr>
        <w:t>1、</w:t>
      </w:r>
      <w:r>
        <w:rPr>
          <w:rFonts w:hint="eastAsia" w:ascii="仿宋" w:hAnsi="仿宋" w:eastAsia="仿宋"/>
          <w:b/>
          <w:bCs/>
          <w:sz w:val="32"/>
          <w:szCs w:val="32"/>
        </w:rPr>
        <w:t>机关节能降耗。</w:t>
      </w:r>
      <w:r>
        <w:rPr>
          <w:rFonts w:hint="eastAsia" w:ascii="仿宋" w:hAnsi="仿宋" w:eastAsia="仿宋"/>
          <w:sz w:val="32"/>
          <w:szCs w:val="32"/>
        </w:rPr>
        <w:t>一是严格用电管理。倡导在自然光照较好的条件下不使用照明灯具，使用照明工具时保证人走灯灭，杜绝“长明灯”等能耗空放现象；二是严格用水管理。人走</w:t>
      </w:r>
      <w:r>
        <w:rPr>
          <w:rFonts w:hint="eastAsia" w:ascii="仿宋" w:hAnsi="仿宋" w:eastAsia="仿宋"/>
          <w:sz w:val="32"/>
          <w:szCs w:val="32"/>
          <w:lang w:eastAsia="zh-CN"/>
        </w:rPr>
        <w:t>时</w:t>
      </w:r>
      <w:r>
        <w:rPr>
          <w:rFonts w:hint="eastAsia" w:ascii="仿宋" w:hAnsi="仿宋" w:eastAsia="仿宋"/>
          <w:sz w:val="32"/>
          <w:szCs w:val="32"/>
        </w:rPr>
        <w:t>及时关紧水龙头，杜绝“长流水”和“跑、冒、滴、漏”现象。三是推行无纸化办公。尽量利用网络传输文件，在电脑上修改文稿；打印材料时，提倡双面用纸。</w:t>
      </w:r>
    </w:p>
    <w:p w14:paraId="15459F43">
      <w:pPr>
        <w:pStyle w:val="10"/>
        <w:shd w:val="clear" w:color="auto"/>
        <w:spacing w:before="0" w:beforeAutospacing="0" w:after="0" w:afterAutospacing="0" w:line="480" w:lineRule="auto"/>
        <w:jc w:val="both"/>
        <w:rPr>
          <w:rFonts w:hint="eastAsia" w:ascii="仿宋" w:hAnsi="仿宋" w:eastAsia="仿宋"/>
          <w:sz w:val="32"/>
          <w:szCs w:val="32"/>
          <w:lang w:eastAsia="zh-CN"/>
        </w:rPr>
      </w:pPr>
      <w:r>
        <w:rPr>
          <w:rFonts w:hint="eastAsia" w:ascii="仿宋" w:hAnsi="仿宋" w:eastAsia="仿宋"/>
          <w:sz w:val="32"/>
          <w:szCs w:val="32"/>
          <w:lang w:eastAsia="zh-CN"/>
        </w:rPr>
        <w:t>　</w:t>
      </w:r>
      <w:r>
        <w:rPr>
          <w:rFonts w:hint="eastAsia" w:ascii="仿宋" w:hAnsi="仿宋" w:eastAsia="仿宋"/>
          <w:sz w:val="32"/>
          <w:szCs w:val="32"/>
          <w:lang w:val="en-US" w:eastAsia="zh-CN"/>
        </w:rPr>
        <w:t xml:space="preserve"> </w:t>
      </w:r>
      <w:r>
        <w:rPr>
          <w:rFonts w:hint="eastAsia" w:ascii="仿宋" w:hAnsi="仿宋" w:eastAsia="仿宋"/>
          <w:b/>
          <w:bCs/>
          <w:sz w:val="32"/>
          <w:szCs w:val="32"/>
          <w:lang w:val="en-US" w:eastAsia="zh-CN"/>
        </w:rPr>
        <w:t xml:space="preserve"> 2</w:t>
      </w:r>
      <w:r>
        <w:rPr>
          <w:rFonts w:hint="eastAsia" w:ascii="仿宋" w:hAnsi="仿宋" w:eastAsia="仿宋"/>
          <w:b/>
          <w:bCs/>
          <w:sz w:val="32"/>
          <w:szCs w:val="32"/>
        </w:rPr>
        <w:t>、行政审批提速。</w:t>
      </w:r>
      <w:r>
        <w:rPr>
          <w:rFonts w:hint="eastAsia" w:ascii="仿宋_GB2312" w:eastAsia="仿宋_GB2312"/>
          <w:kern w:val="0"/>
          <w:sz w:val="32"/>
          <w:szCs w:val="32"/>
        </w:rPr>
        <w:t>进一步精简审批程序，提高审批时效。</w:t>
      </w:r>
      <w:r>
        <w:rPr>
          <w:rFonts w:hint="eastAsia" w:ascii="仿宋_GB2312" w:hAnsi="仿宋_GB2312" w:eastAsia="仿宋_GB2312" w:cs="仿宋_GB2312"/>
          <w:color w:val="auto"/>
          <w:kern w:val="0"/>
          <w:sz w:val="32"/>
          <w:szCs w:val="32"/>
          <w:lang w:val="en-US" w:eastAsia="zh-CN" w:bidi="ar-SA"/>
        </w:rPr>
        <w:t>全年共完成审批、核准、备案项目262个，其中审批项目81个、核准项目4个、备案项目169个，项目概算审批8个。</w:t>
      </w:r>
    </w:p>
    <w:p w14:paraId="298B6C20">
      <w:pPr>
        <w:pStyle w:val="10"/>
        <w:shd w:val="clear" w:color="auto"/>
        <w:spacing w:before="0" w:beforeAutospacing="0" w:after="0" w:afterAutospacing="0" w:line="480" w:lineRule="auto"/>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 w:hAnsi="仿宋" w:eastAsia="仿宋"/>
          <w:b/>
          <w:bCs/>
          <w:sz w:val="32"/>
          <w:szCs w:val="32"/>
          <w:lang w:val="en-US" w:eastAsia="zh-CN"/>
        </w:rPr>
        <w:t xml:space="preserve"> 3、节能减排。</w:t>
      </w:r>
      <w:r>
        <w:rPr>
          <w:rFonts w:hint="eastAsia" w:ascii="仿宋_GB2312" w:eastAsia="仿宋_GB2312"/>
          <w:kern w:val="0"/>
          <w:sz w:val="32"/>
          <w:szCs w:val="32"/>
        </w:rPr>
        <w:t>积极开展节能监察工作，</w:t>
      </w:r>
      <w:r>
        <w:rPr>
          <w:rFonts w:hint="eastAsia" w:ascii="仿宋_GB2312" w:hAnsi="仿宋_GB2312" w:eastAsia="仿宋_GB2312" w:cs="仿宋_GB2312"/>
          <w:color w:val="auto"/>
          <w:kern w:val="0"/>
          <w:sz w:val="32"/>
          <w:szCs w:val="32"/>
          <w:lang w:val="en-US" w:eastAsia="zh-CN" w:bidi="ar-SA"/>
        </w:rPr>
        <w:t>协助和指导湖南鸿新实业按时通过基地建设项目的节能审查，如期完成投产任务；协助和指导我县江龙锰业有限责任公司35kt/a高纯锰生产线整体技改及配套中硅、低微碳锰铁生产线项目进行节能审查。做好能源领域安全监管工作，严格落实《发改局重大事故隐患专项排查整治2023行动方案》，对能源领域相关企业全覆盖式进行检查，未发生一起安全监管责任事故。狠抓信用信息归集、信用修复指导等事项，整理筛选《溆浦县2023年公共信用信息目录》，有序开展信用工作。</w:t>
      </w:r>
    </w:p>
    <w:p w14:paraId="7BBA5782">
      <w:pPr>
        <w:pStyle w:val="10"/>
        <w:shd w:val="clear" w:color="auto"/>
        <w:spacing w:before="0" w:beforeAutospacing="0" w:after="0" w:afterAutospacing="0" w:line="480" w:lineRule="auto"/>
        <w:ind w:firstLine="640" w:firstLineChars="200"/>
        <w:jc w:val="both"/>
        <w:rPr>
          <w:rFonts w:hint="eastAsia" w:ascii="仿宋" w:hAnsi="仿宋" w:eastAsia="仿宋"/>
          <w:b/>
          <w:sz w:val="32"/>
          <w:szCs w:val="32"/>
        </w:rPr>
      </w:pPr>
      <w:r>
        <w:rPr>
          <w:rFonts w:hint="eastAsia" w:ascii="仿宋" w:hAnsi="仿宋" w:eastAsia="仿宋"/>
          <w:b/>
          <w:sz w:val="32"/>
          <w:szCs w:val="32"/>
          <w:lang w:eastAsia="zh-CN"/>
        </w:rPr>
        <w:t>三、有效性</w:t>
      </w:r>
      <w:r>
        <w:rPr>
          <w:rFonts w:hint="eastAsia" w:ascii="仿宋" w:hAnsi="仿宋" w:eastAsia="仿宋"/>
          <w:b/>
          <w:sz w:val="32"/>
          <w:szCs w:val="32"/>
        </w:rPr>
        <w:t>分析</w:t>
      </w:r>
    </w:p>
    <w:p w14:paraId="370D9589">
      <w:pPr>
        <w:pStyle w:val="10"/>
        <w:shd w:val="clear"/>
        <w:spacing w:before="0" w:beforeAutospacing="0" w:after="0" w:afterAutospacing="0" w:line="60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 w:hAnsi="仿宋" w:eastAsia="仿宋"/>
          <w:b/>
          <w:bCs/>
          <w:sz w:val="32"/>
          <w:szCs w:val="32"/>
        </w:rPr>
        <w:t>1、</w:t>
      </w:r>
      <w:r>
        <w:rPr>
          <w:rFonts w:hint="eastAsia" w:ascii="仿宋" w:hAnsi="仿宋" w:eastAsia="仿宋"/>
          <w:b/>
          <w:bCs/>
          <w:sz w:val="32"/>
          <w:szCs w:val="32"/>
          <w:lang w:eastAsia="zh-CN"/>
        </w:rPr>
        <w:t>经济</w:t>
      </w:r>
      <w:r>
        <w:rPr>
          <w:rFonts w:hint="eastAsia" w:ascii="仿宋" w:hAnsi="仿宋" w:eastAsia="仿宋"/>
          <w:b/>
          <w:bCs/>
          <w:sz w:val="32"/>
          <w:szCs w:val="32"/>
        </w:rPr>
        <w:t>效益。</w:t>
      </w:r>
      <w:r>
        <w:rPr>
          <w:rFonts w:hint="eastAsia" w:ascii="仿宋_GB2312" w:hAnsi="仿宋_GB2312" w:eastAsia="仿宋_GB2312" w:cs="仿宋_GB2312"/>
          <w:color w:val="auto"/>
          <w:kern w:val="0"/>
          <w:sz w:val="32"/>
          <w:szCs w:val="32"/>
          <w:lang w:val="en-US" w:eastAsia="zh-CN" w:bidi="ar-SA"/>
        </w:rPr>
        <w:t>今年来，争取到位中央预算内投资、专项债券资金8.55亿元;全年固定资产投资同比增长8.5%，全市排名2；大力发展先进制造业、绿色农产品及其加工业、商贸物流、文化旅游4大产业及细分的12条产业链。产业链新引进项目30个，实现开工30个，实现投产11个，到位资金</w:t>
      </w:r>
      <w:r>
        <w:rPr>
          <w:rFonts w:hint="default" w:ascii="仿宋_GB2312" w:hAnsi="仿宋_GB2312" w:eastAsia="仿宋_GB2312" w:cs="仿宋_GB2312"/>
          <w:color w:val="auto"/>
          <w:sz w:val="32"/>
          <w:szCs w:val="32"/>
          <w:lang w:val="en-US" w:eastAsia="zh-CN"/>
        </w:rPr>
        <w:t>62.42</w:t>
      </w:r>
      <w:r>
        <w:rPr>
          <w:rFonts w:hint="eastAsia" w:ascii="仿宋_GB2312" w:hAnsi="仿宋_GB2312" w:eastAsia="仿宋_GB2312" w:cs="仿宋_GB2312"/>
          <w:color w:val="auto"/>
          <w:kern w:val="0"/>
          <w:sz w:val="32"/>
          <w:szCs w:val="32"/>
          <w:lang w:val="en-US" w:eastAsia="zh-CN" w:bidi="ar-SA"/>
        </w:rPr>
        <w:t>亿元左右。</w:t>
      </w:r>
    </w:p>
    <w:p w14:paraId="38853D4D">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highlight w:val="none"/>
        </w:rPr>
      </w:pPr>
      <w:r>
        <w:rPr>
          <w:rFonts w:hint="eastAsia" w:ascii="仿宋" w:hAnsi="仿宋" w:eastAsia="仿宋" w:cs="仿宋"/>
          <w:b/>
          <w:bCs/>
          <w:color w:val="000000"/>
          <w:sz w:val="32"/>
          <w:szCs w:val="32"/>
          <w:shd w:val="clear" w:color="auto" w:fill="FFFFFF"/>
          <w:lang w:val="en-US" w:eastAsia="zh-CN"/>
        </w:rPr>
        <w:t>2、社会效益。</w:t>
      </w:r>
      <w:r>
        <w:rPr>
          <w:rFonts w:hint="eastAsia" w:ascii="仿宋_GB2312" w:hAnsi="仿宋_GB2312" w:eastAsia="仿宋_GB2312" w:cs="仿宋_GB2312"/>
          <w:b/>
          <w:bCs/>
          <w:color w:val="auto"/>
          <w:kern w:val="0"/>
          <w:sz w:val="32"/>
          <w:szCs w:val="32"/>
          <w:lang w:val="en-US" w:eastAsia="zh-CN" w:bidi="ar-SA"/>
        </w:rPr>
        <w:t>一是完成重大方案编制。</w:t>
      </w:r>
      <w:r>
        <w:rPr>
          <w:rFonts w:hint="eastAsia" w:ascii="仿宋_GB2312" w:hAnsi="仿宋_GB2312" w:eastAsia="仿宋_GB2312" w:cs="仿宋_GB2312"/>
          <w:color w:val="auto"/>
          <w:kern w:val="0"/>
          <w:sz w:val="32"/>
          <w:szCs w:val="32"/>
          <w:lang w:val="en-US" w:eastAsia="zh-CN" w:bidi="ar-SA"/>
        </w:rPr>
        <w:t>牵头完成《溆浦县推进“5+N”现代化产业新体系建设三年行动方案》《溆浦县自供区改革改造实施方案》《溆浦县农业水价综合改革实施方案（2023-2025年）》《溆浦县高质量推进易地扶贫搬迁后续扶持“安心工程”专项行动方案》等重大方案编制工作。</w:t>
      </w:r>
      <w:r>
        <w:rPr>
          <w:rFonts w:hint="eastAsia" w:ascii="仿宋_GB2312" w:hAnsi="仿宋_GB2312" w:eastAsia="仿宋_GB2312" w:cs="仿宋_GB2312"/>
          <w:b/>
          <w:bCs/>
          <w:color w:val="auto"/>
          <w:kern w:val="0"/>
          <w:sz w:val="32"/>
          <w:szCs w:val="32"/>
          <w:lang w:val="en-US" w:eastAsia="zh-CN" w:bidi="ar-SA"/>
        </w:rPr>
        <w:t>二是推进“十四五”规划中期评估。</w:t>
      </w:r>
      <w:r>
        <w:rPr>
          <w:rFonts w:hint="eastAsia" w:ascii="仿宋_GB2312" w:hAnsi="仿宋_GB2312" w:eastAsia="仿宋_GB2312" w:cs="仿宋_GB2312"/>
          <w:color w:val="auto"/>
          <w:kern w:val="0"/>
          <w:sz w:val="32"/>
          <w:szCs w:val="32"/>
          <w:lang w:val="en-US" w:eastAsia="zh-CN" w:bidi="ar-SA"/>
        </w:rPr>
        <w:t>组织实施“十四五”规划中期评估，规划《纲要》评估报告已经通过县人大审议。</w:t>
      </w:r>
      <w:r>
        <w:rPr>
          <w:rFonts w:hint="eastAsia" w:ascii="仿宋_GB2312" w:hAnsi="仿宋_GB2312" w:eastAsia="仿宋_GB2312" w:cs="仿宋_GB2312"/>
          <w:b/>
          <w:bCs/>
          <w:color w:val="auto"/>
          <w:kern w:val="0"/>
          <w:sz w:val="32"/>
          <w:szCs w:val="32"/>
          <w:lang w:val="en-US" w:eastAsia="zh-CN" w:bidi="ar-SA"/>
        </w:rPr>
        <w:t>三是争取重大试点。</w:t>
      </w:r>
      <w:r>
        <w:rPr>
          <w:rFonts w:hint="eastAsia" w:ascii="仿宋_GB2312" w:hAnsi="仿宋_GB2312" w:eastAsia="仿宋_GB2312" w:cs="仿宋_GB2312"/>
          <w:color w:val="auto"/>
          <w:kern w:val="0"/>
          <w:sz w:val="32"/>
          <w:szCs w:val="32"/>
          <w:lang w:val="en-US" w:eastAsia="zh-CN" w:bidi="ar-SA"/>
        </w:rPr>
        <w:t>积极争取以县城为重要载体的城镇化省级试点，编制《溆浦县县城城镇化实施方案（2023-2025）》《溆浦县以县城为重要载体的城镇化试点方案》，顺利通过省评审，我县成功纳入省级专业功能县城试点范围。</w:t>
      </w:r>
      <w:r>
        <w:rPr>
          <w:rFonts w:hint="eastAsia" w:ascii="仿宋_GB2312" w:hAnsi="仿宋_GB2312" w:eastAsia="仿宋_GB2312" w:cs="仿宋_GB2312"/>
          <w:b/>
          <w:bCs/>
          <w:color w:val="auto"/>
          <w:kern w:val="0"/>
          <w:sz w:val="32"/>
          <w:szCs w:val="32"/>
          <w:lang w:val="en-US" w:eastAsia="zh-CN" w:bidi="ar-SA"/>
        </w:rPr>
        <w:t>四是谋划化工园区认定。</w:t>
      </w:r>
      <w:r>
        <w:rPr>
          <w:rFonts w:hint="eastAsia" w:ascii="仿宋_GB2312" w:hAnsi="仿宋_GB2312" w:eastAsia="仿宋_GB2312" w:cs="仿宋_GB2312"/>
          <w:color w:val="auto"/>
          <w:kern w:val="0"/>
          <w:sz w:val="32"/>
          <w:szCs w:val="32"/>
          <w:lang w:val="en-US" w:eastAsia="zh-CN" w:bidi="ar-SA"/>
        </w:rPr>
        <w:t>全力申报新设立大江口片区化工园区，牵头开展了《溆浦县新设立化工园区总体规划》《溆浦县新设立化工园区可行性研究报告工作》编制工作。</w:t>
      </w:r>
      <w:r>
        <w:rPr>
          <w:rFonts w:hint="eastAsia" w:ascii="仿宋_GB2312" w:hAnsi="仿宋_GB2312" w:eastAsia="仿宋_GB2312" w:cs="仿宋_GB2312"/>
          <w:b/>
          <w:bCs/>
          <w:color w:val="auto"/>
          <w:kern w:val="0"/>
          <w:sz w:val="32"/>
          <w:szCs w:val="32"/>
          <w:lang w:val="en-US" w:eastAsia="zh-CN" w:bidi="ar-SA"/>
        </w:rPr>
        <w:t>五是扎实推进项目建设。</w:t>
      </w:r>
      <w:r>
        <w:rPr>
          <w:rFonts w:hint="eastAsia" w:ascii="仿宋_GB2312" w:hAnsi="仿宋_GB2312" w:eastAsia="仿宋_GB2312" w:cs="仿宋_GB2312"/>
          <w:color w:val="auto"/>
          <w:kern w:val="0"/>
          <w:sz w:val="32"/>
          <w:szCs w:val="32"/>
          <w:lang w:val="en-US" w:eastAsia="zh-CN" w:bidi="ar-SA"/>
        </w:rPr>
        <w:t>编制《溆浦县推进项目建设整改方案》《溆浦县高质量推进项目建设的十条措施》，扎实推进中央预算内和专项债项目建设</w:t>
      </w:r>
      <w:r>
        <w:rPr>
          <w:rFonts w:hint="eastAsia" w:ascii="Times New Roman" w:hAnsi="Times New Roman" w:eastAsia="仿宋_GB2312"/>
          <w:sz w:val="32"/>
          <w:szCs w:val="32"/>
          <w:highlight w:val="none"/>
        </w:rPr>
        <w:t>。</w:t>
      </w:r>
    </w:p>
    <w:p w14:paraId="01D4DDE7">
      <w:pPr>
        <w:pStyle w:val="15"/>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highlight w:val="none"/>
        </w:rPr>
      </w:pPr>
      <w:bookmarkStart w:id="33" w:name="OLE_LINK7"/>
      <w:r>
        <w:rPr>
          <w:rFonts w:hint="eastAsia" w:ascii="楷体" w:hAnsi="楷体" w:eastAsia="楷体" w:cs="楷体"/>
          <w:b/>
          <w:bCs/>
          <w:sz w:val="32"/>
          <w:szCs w:val="32"/>
          <w:highlight w:val="none"/>
          <w:lang w:eastAsia="zh-CN"/>
        </w:rPr>
        <w:t>（三）</w:t>
      </w:r>
      <w:r>
        <w:rPr>
          <w:rFonts w:hint="eastAsia" w:ascii="楷体" w:hAnsi="楷体" w:eastAsia="楷体" w:cs="楷体"/>
          <w:b/>
          <w:bCs/>
          <w:sz w:val="32"/>
          <w:szCs w:val="32"/>
          <w:highlight w:val="none"/>
        </w:rPr>
        <w:t>存在的问题及原因分析</w:t>
      </w:r>
      <w:bookmarkEnd w:id="33"/>
    </w:p>
    <w:bookmarkEnd w:id="25"/>
    <w:bookmarkEnd w:id="26"/>
    <w:bookmarkEnd w:id="27"/>
    <w:bookmarkEnd w:id="31"/>
    <w:p w14:paraId="59FB4139">
      <w:pPr>
        <w:pStyle w:val="10"/>
        <w:shd w:val="clear" w:color="auto"/>
        <w:spacing w:before="0" w:beforeAutospacing="0" w:after="0" w:afterAutospacing="0" w:line="480" w:lineRule="auto"/>
        <w:ind w:firstLine="640" w:firstLineChars="200"/>
        <w:jc w:val="both"/>
        <w:rPr>
          <w:rFonts w:hint="eastAsia" w:ascii="仿宋" w:hAnsi="仿宋" w:eastAsia="仿宋" w:cs="仿宋"/>
          <w:sz w:val="32"/>
          <w:szCs w:val="32"/>
          <w:highlight w:val="none"/>
        </w:rPr>
      </w:pPr>
      <w:r>
        <w:rPr>
          <w:rFonts w:hint="eastAsia" w:ascii="仿宋" w:hAnsi="仿宋" w:eastAsia="仿宋" w:cs="仿宋"/>
          <w:color w:val="000000"/>
          <w:kern w:val="0"/>
          <w:sz w:val="32"/>
          <w:szCs w:val="32"/>
          <w:lang w:val="en-US" w:eastAsia="zh-CN" w:bidi="ar-SA"/>
        </w:rPr>
        <w:t>通过前述对我单位整体支出情况的分析，反映出目前在整体支出的预算编制、执行和管理过程中，依然存在一些问题和不足：预算执行情况不是很好，资金难以及时拨付到位等</w:t>
      </w:r>
      <w:r>
        <w:rPr>
          <w:rFonts w:hint="eastAsia" w:ascii="仿宋" w:hAnsi="仿宋" w:eastAsia="仿宋" w:cs="仿宋"/>
          <w:sz w:val="32"/>
          <w:szCs w:val="32"/>
          <w:highlight w:val="none"/>
        </w:rPr>
        <w:t>。</w:t>
      </w:r>
    </w:p>
    <w:p w14:paraId="687F5E26">
      <w:pPr>
        <w:pStyle w:val="15"/>
        <w:jc w:val="center"/>
        <w:rPr>
          <w:sz w:val="72"/>
          <w:szCs w:val="72"/>
          <w:highlight w:val="none"/>
        </w:rPr>
      </w:pPr>
    </w:p>
    <w:p w14:paraId="68679FEE">
      <w:pPr>
        <w:pStyle w:val="15"/>
        <w:jc w:val="center"/>
        <w:rPr>
          <w:sz w:val="72"/>
          <w:szCs w:val="72"/>
          <w:highlight w:val="none"/>
        </w:rPr>
      </w:pPr>
    </w:p>
    <w:p w14:paraId="6697B329">
      <w:pPr>
        <w:pStyle w:val="15"/>
        <w:jc w:val="center"/>
        <w:rPr>
          <w:sz w:val="72"/>
          <w:szCs w:val="72"/>
          <w:highlight w:val="none"/>
        </w:rPr>
      </w:pPr>
    </w:p>
    <w:p w14:paraId="62753DC2">
      <w:pPr>
        <w:pStyle w:val="15"/>
        <w:jc w:val="both"/>
        <w:rPr>
          <w:rFonts w:hint="eastAsia" w:ascii="方正小标宋_GBK" w:hAnsi="方正小标宋_GBK" w:eastAsia="方正小标宋_GBK" w:cs="方正小标宋_GBK"/>
          <w:sz w:val="72"/>
          <w:szCs w:val="72"/>
          <w:highlight w:val="none"/>
        </w:rPr>
      </w:pPr>
    </w:p>
    <w:p w14:paraId="1B1F7DEA">
      <w:pPr>
        <w:pStyle w:val="15"/>
        <w:jc w:val="center"/>
        <w:rPr>
          <w:rFonts w:hint="eastAsia" w:ascii="方正小标宋_GBK" w:hAnsi="方正小标宋_GBK" w:eastAsia="方正小标宋_GBK" w:cs="方正小标宋_GBK"/>
          <w:sz w:val="72"/>
          <w:szCs w:val="72"/>
          <w:highlight w:val="none"/>
        </w:rPr>
      </w:pPr>
    </w:p>
    <w:p w14:paraId="0E8DA387">
      <w:pPr>
        <w:pStyle w:val="15"/>
        <w:jc w:val="center"/>
        <w:rPr>
          <w:rFonts w:hint="eastAsia" w:ascii="方正小标宋_GBK" w:hAnsi="方正小标宋_GBK" w:eastAsia="方正小标宋_GBK" w:cs="方正小标宋_GBK"/>
          <w:sz w:val="72"/>
          <w:szCs w:val="72"/>
          <w:highlight w:val="none"/>
        </w:rPr>
      </w:pPr>
    </w:p>
    <w:p w14:paraId="464E9609">
      <w:pPr>
        <w:pStyle w:val="15"/>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第四部分</w:t>
      </w:r>
    </w:p>
    <w:p w14:paraId="2495D691">
      <w:pPr>
        <w:jc w:val="center"/>
        <w:rPr>
          <w:rFonts w:hint="eastAsia" w:ascii="方正小标宋_GBK" w:hAnsi="方正小标宋_GBK" w:eastAsia="方正小标宋_GBK" w:cs="方正小标宋_GBK"/>
          <w:color w:val="000000"/>
          <w:kern w:val="0"/>
          <w:sz w:val="70"/>
          <w:szCs w:val="70"/>
          <w:highlight w:val="none"/>
        </w:rPr>
      </w:pPr>
    </w:p>
    <w:p w14:paraId="6BAC564E">
      <w:pPr>
        <w:jc w:val="center"/>
        <w:rPr>
          <w:rFonts w:hint="eastAsia" w:ascii="方正小标宋_GBK" w:hAnsi="方正小标宋_GBK" w:eastAsia="方正小标宋_GBK" w:cs="方正小标宋_GBK"/>
          <w:color w:val="000000"/>
          <w:kern w:val="0"/>
          <w:sz w:val="70"/>
          <w:szCs w:val="70"/>
          <w:highlight w:val="none"/>
        </w:rPr>
      </w:pPr>
      <w:r>
        <w:rPr>
          <w:rFonts w:hint="eastAsia" w:ascii="方正小标宋_GBK" w:hAnsi="方正小标宋_GBK" w:eastAsia="方正小标宋_GBK" w:cs="方正小标宋_GBK"/>
          <w:color w:val="000000"/>
          <w:kern w:val="0"/>
          <w:sz w:val="70"/>
          <w:szCs w:val="70"/>
          <w:highlight w:val="none"/>
        </w:rPr>
        <w:t>名词解释</w:t>
      </w:r>
    </w:p>
    <w:p w14:paraId="428BCE95">
      <w:pPr>
        <w:widowControl/>
        <w:jc w:val="left"/>
        <w:rPr>
          <w:rFonts w:cs="黑体" w:asciiTheme="minorEastAsia" w:hAnsiTheme="minorEastAsia"/>
          <w:color w:val="000000"/>
          <w:kern w:val="0"/>
          <w:sz w:val="32"/>
          <w:szCs w:val="32"/>
          <w:highlight w:val="none"/>
        </w:rPr>
      </w:pPr>
      <w:r>
        <w:rPr>
          <w:rFonts w:hint="eastAsia" w:ascii="方正小标宋_GBK" w:hAnsi="方正小标宋_GBK" w:eastAsia="方正小标宋_GBK" w:cs="方正小标宋_GBK"/>
          <w:color w:val="000000"/>
          <w:kern w:val="0"/>
          <w:sz w:val="70"/>
          <w:szCs w:val="70"/>
          <w:highlight w:val="none"/>
        </w:rPr>
        <w:br w:type="page"/>
      </w:r>
    </w:p>
    <w:p w14:paraId="03AA3780">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（一）财政拨款收入：本年度从本级财政部门取得的财政拨款，包括一般公共预算财政拨款和政府性基金预算财政拨款。</w:t>
      </w:r>
    </w:p>
    <w:p w14:paraId="06286D8C">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（二）其他收入：指除上述“财政拨款收入”、“事业收入”、“经营收入”等以外的收入。</w:t>
      </w:r>
    </w:p>
    <w:p w14:paraId="0FA5F76F">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（三）年初结转和结余：指以前年度尚未完成、结转到本年仍按原规定用途继续使用的资金，或项目已完成等产生的结余资金。</w:t>
      </w:r>
    </w:p>
    <w:p w14:paraId="7D62109F">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（四）年末结转和结余：指单位按有关规定结转到下年或以后年度继续使用的资金，或项目已完成等产生的结余资金。</w:t>
      </w:r>
    </w:p>
    <w:p w14:paraId="07E0AF3C">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（五）基本支出：填列单位为保障机构正常运转、完成日常工作任务而发生的各项支出。</w:t>
      </w:r>
    </w:p>
    <w:p w14:paraId="5092082A">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（六）项目支出：填列单位为完成特定的行政工作任务或事业发展目标，在基本支出之外发生的各项支出。</w:t>
      </w:r>
    </w:p>
    <w:p w14:paraId="3F24EA33">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（七）其他资本性支出：填列由各级非发展与改革部门集中安排的用于购置固定资产、战备性和应急性储备、土地和无形资产，以及购建基础设施、大型修缮和财政支持企业更新改造所发生的支出。</w:t>
      </w:r>
    </w:p>
    <w:p w14:paraId="188A014A">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1DBCD7CC">
      <w:pPr>
        <w:ind w:firstLine="640" w:firstLineChars="200"/>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（九）其他交通费用：填列单位除公务用车运行维护费以外的其他交通费用。如飞机、船舶等的燃料费、维修费、过桥过路费、保险费、出租车费用、公务交通补贴等。</w:t>
      </w:r>
    </w:p>
    <w:p w14:paraId="7952EDA5">
      <w:pPr>
        <w:ind w:firstLine="640" w:firstLineChars="200"/>
        <w:rPr>
          <w:rFonts w:ascii="仿宋" w:hAnsi="仿宋" w:eastAsia="仿宋" w:cs="仿宋"/>
          <w:i/>
          <w:color w:val="FF0000"/>
          <w:sz w:val="32"/>
          <w:szCs w:val="32"/>
          <w:highlight w:val="none"/>
        </w:rPr>
      </w:pPr>
      <w:r>
        <w:rPr>
          <w:rFonts w:hint="eastAsia" w:ascii="仿宋" w:hAnsi="仿宋" w:eastAsia="仿宋" w:cs="仿宋"/>
          <w:color w:val="000000"/>
          <w:kern w:val="0"/>
          <w:sz w:val="32"/>
          <w:szCs w:val="32"/>
          <w:highlight w:val="none"/>
        </w:rPr>
        <w:t>（十）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75C50CF8">
      <w:pPr>
        <w:pStyle w:val="15"/>
        <w:jc w:val="center"/>
        <w:rPr>
          <w:rFonts w:hint="eastAsia"/>
          <w:sz w:val="72"/>
          <w:szCs w:val="72"/>
          <w:highlight w:val="none"/>
          <w:lang w:val="en-US" w:eastAsia="zh-CN"/>
        </w:rPr>
      </w:pPr>
      <w:r>
        <w:rPr>
          <w:rFonts w:hint="eastAsia"/>
          <w:sz w:val="72"/>
          <w:szCs w:val="72"/>
          <w:highlight w:val="none"/>
          <w:lang w:val="en-US" w:eastAsia="zh-CN"/>
        </w:rPr>
        <w:t xml:space="preserve">                                                                                                                                                                                                                                                                                                                                                                                                                                                                                                                                                                                                                                                                                                                                                                                                                                                                                                                                                                                                                                                                                                                                                                                                                                                                                                                                                                                                                                                                                                                                                                                                                                                                                                                                                  </w:t>
      </w:r>
    </w:p>
    <w:p w14:paraId="68889D42">
      <w:pPr>
        <w:pStyle w:val="15"/>
        <w:jc w:val="center"/>
        <w:rPr>
          <w:sz w:val="72"/>
          <w:szCs w:val="72"/>
          <w:highlight w:val="none"/>
        </w:rPr>
      </w:pPr>
    </w:p>
    <w:p w14:paraId="6AAF6A7D">
      <w:pPr>
        <w:pStyle w:val="15"/>
        <w:jc w:val="center"/>
        <w:rPr>
          <w:sz w:val="72"/>
          <w:szCs w:val="72"/>
          <w:highlight w:val="none"/>
        </w:rPr>
      </w:pPr>
    </w:p>
    <w:p w14:paraId="20080B07">
      <w:pPr>
        <w:pStyle w:val="15"/>
        <w:jc w:val="center"/>
        <w:rPr>
          <w:rFonts w:hint="eastAsia" w:ascii="方正小标宋_GBK" w:hAnsi="方正小标宋_GBK" w:eastAsia="方正小标宋_GBK" w:cs="方正小标宋_GBK"/>
          <w:sz w:val="72"/>
          <w:szCs w:val="72"/>
          <w:highlight w:val="none"/>
        </w:rPr>
      </w:pPr>
      <w:bookmarkStart w:id="34" w:name="OLE_LINK33"/>
      <w:bookmarkStart w:id="35" w:name="OLE_LINK30"/>
      <w:bookmarkStart w:id="36" w:name="OLE_LINK15"/>
    </w:p>
    <w:p w14:paraId="5C9AFAF0">
      <w:pPr>
        <w:pStyle w:val="15"/>
        <w:jc w:val="center"/>
        <w:rPr>
          <w:rFonts w:hint="eastAsia" w:ascii="方正小标宋_GBK" w:hAnsi="方正小标宋_GBK" w:eastAsia="方正小标宋_GBK" w:cs="方正小标宋_GBK"/>
          <w:sz w:val="72"/>
          <w:szCs w:val="72"/>
          <w:highlight w:val="none"/>
        </w:rPr>
      </w:pPr>
    </w:p>
    <w:p w14:paraId="3182E89F">
      <w:pPr>
        <w:pStyle w:val="15"/>
        <w:jc w:val="center"/>
        <w:rPr>
          <w:rFonts w:hint="eastAsia" w:ascii="方正小标宋_GBK" w:hAnsi="方正小标宋_GBK" w:eastAsia="方正小标宋_GBK" w:cs="方正小标宋_GBK"/>
          <w:sz w:val="72"/>
          <w:szCs w:val="72"/>
          <w:highlight w:val="none"/>
        </w:rPr>
      </w:pPr>
    </w:p>
    <w:p w14:paraId="58BEC5B8">
      <w:pPr>
        <w:pStyle w:val="15"/>
        <w:jc w:val="center"/>
        <w:rPr>
          <w:rFonts w:hint="eastAsia" w:ascii="方正小标宋_GBK" w:hAnsi="方正小标宋_GBK" w:eastAsia="方正小标宋_GBK" w:cs="方正小标宋_GBK"/>
          <w:sz w:val="72"/>
          <w:szCs w:val="72"/>
          <w:highlight w:val="none"/>
        </w:rPr>
      </w:pPr>
    </w:p>
    <w:p w14:paraId="3CA598E5">
      <w:pPr>
        <w:pStyle w:val="15"/>
        <w:jc w:val="center"/>
        <w:rPr>
          <w:rFonts w:hint="eastAsia" w:ascii="方正小标宋_GBK" w:hAnsi="方正小标宋_GBK" w:eastAsia="方正小标宋_GBK" w:cs="方正小标宋_GBK"/>
          <w:sz w:val="72"/>
          <w:szCs w:val="72"/>
          <w:highlight w:val="none"/>
        </w:rPr>
      </w:pPr>
    </w:p>
    <w:p w14:paraId="2D07C615">
      <w:pPr>
        <w:pStyle w:val="15"/>
        <w:jc w:val="center"/>
        <w:rPr>
          <w:rFonts w:hint="eastAsia" w:ascii="方正小标宋_GBK" w:hAnsi="方正小标宋_GBK" w:eastAsia="方正小标宋_GBK" w:cs="方正小标宋_GBK"/>
          <w:sz w:val="72"/>
          <w:szCs w:val="72"/>
          <w:highlight w:val="none"/>
        </w:rPr>
      </w:pPr>
    </w:p>
    <w:p w14:paraId="3C960B0A">
      <w:pPr>
        <w:pStyle w:val="15"/>
        <w:jc w:val="both"/>
        <w:rPr>
          <w:rFonts w:hint="eastAsia" w:ascii="方正小标宋_GBK" w:hAnsi="方正小标宋_GBK" w:eastAsia="方正小标宋_GBK" w:cs="方正小标宋_GBK"/>
          <w:sz w:val="72"/>
          <w:szCs w:val="72"/>
          <w:highlight w:val="none"/>
        </w:rPr>
      </w:pPr>
    </w:p>
    <w:p w14:paraId="174EA854">
      <w:pPr>
        <w:pStyle w:val="15"/>
        <w:jc w:val="center"/>
        <w:rPr>
          <w:rFonts w:hint="eastAsia" w:ascii="方正小标宋_GBK" w:hAnsi="方正小标宋_GBK" w:eastAsia="方正小标宋_GBK" w:cs="方正小标宋_GBK"/>
          <w:sz w:val="72"/>
          <w:szCs w:val="72"/>
          <w:highlight w:val="none"/>
        </w:rPr>
      </w:pPr>
    </w:p>
    <w:p w14:paraId="6DEB53F0">
      <w:pPr>
        <w:pStyle w:val="15"/>
        <w:jc w:val="center"/>
        <w:rPr>
          <w:rFonts w:hint="eastAsia" w:ascii="方正小标宋_GBK" w:hAnsi="方正小标宋_GBK" w:eastAsia="方正小标宋_GBK" w:cs="方正小标宋_GBK"/>
          <w:sz w:val="72"/>
          <w:szCs w:val="72"/>
          <w:highlight w:val="none"/>
        </w:rPr>
      </w:pPr>
    </w:p>
    <w:p w14:paraId="4D901C78">
      <w:pPr>
        <w:pStyle w:val="15"/>
        <w:jc w:val="center"/>
        <w:rPr>
          <w:rFonts w:hint="eastAsia" w:ascii="方正小标宋_GBK" w:hAnsi="方正小标宋_GBK" w:eastAsia="方正小标宋_GBK" w:cs="方正小标宋_GBK"/>
          <w:sz w:val="72"/>
          <w:szCs w:val="72"/>
          <w:highlight w:val="none"/>
        </w:rPr>
      </w:pPr>
    </w:p>
    <w:p w14:paraId="0CB7E688">
      <w:pPr>
        <w:pStyle w:val="15"/>
        <w:jc w:val="center"/>
        <w:rPr>
          <w:rFonts w:hint="eastAsia" w:ascii="方正小标宋_GBK" w:hAnsi="方正小标宋_GBK" w:eastAsia="方正小标宋_GBK" w:cs="方正小标宋_GBK"/>
          <w:sz w:val="72"/>
          <w:szCs w:val="72"/>
          <w:highlight w:val="none"/>
        </w:rPr>
      </w:pPr>
    </w:p>
    <w:p w14:paraId="13F1EF49">
      <w:pPr>
        <w:pStyle w:val="15"/>
        <w:jc w:val="center"/>
        <w:rPr>
          <w:rFonts w:hint="eastAsia" w:ascii="方正小标宋_GBK" w:hAnsi="方正小标宋_GBK" w:eastAsia="方正小标宋_GBK" w:cs="方正小标宋_GBK"/>
          <w:sz w:val="72"/>
          <w:szCs w:val="72"/>
          <w:highlight w:val="none"/>
        </w:rPr>
      </w:pPr>
      <w:r>
        <w:rPr>
          <w:rFonts w:hint="eastAsia" w:ascii="方正小标宋_GBK" w:hAnsi="方正小标宋_GBK" w:eastAsia="方正小标宋_GBK" w:cs="方正小标宋_GBK"/>
          <w:sz w:val="72"/>
          <w:szCs w:val="72"/>
          <w:highlight w:val="none"/>
        </w:rPr>
        <w:t>第</w:t>
      </w:r>
      <w:r>
        <w:rPr>
          <w:rFonts w:hint="eastAsia" w:ascii="方正小标宋_GBK" w:hAnsi="方正小标宋_GBK" w:eastAsia="方正小标宋_GBK" w:cs="方正小标宋_GBK"/>
          <w:sz w:val="72"/>
          <w:szCs w:val="72"/>
          <w:highlight w:val="none"/>
          <w:lang w:eastAsia="zh-CN"/>
        </w:rPr>
        <w:t>五</w:t>
      </w:r>
      <w:r>
        <w:rPr>
          <w:rFonts w:hint="eastAsia" w:ascii="方正小标宋_GBK" w:hAnsi="方正小标宋_GBK" w:eastAsia="方正小标宋_GBK" w:cs="方正小标宋_GBK"/>
          <w:sz w:val="72"/>
          <w:szCs w:val="72"/>
          <w:highlight w:val="none"/>
        </w:rPr>
        <w:t>部分</w:t>
      </w:r>
    </w:p>
    <w:p w14:paraId="7090BA25">
      <w:pPr>
        <w:pStyle w:val="15"/>
        <w:jc w:val="center"/>
        <w:rPr>
          <w:rFonts w:hint="eastAsia" w:ascii="方正小标宋_GBK" w:hAnsi="方正小标宋_GBK" w:eastAsia="方正小标宋_GBK" w:cs="方正小标宋_GBK"/>
          <w:sz w:val="70"/>
          <w:szCs w:val="70"/>
          <w:highlight w:val="none"/>
        </w:rPr>
      </w:pPr>
    </w:p>
    <w:p w14:paraId="335CAE6D">
      <w:pPr>
        <w:pStyle w:val="15"/>
        <w:jc w:val="center"/>
        <w:rPr>
          <w:rFonts w:hint="eastAsia" w:eastAsia="黑体"/>
          <w:sz w:val="72"/>
          <w:szCs w:val="72"/>
          <w:highlight w:val="none"/>
          <w:lang w:eastAsia="zh-CN"/>
        </w:rPr>
      </w:pPr>
      <w:r>
        <w:rPr>
          <w:rFonts w:hint="eastAsia" w:ascii="方正小标宋_GBK" w:hAnsi="方正小标宋_GBK" w:eastAsia="方正小标宋_GBK" w:cs="方正小标宋_GBK"/>
          <w:sz w:val="70"/>
          <w:szCs w:val="70"/>
          <w:highlight w:val="none"/>
          <w:lang w:eastAsia="zh-CN"/>
        </w:rPr>
        <w:t>附</w:t>
      </w:r>
      <w:r>
        <w:rPr>
          <w:rFonts w:hint="eastAsia" w:ascii="方正小标宋_GBK" w:hAnsi="方正小标宋_GBK" w:eastAsia="方正小标宋_GBK" w:cs="方正小标宋_GBK"/>
          <w:sz w:val="70"/>
          <w:szCs w:val="70"/>
          <w:highlight w:val="none"/>
          <w:lang w:val="en-US" w:eastAsia="zh-CN"/>
        </w:rPr>
        <w:t xml:space="preserve"> </w:t>
      </w:r>
      <w:r>
        <w:rPr>
          <w:rFonts w:hint="eastAsia" w:ascii="方正小标宋_GBK" w:hAnsi="方正小标宋_GBK" w:eastAsia="方正小标宋_GBK" w:cs="方正小标宋_GBK"/>
          <w:sz w:val="70"/>
          <w:szCs w:val="70"/>
          <w:highlight w:val="none"/>
          <w:lang w:eastAsia="zh-CN"/>
        </w:rPr>
        <w:t>件</w:t>
      </w:r>
      <w:bookmarkEnd w:id="34"/>
    </w:p>
    <w:p w14:paraId="4C38E8F2">
      <w:pPr>
        <w:rPr>
          <w:sz w:val="72"/>
          <w:szCs w:val="72"/>
          <w:highlight w:val="none"/>
        </w:rPr>
      </w:pPr>
      <w:r>
        <w:rPr>
          <w:sz w:val="72"/>
          <w:szCs w:val="72"/>
          <w:highlight w:val="none"/>
        </w:rPr>
        <w:br w:type="page"/>
      </w:r>
    </w:p>
    <w:p w14:paraId="3940BBBB">
      <w:pPr>
        <w:pStyle w:val="15"/>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highlight w:val="none"/>
          <w:lang w:val="en-US" w:eastAsia="zh-CN"/>
        </w:rPr>
      </w:pPr>
      <w:bookmarkStart w:id="37" w:name="OLE_LINK34"/>
      <w:r>
        <w:rPr>
          <w:rFonts w:hint="eastAsia" w:ascii="楷体" w:hAnsi="楷体" w:eastAsia="楷体" w:cs="楷体"/>
          <w:b/>
          <w:bCs/>
          <w:sz w:val="32"/>
          <w:szCs w:val="32"/>
          <w:highlight w:val="none"/>
          <w:lang w:eastAsia="zh-CN"/>
        </w:rPr>
        <w:t>一、</w:t>
      </w:r>
      <w:r>
        <w:rPr>
          <w:rFonts w:hint="eastAsia" w:ascii="Times New Roman" w:hAnsi="Times New Roman" w:eastAsia="仿宋_GB2312"/>
          <w:sz w:val="32"/>
          <w:szCs w:val="32"/>
          <w:highlight w:val="none"/>
          <w:lang w:val="en-US" w:eastAsia="zh-CN"/>
        </w:rPr>
        <w:t>2023年度部门(单位)整体支出绩效自评报告。</w:t>
      </w:r>
      <w:bookmarkEnd w:id="35"/>
      <w:bookmarkEnd w:id="37"/>
    </w:p>
    <w:bookmarkEnd w:id="36"/>
    <w:p w14:paraId="467A73B4">
      <w:pPr>
        <w:shd w:val="clear"/>
        <w:jc w:val="center"/>
        <w:rPr>
          <w:rFonts w:ascii="方正粗黑宋简体" w:hAnsi="方正粗黑宋简体" w:eastAsia="方正粗黑宋简体"/>
          <w:b/>
          <w:bCs/>
          <w:color w:val="333333"/>
          <w:sz w:val="44"/>
          <w:szCs w:val="44"/>
        </w:rPr>
      </w:pPr>
      <w:r>
        <w:rPr>
          <w:rFonts w:hint="eastAsia" w:ascii="方正粗黑宋简体" w:hAnsi="方正粗黑宋简体" w:eastAsia="方正粗黑宋简体"/>
          <w:b/>
          <w:bCs/>
          <w:color w:val="333333"/>
          <w:sz w:val="44"/>
          <w:szCs w:val="44"/>
        </w:rPr>
        <w:t>溆浦县发展和改革局</w:t>
      </w:r>
    </w:p>
    <w:p w14:paraId="0CAD24AD">
      <w:pPr>
        <w:shd w:val="clear"/>
        <w:jc w:val="center"/>
        <w:rPr>
          <w:rFonts w:ascii="方正粗黑宋简体" w:hAnsi="方正粗黑宋简体" w:eastAsia="方正粗黑宋简体"/>
          <w:b/>
          <w:bCs/>
          <w:color w:val="333333"/>
          <w:sz w:val="44"/>
          <w:szCs w:val="44"/>
        </w:rPr>
      </w:pPr>
      <w:r>
        <w:rPr>
          <w:rFonts w:hint="eastAsia" w:ascii="方正粗黑宋简体" w:hAnsi="方正粗黑宋简体" w:eastAsia="方正粗黑宋简体"/>
          <w:b/>
          <w:bCs/>
          <w:color w:val="333333"/>
          <w:sz w:val="44"/>
          <w:szCs w:val="44"/>
          <w:lang w:val="en-US" w:eastAsia="zh-CN"/>
        </w:rPr>
        <w:t>2023年</w:t>
      </w:r>
      <w:r>
        <w:rPr>
          <w:rFonts w:hint="eastAsia" w:ascii="方正粗黑宋简体" w:hAnsi="方正粗黑宋简体" w:eastAsia="方正粗黑宋简体"/>
          <w:b/>
          <w:bCs/>
          <w:color w:val="333333"/>
          <w:sz w:val="44"/>
          <w:szCs w:val="44"/>
        </w:rPr>
        <w:t>预算整体支出绩效自评报告</w:t>
      </w:r>
    </w:p>
    <w:p w14:paraId="648D4686">
      <w:pPr>
        <w:shd w:val="clear"/>
        <w:jc w:val="center"/>
        <w:rPr>
          <w:rFonts w:ascii="仿宋" w:hAnsi="仿宋" w:eastAsia="仿宋"/>
          <w:color w:val="333333"/>
          <w:sz w:val="32"/>
          <w:szCs w:val="32"/>
        </w:rPr>
      </w:pPr>
    </w:p>
    <w:p w14:paraId="6794A510">
      <w:pPr>
        <w:pStyle w:val="16"/>
        <w:numPr>
          <w:ilvl w:val="0"/>
          <w:numId w:val="3"/>
        </w:numPr>
        <w:shd w:val="clear"/>
        <w:ind w:firstLineChars="0"/>
        <w:jc w:val="left"/>
        <w:rPr>
          <w:rFonts w:ascii="黑体" w:hAnsi="黑体" w:eastAsia="黑体"/>
          <w:b/>
          <w:bCs/>
          <w:sz w:val="32"/>
          <w:szCs w:val="32"/>
        </w:rPr>
      </w:pPr>
      <w:r>
        <w:rPr>
          <w:rFonts w:hint="eastAsia" w:ascii="黑体" w:hAnsi="黑体" w:eastAsia="黑体"/>
          <w:b/>
          <w:bCs/>
          <w:sz w:val="32"/>
          <w:szCs w:val="32"/>
        </w:rPr>
        <w:t>部门概况</w:t>
      </w:r>
    </w:p>
    <w:p w14:paraId="7A23E1A6">
      <w:pPr>
        <w:shd w:val="clear"/>
        <w:ind w:left="640"/>
        <w:jc w:val="left"/>
        <w:rPr>
          <w:rFonts w:ascii="仿宋" w:hAnsi="仿宋" w:eastAsia="仿宋"/>
          <w:b/>
          <w:sz w:val="32"/>
          <w:szCs w:val="32"/>
        </w:rPr>
      </w:pPr>
      <w:r>
        <w:rPr>
          <w:rFonts w:hint="eastAsia" w:ascii="仿宋" w:hAnsi="仿宋" w:eastAsia="仿宋"/>
          <w:b/>
          <w:sz w:val="32"/>
          <w:szCs w:val="32"/>
        </w:rPr>
        <w:t>（一）基本情况</w:t>
      </w:r>
    </w:p>
    <w:p w14:paraId="3B0F1E05">
      <w:pPr>
        <w:widowControl/>
        <w:shd w:val="clear"/>
        <w:spacing w:line="600" w:lineRule="exact"/>
        <w:ind w:firstLine="640" w:firstLineChars="200"/>
        <w:rPr>
          <w:rFonts w:hint="eastAsia" w:ascii="仿宋_GB2312" w:hAnsi="宋体" w:eastAsia="仿宋_GB2312" w:cs="宋体"/>
          <w:kern w:val="0"/>
          <w:sz w:val="32"/>
          <w:szCs w:val="32"/>
        </w:rPr>
      </w:pPr>
      <w:r>
        <w:rPr>
          <w:rFonts w:hint="eastAsia" w:ascii="仿宋" w:hAnsi="仿宋" w:eastAsia="仿宋"/>
          <w:sz w:val="32"/>
          <w:szCs w:val="32"/>
          <w:shd w:val="clear" w:color="auto" w:fill="FFFFFF"/>
        </w:rPr>
        <w:t>溆浦县发展和改革局，为县人民政府工作部门，是全额财政拨款行政单位。</w:t>
      </w:r>
      <w:r>
        <w:rPr>
          <w:rFonts w:hint="eastAsia" w:ascii="仿宋_GB2312" w:hAnsi="宋体" w:eastAsia="仿宋_GB2312" w:cs="宋体"/>
          <w:kern w:val="0"/>
          <w:sz w:val="32"/>
          <w:szCs w:val="32"/>
        </w:rPr>
        <w:t>内设行政业务职能股室 1</w:t>
      </w: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 xml:space="preserve"> 个；二级机构 4个，分别是：溆浦县节能监察中心、溆浦县招投标管理办公室、溆浦县价格认证中心、溆浦县重点建设项目事务中心；下属及派出机构 0个；核定编制</w:t>
      </w:r>
      <w:r>
        <w:rPr>
          <w:rFonts w:hint="eastAsia" w:ascii="仿宋_GB2312" w:hAnsi="宋体" w:eastAsia="仿宋_GB2312" w:cs="宋体"/>
          <w:kern w:val="0"/>
          <w:sz w:val="32"/>
          <w:szCs w:val="32"/>
          <w:lang w:val="en-US" w:eastAsia="zh-CN"/>
        </w:rPr>
        <w:t>66</w:t>
      </w:r>
      <w:r>
        <w:rPr>
          <w:rFonts w:hint="eastAsia" w:ascii="仿宋_GB2312" w:hAnsi="宋体" w:eastAsia="仿宋_GB2312" w:cs="宋体"/>
          <w:kern w:val="0"/>
          <w:sz w:val="32"/>
          <w:szCs w:val="32"/>
        </w:rPr>
        <w:t>名，实有人数 6</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 xml:space="preserve">人，其中：行政人员 </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人、事业人员</w:t>
      </w:r>
      <w:r>
        <w:rPr>
          <w:rFonts w:hint="eastAsia" w:ascii="仿宋_GB2312" w:hAnsi="宋体" w:eastAsia="仿宋_GB2312" w:cs="宋体"/>
          <w:kern w:val="0"/>
          <w:sz w:val="32"/>
          <w:szCs w:val="32"/>
          <w:lang w:val="en-US" w:eastAsia="zh-CN"/>
        </w:rPr>
        <w:t>40</w:t>
      </w:r>
      <w:r>
        <w:rPr>
          <w:rFonts w:hint="eastAsia" w:ascii="仿宋_GB2312" w:hAnsi="宋体" w:eastAsia="仿宋_GB2312" w:cs="宋体"/>
          <w:kern w:val="0"/>
          <w:sz w:val="32"/>
          <w:szCs w:val="32"/>
        </w:rPr>
        <w:t xml:space="preserve"> 人、工勤人员0人、离退休人员 76人。</w:t>
      </w:r>
    </w:p>
    <w:p w14:paraId="77020FAD">
      <w:pPr>
        <w:pStyle w:val="16"/>
        <w:numPr>
          <w:ilvl w:val="0"/>
          <w:numId w:val="4"/>
        </w:numPr>
        <w:shd w:val="clear"/>
        <w:ind w:firstLineChars="0"/>
        <w:jc w:val="left"/>
        <w:rPr>
          <w:rFonts w:ascii="仿宋" w:hAnsi="仿宋" w:eastAsia="仿宋" w:cs="宋体"/>
          <w:b/>
          <w:kern w:val="0"/>
          <w:sz w:val="32"/>
          <w:szCs w:val="32"/>
        </w:rPr>
      </w:pPr>
      <w:r>
        <w:rPr>
          <w:rFonts w:hint="eastAsia" w:ascii="仿宋" w:hAnsi="仿宋" w:eastAsia="仿宋" w:cs="宋体"/>
          <w:b/>
          <w:kern w:val="0"/>
          <w:sz w:val="32"/>
          <w:szCs w:val="32"/>
        </w:rPr>
        <w:t>职能</w:t>
      </w:r>
      <w:r>
        <w:rPr>
          <w:rFonts w:hint="eastAsia" w:ascii="仿宋" w:hAnsi="仿宋" w:eastAsia="仿宋" w:cs="宋体"/>
          <w:b/>
          <w:kern w:val="0"/>
          <w:sz w:val="32"/>
          <w:szCs w:val="32"/>
          <w:lang w:eastAsia="zh-CN"/>
        </w:rPr>
        <w:t>职责</w:t>
      </w:r>
    </w:p>
    <w:p w14:paraId="163C099A">
      <w:pPr>
        <w:pStyle w:val="16"/>
        <w:shd w:val="clear"/>
        <w:ind w:left="160" w:firstLine="640"/>
        <w:rPr>
          <w:rFonts w:hint="eastAsia" w:ascii="仿宋" w:hAnsi="仿宋" w:eastAsia="仿宋" w:cs="仿宋"/>
          <w:sz w:val="32"/>
          <w:szCs w:val="32"/>
        </w:rPr>
      </w:pPr>
      <w:r>
        <w:rPr>
          <w:rFonts w:hint="eastAsia" w:eastAsia="仿宋_GB2312"/>
          <w:b/>
          <w:kern w:val="0"/>
          <w:sz w:val="32"/>
          <w:szCs w:val="32"/>
          <w:lang w:val="en-US" w:eastAsia="zh-CN"/>
        </w:rPr>
        <w:t xml:space="preserve">   </w:t>
      </w:r>
      <w:r>
        <w:rPr>
          <w:rFonts w:hint="eastAsia" w:ascii="宋体" w:hAnsi="宋体" w:eastAsia="仿宋"/>
          <w:sz w:val="32"/>
          <w:szCs w:val="32"/>
        </w:rPr>
        <w:t>1、</w:t>
      </w:r>
      <w:r>
        <w:rPr>
          <w:rFonts w:hint="eastAsia" w:ascii="仿宋" w:hAnsi="仿宋" w:eastAsia="仿宋" w:cs="仿宋"/>
          <w:sz w:val="32"/>
          <w:szCs w:val="32"/>
        </w:rPr>
        <w:t>拟订并组织实施全县国民经济和社会发展战略、中长期规划和年度计划。研究拟订全县国民经济和社会发展、经济体制改革和对外开放的有关制度，牵头推进供给侧结构性改革。受县政府委托向县人民代表大会提交国民经济和社会发展计划的报告。</w:t>
      </w:r>
    </w:p>
    <w:p w14:paraId="2BEEFBF3">
      <w:pPr>
        <w:pStyle w:val="16"/>
        <w:shd w:val="clear"/>
        <w:ind w:left="160" w:firstLine="64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研究提出加快建设现代化经济体系、推动高质量发展的总体目标，重大任务以及相关政策。研究提出全县国民经济和社会发展主要目标，监测预测预警宏观经济和社会发展态势趋势，提出宏观调控政策建议，综合协调宏观经济政策，研究应对措施。</w:t>
      </w:r>
    </w:p>
    <w:p w14:paraId="4988CC5C">
      <w:pPr>
        <w:shd w:val="clea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负责投资综合管理，拟订全县全社会固定资产投资总规模和投资结构的调控目标、政策及措施。统筹安排县级财政性建设资金和投资项目，编制下达政府投资年度计划。规划全县重大建设项目和生产力布局,按权限审批、核准、审核、备案重大项目。会同相关部门组织实施市场准入负面清单制度。</w:t>
      </w:r>
    </w:p>
    <w:p w14:paraId="7B9AD0EE">
      <w:pPr>
        <w:shd w:val="clea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、推进落实区域协调发展战略、新型城镇化战略和重大政策，组织拟订相关</w:t>
      </w:r>
      <w:r>
        <w:rPr>
          <w:rFonts w:hint="eastAsia" w:ascii="仿宋" w:hAnsi="仿宋" w:eastAsia="仿宋" w:cs="仿宋"/>
          <w:sz w:val="32"/>
          <w:szCs w:val="32"/>
          <w:lang w:eastAsia="zh-CN"/>
        </w:rPr>
        <w:t>区域</w:t>
      </w:r>
      <w:r>
        <w:rPr>
          <w:rFonts w:hint="eastAsia" w:ascii="仿宋" w:hAnsi="仿宋" w:eastAsia="仿宋" w:cs="仿宋"/>
          <w:sz w:val="32"/>
          <w:szCs w:val="32"/>
        </w:rPr>
        <w:t>规划和政策。负责拟定湘南湘西承接产业转移示范区建设、物流枢纽承载城市建设、乡村振兴战略规划和政策。研究制订并统筹促进县内区域协调发展的战略、规划和重大政策。拟订并组织实施全县易地扶贫搬迁、以工代赈规划和计划。</w:t>
      </w:r>
    </w:p>
    <w:p w14:paraId="6078E5C4">
      <w:pPr>
        <w:shd w:val="clear"/>
        <w:ind w:firstLine="800" w:firstLineChars="250"/>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组织拟订综合性产业政策，负责协调第一、三产业发展的重大问题并统筹衔接相关发展规划和重大政策。负责社会发展与国民经济发展的政策衔接，组织拟订社会发展战略、总体规划。协调社会领域事业和产业发展政策及改革重大问题。推进可持续发展战略，推动生态文明建设和改革，协调生态环境保护与修复、能源资源节约和综合利用等工作。完善固定资产投资项目节能评估和审查制度。研究提出全县能源发展战略、规划、产业政策并组织实施；规划能源重大建设项目布局，按权限核准、审核、申报和安排能源重大建设项目。</w:t>
      </w:r>
    </w:p>
    <w:p w14:paraId="15F22760">
      <w:pPr>
        <w:shd w:val="clea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拟订全县价格改革方案和年度计划，研究提出价格调控目标和政策建议，组织实施价格总水平调控。组织起草有关价格收费政策，承担县政府管理的重要商品和服务价格管理工作。承担行政事业性收费管理工作。承担价格监测、市场价格形势分析和涉案物价格鉴证工作。负责价格成本调查和监审。</w:t>
      </w:r>
    </w:p>
    <w:p w14:paraId="7154382D">
      <w:pPr>
        <w:shd w:val="clea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、牵头组织监督公共资源交易活动，指导、协调全县工程建设项目招标投标工作，负责权限内工程建设项目招标事项核准和县级工业项目招标投标活动的监管。</w:t>
      </w:r>
    </w:p>
    <w:p w14:paraId="2BFFB288">
      <w:pPr>
        <w:shd w:val="clea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8、会同有关部门拟订推动全县经济建设与国防建设协调发展的战略和规划，协调有关重大问题。组织编制全县国民经济动员规划，协调和组织实施全县国民经济动员有关工作。</w:t>
      </w:r>
    </w:p>
    <w:p w14:paraId="4296D52F">
      <w:pPr>
        <w:shd w:val="clea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9</w:t>
      </w:r>
      <w:r>
        <w:rPr>
          <w:rFonts w:hint="eastAsia" w:ascii="仿宋" w:hAnsi="仿宋" w:eastAsia="仿宋" w:cs="仿宋"/>
          <w:sz w:val="32"/>
          <w:szCs w:val="32"/>
        </w:rPr>
        <w:t>、研究提出全县粮食宏观调控及粮食流通的中长期规划，拟订全县粮食市场体系建设与发展规划，承担全县粮食流通宏观调控的具体工作。</w:t>
      </w:r>
    </w:p>
    <w:p w14:paraId="59DE4FF9">
      <w:pPr>
        <w:shd w:val="clea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10</w:t>
      </w:r>
      <w:r>
        <w:rPr>
          <w:rFonts w:hint="eastAsia" w:ascii="仿宋" w:hAnsi="仿宋" w:eastAsia="仿宋" w:cs="仿宋"/>
          <w:sz w:val="32"/>
          <w:szCs w:val="32"/>
        </w:rPr>
        <w:t>、管理全县粮食、棉花和食糖储备，负责全县储备粮棉行政管理。监测全县粮食和战略物资供求变化并预测预警，承担全县粮食流通宏观调控的具体工作，承担粮食安全责任制考核日常工作。</w:t>
      </w:r>
    </w:p>
    <w:p w14:paraId="165F1640">
      <w:pPr>
        <w:shd w:val="clea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11</w:t>
      </w:r>
      <w:r>
        <w:rPr>
          <w:rFonts w:hint="eastAsia" w:ascii="仿宋" w:hAnsi="仿宋" w:eastAsia="仿宋" w:cs="仿宋"/>
          <w:sz w:val="32"/>
          <w:szCs w:val="32"/>
        </w:rPr>
        <w:t>、拟订粮食和物资储备仓储管理有关技术标准和规范并组织实施。负责粮食流通、加工行业安全生产工作的监督管理，承担全县物资储备承储单位安全生产的监管责任。</w:t>
      </w:r>
    </w:p>
    <w:p w14:paraId="742039A2">
      <w:pPr>
        <w:shd w:val="clear"/>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12</w:t>
      </w:r>
      <w:r>
        <w:rPr>
          <w:rFonts w:hint="eastAsia" w:ascii="仿宋" w:hAnsi="仿宋" w:eastAsia="仿宋" w:cs="仿宋"/>
          <w:sz w:val="32"/>
          <w:szCs w:val="32"/>
        </w:rPr>
        <w:t>、拟订全县储备基础设施、粮食流通设施建设规划并组织实施，管理有关储备基础设施和粮食流通设施全县投资项目。负责对管理的政府储备、企业储备以及储备政策落实情况进行监督</w:t>
      </w:r>
      <w:r>
        <w:rPr>
          <w:rFonts w:hint="eastAsia" w:ascii="仿宋" w:hAnsi="仿宋" w:eastAsia="仿宋" w:cs="仿宋"/>
          <w:sz w:val="32"/>
          <w:szCs w:val="32"/>
          <w:lang w:eastAsia="zh-CN"/>
        </w:rPr>
        <w:t>检查</w:t>
      </w:r>
      <w:bookmarkStart w:id="39" w:name="_GoBack"/>
      <w:bookmarkEnd w:id="39"/>
      <w:r>
        <w:rPr>
          <w:rFonts w:hint="eastAsia" w:ascii="仿宋" w:hAnsi="仿宋" w:eastAsia="仿宋" w:cs="仿宋"/>
          <w:sz w:val="32"/>
          <w:szCs w:val="32"/>
        </w:rPr>
        <w:t>。负责粮食收购、储存、运输环节粮食质量安全和原粮卫生的监督管理，组织实施全县粮食库存检查工作。</w:t>
      </w:r>
    </w:p>
    <w:p w14:paraId="49648558">
      <w:pPr>
        <w:shd w:val="clea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3</w:t>
      </w:r>
      <w:r>
        <w:rPr>
          <w:rFonts w:hint="eastAsia" w:ascii="仿宋" w:hAnsi="仿宋" w:eastAsia="仿宋" w:cs="仿宋"/>
          <w:sz w:val="32"/>
          <w:szCs w:val="32"/>
        </w:rPr>
        <w:t>、负责粮食流通行业管理，制定行业发展规划、政策，拟订粮食流通和物资储备有关标准、粮食质量标准，制定有关技术规范并监督执行。</w:t>
      </w:r>
    </w:p>
    <w:p w14:paraId="3C89E095">
      <w:pPr>
        <w:shd w:val="clea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14、承担国防动员工作统筹规划、综合协调、督导落实等职能，牵头承办国防动员建设管理和组织实施涉及各部门之间的协调落实工作；具体承担县国防动员委员会联合办公室相关日常事务工作。</w:t>
      </w:r>
    </w:p>
    <w:p w14:paraId="0C5BD6E2">
      <w:pPr>
        <w:shd w:val="clear"/>
        <w:ind w:firstLine="640" w:firstLineChars="200"/>
        <w:jc w:val="left"/>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5</w:t>
      </w:r>
      <w:r>
        <w:rPr>
          <w:rFonts w:hint="eastAsia" w:ascii="仿宋" w:hAnsi="仿宋" w:eastAsia="仿宋" w:cs="仿宋"/>
          <w:sz w:val="32"/>
          <w:szCs w:val="32"/>
        </w:rPr>
        <w:t>、完成县委、县政府交办的其他任务。</w:t>
      </w:r>
    </w:p>
    <w:p w14:paraId="7435C432">
      <w:pPr>
        <w:shd w:val="clear"/>
        <w:ind w:firstLine="640" w:firstLineChars="200"/>
        <w:jc w:val="left"/>
        <w:rPr>
          <w:rFonts w:ascii="仿宋" w:hAnsi="仿宋" w:eastAsia="仿宋" w:cs="仿宋"/>
          <w:sz w:val="32"/>
          <w:szCs w:val="32"/>
        </w:rPr>
      </w:pPr>
    </w:p>
    <w:p w14:paraId="5540CA93">
      <w:pPr>
        <w:shd w:val="clear"/>
        <w:ind w:firstLine="640" w:firstLineChars="200"/>
        <w:jc w:val="left"/>
        <w:rPr>
          <w:rFonts w:hint="eastAsia" w:ascii="仿宋" w:hAnsi="仿宋" w:eastAsia="仿宋"/>
          <w:b/>
          <w:sz w:val="32"/>
          <w:szCs w:val="32"/>
        </w:rPr>
      </w:pPr>
    </w:p>
    <w:p w14:paraId="5448B822">
      <w:pPr>
        <w:shd w:val="clear"/>
        <w:ind w:firstLine="640" w:firstLineChars="200"/>
        <w:jc w:val="left"/>
        <w:rPr>
          <w:rFonts w:ascii="仿宋" w:hAnsi="仿宋" w:eastAsia="仿宋"/>
          <w:b/>
          <w:sz w:val="32"/>
          <w:szCs w:val="32"/>
        </w:rPr>
      </w:pPr>
      <w:r>
        <w:rPr>
          <w:rFonts w:hint="eastAsia" w:ascii="仿宋" w:hAnsi="仿宋" w:eastAsia="仿宋"/>
          <w:b/>
          <w:sz w:val="32"/>
          <w:szCs w:val="32"/>
        </w:rPr>
        <w:t>（三）部门整体收支情况</w:t>
      </w:r>
    </w:p>
    <w:p w14:paraId="241A8DB1">
      <w:pPr>
        <w:shd w:val="clear"/>
        <w:ind w:firstLine="640" w:firstLineChars="200"/>
        <w:jc w:val="left"/>
        <w:rPr>
          <w:rFonts w:hint="default" w:ascii="仿宋" w:hAnsi="仿宋" w:eastAsia="仿宋"/>
          <w:sz w:val="32"/>
          <w:szCs w:val="32"/>
          <w:lang w:val="en-US" w:eastAsia="zh-CN"/>
        </w:rPr>
      </w:pPr>
      <w:r>
        <w:rPr>
          <w:rFonts w:hint="eastAsia" w:ascii="仿宋" w:hAnsi="仿宋" w:eastAsia="仿宋"/>
          <w:sz w:val="32"/>
          <w:szCs w:val="32"/>
          <w:lang w:val="en-US" w:eastAsia="zh-CN"/>
        </w:rPr>
        <w:t>2023年</w:t>
      </w:r>
      <w:r>
        <w:rPr>
          <w:rFonts w:hint="eastAsia" w:ascii="仿宋" w:hAnsi="仿宋" w:eastAsia="仿宋"/>
          <w:sz w:val="32"/>
          <w:szCs w:val="32"/>
          <w:lang w:eastAsia="zh-CN"/>
        </w:rPr>
        <w:t>本部门</w:t>
      </w:r>
      <w:r>
        <w:rPr>
          <w:rFonts w:hint="eastAsia" w:ascii="仿宋" w:hAnsi="仿宋" w:eastAsia="仿宋"/>
          <w:sz w:val="32"/>
          <w:szCs w:val="32"/>
        </w:rPr>
        <w:t>收入总额为：</w:t>
      </w:r>
      <w:r>
        <w:rPr>
          <w:rFonts w:hint="eastAsia" w:ascii="仿宋" w:hAnsi="仿宋" w:eastAsia="仿宋"/>
          <w:sz w:val="32"/>
          <w:szCs w:val="32"/>
          <w:lang w:val="en-US" w:eastAsia="zh-CN"/>
        </w:rPr>
        <w:t>8129.36</w:t>
      </w:r>
      <w:r>
        <w:rPr>
          <w:rFonts w:hint="eastAsia" w:ascii="仿宋" w:hAnsi="仿宋" w:eastAsia="仿宋"/>
          <w:sz w:val="32"/>
          <w:szCs w:val="32"/>
        </w:rPr>
        <w:t>万元，其中：</w:t>
      </w:r>
      <w:r>
        <w:rPr>
          <w:rFonts w:hint="eastAsia" w:ascii="仿宋" w:hAnsi="仿宋" w:eastAsia="仿宋"/>
          <w:sz w:val="32"/>
          <w:szCs w:val="32"/>
          <w:lang w:eastAsia="zh-CN"/>
        </w:rPr>
        <w:t>一般公共预算</w:t>
      </w:r>
      <w:r>
        <w:rPr>
          <w:rFonts w:hint="eastAsia" w:ascii="仿宋" w:hAnsi="仿宋" w:eastAsia="仿宋"/>
          <w:sz w:val="32"/>
          <w:szCs w:val="32"/>
        </w:rPr>
        <w:t>财政拨款收入</w:t>
      </w:r>
      <w:r>
        <w:rPr>
          <w:rFonts w:hint="eastAsia" w:ascii="仿宋" w:hAnsi="仿宋" w:eastAsia="仿宋"/>
          <w:sz w:val="32"/>
          <w:szCs w:val="32"/>
          <w:lang w:val="en-US" w:eastAsia="zh-CN"/>
        </w:rPr>
        <w:t>8129.36</w:t>
      </w:r>
      <w:r>
        <w:rPr>
          <w:rFonts w:hint="eastAsia" w:ascii="仿宋" w:hAnsi="仿宋" w:eastAsia="仿宋"/>
          <w:sz w:val="32"/>
          <w:szCs w:val="32"/>
        </w:rPr>
        <w:t>万元，</w:t>
      </w:r>
      <w:r>
        <w:rPr>
          <w:rFonts w:hint="eastAsia" w:ascii="仿宋" w:hAnsi="仿宋" w:eastAsia="仿宋"/>
          <w:sz w:val="32"/>
          <w:szCs w:val="32"/>
          <w:lang w:eastAsia="zh-CN"/>
        </w:rPr>
        <w:t>政府性基金预算财政拨款收入</w:t>
      </w:r>
      <w:r>
        <w:rPr>
          <w:rFonts w:hint="eastAsia" w:ascii="仿宋" w:hAnsi="仿宋" w:eastAsia="仿宋"/>
          <w:sz w:val="32"/>
          <w:szCs w:val="32"/>
          <w:lang w:val="en-US" w:eastAsia="zh-CN"/>
        </w:rPr>
        <w:t>0</w:t>
      </w:r>
      <w:r>
        <w:rPr>
          <w:rFonts w:hint="eastAsia" w:ascii="仿宋" w:hAnsi="仿宋" w:eastAsia="仿宋"/>
          <w:sz w:val="32"/>
          <w:szCs w:val="32"/>
        </w:rPr>
        <w:t>万</w:t>
      </w:r>
      <w:r>
        <w:rPr>
          <w:rFonts w:hint="eastAsia" w:ascii="仿宋" w:hAnsi="仿宋" w:eastAsia="仿宋"/>
          <w:sz w:val="32"/>
          <w:szCs w:val="32"/>
          <w:lang w:eastAsia="zh-CN"/>
        </w:rPr>
        <w:t>元，国有资本经营预算财政拨款收入</w:t>
      </w:r>
      <w:r>
        <w:rPr>
          <w:rFonts w:hint="eastAsia" w:ascii="仿宋" w:hAnsi="仿宋" w:eastAsia="仿宋"/>
          <w:sz w:val="32"/>
          <w:szCs w:val="32"/>
          <w:lang w:val="en-US" w:eastAsia="zh-CN"/>
        </w:rPr>
        <w:t>0万元，上级补助收入0万元，事业收入0万元，经营收入0万元，附属单位上缴收入0万元，其他收入0万元。</w:t>
      </w:r>
    </w:p>
    <w:p w14:paraId="67A44491">
      <w:pPr>
        <w:shd w:val="clear"/>
        <w:ind w:firstLine="640" w:firstLineChars="200"/>
        <w:jc w:val="left"/>
        <w:rPr>
          <w:rFonts w:hint="eastAsia" w:ascii="仿宋" w:hAnsi="仿宋" w:eastAsia="仿宋"/>
          <w:sz w:val="32"/>
          <w:szCs w:val="32"/>
        </w:rPr>
      </w:pPr>
      <w:r>
        <w:rPr>
          <w:rFonts w:hint="eastAsia" w:ascii="仿宋" w:hAnsi="仿宋" w:eastAsia="仿宋"/>
          <w:sz w:val="32"/>
          <w:szCs w:val="32"/>
          <w:lang w:val="en-US" w:eastAsia="zh-CN"/>
        </w:rPr>
        <w:t>2023年</w:t>
      </w:r>
      <w:r>
        <w:rPr>
          <w:rFonts w:hint="eastAsia" w:ascii="仿宋" w:hAnsi="仿宋" w:eastAsia="仿宋"/>
          <w:sz w:val="32"/>
          <w:szCs w:val="32"/>
        </w:rPr>
        <w:t>本</w:t>
      </w:r>
      <w:r>
        <w:rPr>
          <w:rFonts w:hint="eastAsia" w:ascii="仿宋" w:hAnsi="仿宋" w:eastAsia="仿宋"/>
          <w:sz w:val="32"/>
          <w:szCs w:val="32"/>
          <w:lang w:eastAsia="zh-CN"/>
        </w:rPr>
        <w:t>部门</w:t>
      </w:r>
      <w:r>
        <w:rPr>
          <w:rFonts w:hint="eastAsia" w:ascii="仿宋" w:hAnsi="仿宋" w:eastAsia="仿宋"/>
          <w:sz w:val="32"/>
          <w:szCs w:val="32"/>
        </w:rPr>
        <w:t>支出总额为</w:t>
      </w:r>
      <w:r>
        <w:rPr>
          <w:rFonts w:hint="eastAsia" w:ascii="仿宋" w:hAnsi="仿宋" w:eastAsia="仿宋"/>
          <w:sz w:val="32"/>
          <w:szCs w:val="32"/>
          <w:lang w:val="en-US" w:eastAsia="zh-CN"/>
        </w:rPr>
        <w:t>8129.36</w:t>
      </w:r>
      <w:r>
        <w:rPr>
          <w:rFonts w:hint="eastAsia" w:ascii="仿宋" w:hAnsi="仿宋" w:eastAsia="仿宋"/>
          <w:sz w:val="32"/>
          <w:szCs w:val="32"/>
        </w:rPr>
        <w:t>万元，其中：基本支出为</w:t>
      </w:r>
      <w:r>
        <w:rPr>
          <w:rFonts w:hint="eastAsia" w:ascii="仿宋" w:hAnsi="仿宋" w:eastAsia="仿宋"/>
          <w:sz w:val="32"/>
          <w:szCs w:val="32"/>
          <w:lang w:val="en-US" w:eastAsia="zh-CN"/>
        </w:rPr>
        <w:t>1148</w:t>
      </w:r>
      <w:r>
        <w:rPr>
          <w:rFonts w:hint="eastAsia" w:ascii="仿宋" w:hAnsi="仿宋" w:eastAsia="仿宋"/>
          <w:sz w:val="32"/>
          <w:szCs w:val="32"/>
        </w:rPr>
        <w:t>万元，项目支出</w:t>
      </w:r>
      <w:r>
        <w:rPr>
          <w:rFonts w:hint="eastAsia" w:ascii="仿宋" w:hAnsi="仿宋" w:eastAsia="仿宋"/>
          <w:sz w:val="32"/>
          <w:szCs w:val="32"/>
          <w:lang w:val="en-US" w:eastAsia="zh-CN"/>
        </w:rPr>
        <w:t>6981.36</w:t>
      </w:r>
      <w:r>
        <w:rPr>
          <w:rFonts w:hint="eastAsia" w:ascii="仿宋" w:hAnsi="仿宋" w:eastAsia="仿宋"/>
          <w:sz w:val="32"/>
          <w:szCs w:val="32"/>
        </w:rPr>
        <w:t>万元。</w:t>
      </w:r>
    </w:p>
    <w:p w14:paraId="43B9EE91">
      <w:pPr>
        <w:shd w:val="clear"/>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2023年我局在县委、县政府的坚强领导和关心支持下，锚定年初制定的各项目标，扎实履行参谋、服务、协调职能，各项工作取得了一定成效。全年地区生产总值221.23亿元，同比增长5%；规模工业增加值同比增长10.5%；全社会固定资产投资同比增长</w:t>
      </w:r>
      <w:r>
        <w:rPr>
          <w:rFonts w:hint="default" w:ascii="仿宋" w:hAnsi="仿宋" w:eastAsia="仿宋"/>
          <w:sz w:val="32"/>
          <w:szCs w:val="32"/>
          <w:lang w:val="en-US" w:eastAsia="zh-CN"/>
        </w:rPr>
        <w:t>8.5%</w:t>
      </w:r>
      <w:r>
        <w:rPr>
          <w:rFonts w:hint="eastAsia" w:ascii="仿宋" w:hAnsi="仿宋" w:eastAsia="仿宋"/>
          <w:sz w:val="32"/>
          <w:szCs w:val="32"/>
          <w:lang w:val="en-US" w:eastAsia="zh-CN"/>
        </w:rPr>
        <w:t>；社会消费品零售总额同比增长8.8%；城乡居民人均可支配收入分别增长5.5%、6.9%。</w:t>
      </w:r>
    </w:p>
    <w:p w14:paraId="37766BA4">
      <w:pPr>
        <w:shd w:val="clear"/>
        <w:ind w:firstLine="640" w:firstLineChars="200"/>
        <w:jc w:val="left"/>
        <w:rPr>
          <w:rFonts w:ascii="黑体" w:hAnsi="黑体" w:eastAsia="黑体"/>
          <w:b/>
          <w:bCs/>
          <w:sz w:val="32"/>
          <w:szCs w:val="32"/>
        </w:rPr>
      </w:pPr>
      <w:r>
        <w:rPr>
          <w:rFonts w:hint="eastAsia" w:ascii="黑体" w:hAnsi="黑体" w:eastAsia="黑体"/>
          <w:b/>
          <w:bCs/>
          <w:sz w:val="32"/>
          <w:szCs w:val="32"/>
        </w:rPr>
        <w:t>二、</w:t>
      </w:r>
      <w:r>
        <w:rPr>
          <w:rFonts w:hint="eastAsia" w:ascii="黑体" w:hAnsi="黑体" w:eastAsia="黑体"/>
          <w:b/>
          <w:bCs/>
          <w:sz w:val="32"/>
          <w:szCs w:val="32"/>
          <w:lang w:eastAsia="zh-CN"/>
        </w:rPr>
        <w:t>一般公共预算支出</w:t>
      </w:r>
      <w:r>
        <w:rPr>
          <w:rFonts w:hint="eastAsia" w:ascii="黑体" w:hAnsi="黑体" w:eastAsia="黑体"/>
          <w:b/>
          <w:bCs/>
          <w:sz w:val="32"/>
          <w:szCs w:val="32"/>
        </w:rPr>
        <w:t>情况</w:t>
      </w:r>
    </w:p>
    <w:p w14:paraId="7A25A68F">
      <w:pPr>
        <w:shd w:val="clear"/>
        <w:ind w:firstLine="640" w:firstLineChars="200"/>
        <w:jc w:val="left"/>
        <w:rPr>
          <w:rFonts w:ascii="仿宋" w:hAnsi="仿宋" w:eastAsia="仿宋"/>
          <w:b/>
          <w:sz w:val="32"/>
          <w:szCs w:val="32"/>
        </w:rPr>
      </w:pPr>
      <w:r>
        <w:rPr>
          <w:rFonts w:hint="eastAsia" w:ascii="仿宋" w:hAnsi="仿宋" w:eastAsia="仿宋"/>
          <w:b/>
          <w:sz w:val="32"/>
          <w:szCs w:val="32"/>
        </w:rPr>
        <w:t>（一）基本支出</w:t>
      </w:r>
    </w:p>
    <w:p w14:paraId="261A022E">
      <w:pPr>
        <w:shd w:val="clear"/>
        <w:ind w:firstLine="640" w:firstLineChars="200"/>
        <w:jc w:val="left"/>
        <w:rPr>
          <w:rFonts w:hint="default" w:ascii="仿宋" w:hAnsi="仿宋" w:eastAsia="仿宋"/>
          <w:sz w:val="32"/>
          <w:szCs w:val="32"/>
          <w:lang w:val="en-US"/>
        </w:rPr>
      </w:pPr>
      <w:r>
        <w:rPr>
          <w:rFonts w:hint="eastAsia" w:ascii="仿宋" w:hAnsi="仿宋" w:eastAsia="仿宋"/>
          <w:sz w:val="32"/>
          <w:szCs w:val="32"/>
          <w:lang w:val="en-US" w:eastAsia="zh-CN"/>
        </w:rPr>
        <w:t>2023年</w:t>
      </w:r>
      <w:r>
        <w:rPr>
          <w:rFonts w:hint="eastAsia" w:ascii="仿宋" w:hAnsi="仿宋" w:eastAsia="仿宋"/>
          <w:sz w:val="32"/>
          <w:szCs w:val="32"/>
        </w:rPr>
        <w:t>度</w:t>
      </w:r>
      <w:r>
        <w:rPr>
          <w:rFonts w:hint="eastAsia" w:ascii="仿宋" w:hAnsi="仿宋" w:eastAsia="仿宋"/>
          <w:sz w:val="32"/>
          <w:szCs w:val="32"/>
          <w:lang w:eastAsia="zh-CN"/>
        </w:rPr>
        <w:t>本</w:t>
      </w:r>
      <w:r>
        <w:rPr>
          <w:rFonts w:hint="eastAsia" w:ascii="仿宋" w:hAnsi="仿宋" w:eastAsia="仿宋"/>
          <w:sz w:val="32"/>
          <w:szCs w:val="32"/>
        </w:rPr>
        <w:t>部门基本支出</w:t>
      </w:r>
      <w:r>
        <w:rPr>
          <w:rFonts w:hint="eastAsia" w:ascii="仿宋" w:hAnsi="仿宋" w:eastAsia="仿宋"/>
          <w:sz w:val="32"/>
          <w:szCs w:val="32"/>
          <w:lang w:val="en-US" w:eastAsia="zh-CN"/>
        </w:rPr>
        <w:t>1148</w:t>
      </w:r>
      <w:r>
        <w:rPr>
          <w:rFonts w:hint="eastAsia" w:ascii="仿宋" w:hAnsi="仿宋" w:eastAsia="仿宋"/>
          <w:sz w:val="32"/>
          <w:szCs w:val="32"/>
        </w:rPr>
        <w:t>万元，占总支出</w:t>
      </w:r>
      <w:r>
        <w:rPr>
          <w:rFonts w:hint="eastAsia" w:ascii="仿宋" w:hAnsi="仿宋" w:eastAsia="仿宋"/>
          <w:sz w:val="32"/>
          <w:szCs w:val="32"/>
          <w:lang w:eastAsia="zh-CN"/>
        </w:rPr>
        <w:t>的</w:t>
      </w:r>
      <w:r>
        <w:rPr>
          <w:rFonts w:hint="eastAsia" w:ascii="仿宋" w:hAnsi="仿宋" w:eastAsia="仿宋"/>
          <w:sz w:val="32"/>
          <w:szCs w:val="32"/>
          <w:lang w:val="en-US" w:eastAsia="zh-CN"/>
        </w:rPr>
        <w:t>14.12</w:t>
      </w:r>
      <w:r>
        <w:rPr>
          <w:rFonts w:hint="eastAsia" w:ascii="仿宋" w:hAnsi="仿宋" w:eastAsia="仿宋"/>
          <w:sz w:val="32"/>
          <w:szCs w:val="32"/>
        </w:rPr>
        <w:t>%</w:t>
      </w:r>
      <w:r>
        <w:rPr>
          <w:rFonts w:hint="eastAsia" w:ascii="仿宋" w:hAnsi="仿宋" w:eastAsia="仿宋"/>
          <w:sz w:val="32"/>
          <w:szCs w:val="32"/>
          <w:lang w:eastAsia="zh-CN"/>
        </w:rPr>
        <w:t>。</w:t>
      </w:r>
      <w:r>
        <w:rPr>
          <w:rFonts w:hint="eastAsia" w:ascii="仿宋" w:hAnsi="仿宋" w:eastAsia="仿宋"/>
          <w:sz w:val="32"/>
          <w:szCs w:val="32"/>
        </w:rPr>
        <w:t>其中：工资福利支出</w:t>
      </w:r>
      <w:r>
        <w:rPr>
          <w:rFonts w:hint="eastAsia" w:ascii="仿宋" w:hAnsi="仿宋" w:eastAsia="仿宋"/>
          <w:sz w:val="32"/>
          <w:szCs w:val="32"/>
          <w:lang w:val="en-US" w:eastAsia="zh-CN"/>
        </w:rPr>
        <w:t>847.90</w:t>
      </w:r>
      <w:r>
        <w:rPr>
          <w:rFonts w:hint="eastAsia" w:ascii="仿宋" w:hAnsi="仿宋" w:eastAsia="仿宋"/>
          <w:sz w:val="32"/>
          <w:szCs w:val="32"/>
        </w:rPr>
        <w:t>万元，主要用于基本工资、津贴补贴、奖金、伙食补助费、机关事业单位基本医疗保险缴费、其他社会保障费、住房公积金等支出;商品和服务支出</w:t>
      </w:r>
      <w:r>
        <w:rPr>
          <w:rFonts w:hint="eastAsia" w:ascii="仿宋" w:hAnsi="仿宋" w:eastAsia="仿宋"/>
          <w:sz w:val="32"/>
          <w:szCs w:val="32"/>
          <w:lang w:val="en-US" w:eastAsia="zh-CN"/>
        </w:rPr>
        <w:t>100.20</w:t>
      </w:r>
      <w:r>
        <w:rPr>
          <w:rFonts w:hint="eastAsia" w:ascii="仿宋" w:hAnsi="仿宋" w:eastAsia="仿宋"/>
          <w:sz w:val="32"/>
          <w:szCs w:val="32"/>
        </w:rPr>
        <w:t>万元，主要用于办公费、印刷费、</w:t>
      </w:r>
      <w:r>
        <w:rPr>
          <w:rFonts w:hint="eastAsia" w:ascii="仿宋" w:hAnsi="仿宋" w:eastAsia="仿宋"/>
          <w:sz w:val="32"/>
          <w:szCs w:val="32"/>
          <w:lang w:eastAsia="zh-CN"/>
        </w:rPr>
        <w:t>咨询费、</w:t>
      </w:r>
      <w:r>
        <w:rPr>
          <w:rFonts w:hint="eastAsia" w:ascii="仿宋" w:hAnsi="仿宋" w:eastAsia="仿宋"/>
          <w:sz w:val="32"/>
          <w:szCs w:val="32"/>
        </w:rPr>
        <w:t xml:space="preserve">维修费、差旅费、其他交通费用、扶贫点支出等；对个人家庭补助支出 </w:t>
      </w:r>
      <w:r>
        <w:rPr>
          <w:rFonts w:hint="eastAsia" w:ascii="仿宋" w:hAnsi="仿宋" w:eastAsia="仿宋"/>
          <w:sz w:val="32"/>
          <w:szCs w:val="32"/>
          <w:lang w:val="en-US" w:eastAsia="zh-CN"/>
        </w:rPr>
        <w:t>198.45</w:t>
      </w:r>
      <w:r>
        <w:rPr>
          <w:rFonts w:hint="eastAsia" w:ascii="仿宋" w:hAnsi="仿宋" w:eastAsia="仿宋"/>
          <w:sz w:val="32"/>
          <w:szCs w:val="32"/>
        </w:rPr>
        <w:t>万元，主要用于抚恤金</w:t>
      </w:r>
      <w:r>
        <w:rPr>
          <w:rFonts w:hint="eastAsia" w:ascii="仿宋" w:hAnsi="仿宋" w:eastAsia="仿宋"/>
          <w:sz w:val="32"/>
          <w:szCs w:val="32"/>
          <w:lang w:eastAsia="zh-CN"/>
        </w:rPr>
        <w:t>和</w:t>
      </w:r>
      <w:r>
        <w:rPr>
          <w:rFonts w:hint="eastAsia" w:ascii="仿宋" w:hAnsi="仿宋" w:eastAsia="仿宋"/>
          <w:sz w:val="32"/>
          <w:szCs w:val="32"/>
        </w:rPr>
        <w:t>遗属的生活补助</w:t>
      </w:r>
      <w:r>
        <w:rPr>
          <w:rFonts w:hint="eastAsia" w:ascii="仿宋" w:hAnsi="仿宋" w:eastAsia="仿宋"/>
          <w:sz w:val="32"/>
          <w:szCs w:val="32"/>
          <w:lang w:eastAsia="zh-CN"/>
        </w:rPr>
        <w:t>和独生子女奖励金</w:t>
      </w:r>
      <w:r>
        <w:rPr>
          <w:rFonts w:hint="eastAsia" w:ascii="仿宋" w:hAnsi="仿宋" w:eastAsia="仿宋"/>
          <w:sz w:val="32"/>
          <w:szCs w:val="32"/>
        </w:rPr>
        <w:t>等</w:t>
      </w:r>
      <w:r>
        <w:rPr>
          <w:rFonts w:hint="eastAsia" w:ascii="仿宋" w:hAnsi="仿宋" w:eastAsia="仿宋"/>
          <w:sz w:val="32"/>
          <w:szCs w:val="32"/>
          <w:lang w:val="en-US" w:eastAsia="zh-CN"/>
        </w:rPr>
        <w:t>支出；资本性支出1.45万元，主要用于办公设备的购置支出。</w:t>
      </w:r>
    </w:p>
    <w:p w14:paraId="469C1F02">
      <w:pPr>
        <w:widowControl/>
        <w:shd w:val="clear"/>
        <w:ind w:firstLine="640" w:firstLineChars="200"/>
        <w:rPr>
          <w:rFonts w:ascii="仿宋" w:hAnsi="仿宋" w:eastAsia="仿宋"/>
          <w:sz w:val="32"/>
          <w:szCs w:val="32"/>
        </w:rPr>
      </w:pPr>
      <w:r>
        <w:rPr>
          <w:rFonts w:hint="eastAsia" w:ascii="仿宋" w:hAnsi="仿宋" w:eastAsia="仿宋"/>
          <w:sz w:val="32"/>
          <w:szCs w:val="32"/>
          <w:lang w:eastAsia="zh-CN"/>
        </w:rPr>
        <w:t>2023年“三公经费”列支明细：</w:t>
      </w:r>
      <w:r>
        <w:rPr>
          <w:rFonts w:hint="eastAsia" w:ascii="仿宋" w:hAnsi="仿宋" w:eastAsia="仿宋"/>
          <w:sz w:val="32"/>
          <w:szCs w:val="32"/>
        </w:rPr>
        <w:t>公车运行费为0万元，主要是没有公务车辆；公务接待费</w:t>
      </w:r>
      <w:r>
        <w:rPr>
          <w:rFonts w:hint="eastAsia" w:ascii="仿宋" w:hAnsi="仿宋" w:eastAsia="仿宋"/>
          <w:sz w:val="32"/>
          <w:szCs w:val="32"/>
          <w:lang w:val="en-US" w:eastAsia="zh-CN"/>
        </w:rPr>
        <w:t>10.55</w:t>
      </w:r>
      <w:r>
        <w:rPr>
          <w:rFonts w:hint="eastAsia" w:ascii="仿宋" w:hAnsi="仿宋" w:eastAsia="仿宋"/>
          <w:sz w:val="32"/>
          <w:szCs w:val="32"/>
          <w:lang w:eastAsia="zh-CN"/>
        </w:rPr>
        <w:t>万元（其中：基本支出</w:t>
      </w:r>
      <w:r>
        <w:rPr>
          <w:rFonts w:hint="eastAsia" w:ascii="仿宋" w:hAnsi="仿宋" w:eastAsia="仿宋"/>
          <w:sz w:val="32"/>
          <w:szCs w:val="32"/>
          <w:lang w:val="en-US" w:eastAsia="zh-CN"/>
        </w:rPr>
        <w:t>1.37万元，项目支出9.18万元），</w:t>
      </w:r>
      <w:r>
        <w:rPr>
          <w:rFonts w:hint="eastAsia" w:ascii="仿宋" w:hAnsi="仿宋" w:eastAsia="仿宋"/>
          <w:sz w:val="32"/>
          <w:szCs w:val="32"/>
        </w:rPr>
        <w:t>无因公出国（境）费，</w:t>
      </w:r>
      <w:r>
        <w:rPr>
          <w:rFonts w:hint="eastAsia" w:ascii="仿宋" w:hAnsi="仿宋" w:eastAsia="仿宋"/>
          <w:sz w:val="32"/>
          <w:szCs w:val="32"/>
          <w:lang w:eastAsia="zh-CN"/>
        </w:rPr>
        <w:t>所有支出均很好的控制在预算范围之内，确保资金使用的合规合理。</w:t>
      </w:r>
    </w:p>
    <w:p w14:paraId="08ED6A3C">
      <w:pPr>
        <w:widowControl/>
        <w:shd w:val="clear"/>
        <w:spacing w:line="600" w:lineRule="exact"/>
        <w:ind w:firstLine="640" w:firstLineChars="200"/>
        <w:rPr>
          <w:rFonts w:ascii="仿宋" w:hAnsi="仿宋" w:eastAsia="仿宋"/>
          <w:b/>
          <w:sz w:val="32"/>
          <w:szCs w:val="32"/>
        </w:rPr>
      </w:pPr>
      <w:r>
        <w:rPr>
          <w:rFonts w:hint="eastAsia" w:ascii="仿宋" w:hAnsi="仿宋" w:eastAsia="仿宋"/>
          <w:b/>
          <w:sz w:val="32"/>
          <w:szCs w:val="32"/>
        </w:rPr>
        <w:t>（二）</w:t>
      </w:r>
      <w:r>
        <w:rPr>
          <w:rFonts w:hint="eastAsia" w:ascii="仿宋" w:hAnsi="仿宋" w:eastAsia="仿宋"/>
          <w:b/>
          <w:sz w:val="32"/>
          <w:szCs w:val="32"/>
          <w:lang w:eastAsia="zh-CN"/>
        </w:rPr>
        <w:t>资金</w:t>
      </w:r>
      <w:r>
        <w:rPr>
          <w:rFonts w:hint="eastAsia" w:ascii="仿宋" w:hAnsi="仿宋" w:eastAsia="仿宋"/>
          <w:b/>
          <w:sz w:val="32"/>
          <w:szCs w:val="32"/>
        </w:rPr>
        <w:t>管理情况</w:t>
      </w:r>
    </w:p>
    <w:p w14:paraId="359A8625">
      <w:pPr>
        <w:widowControl/>
        <w:shd w:val="clear"/>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完善制度。积极推动单位内部控制建设，制定了《县发改局内部控制制度》，完善了《</w:t>
      </w:r>
      <w:r>
        <w:rPr>
          <w:rFonts w:hint="eastAsia" w:ascii="仿宋" w:hAnsi="仿宋" w:eastAsia="仿宋"/>
          <w:sz w:val="32"/>
          <w:szCs w:val="32"/>
          <w:lang w:eastAsia="zh-CN"/>
        </w:rPr>
        <w:t>局机关财务</w:t>
      </w:r>
      <w:r>
        <w:rPr>
          <w:rFonts w:hint="eastAsia" w:ascii="仿宋" w:hAnsi="仿宋" w:eastAsia="仿宋"/>
          <w:sz w:val="32"/>
          <w:szCs w:val="32"/>
        </w:rPr>
        <w:t>管理制度》、《</w:t>
      </w:r>
      <w:r>
        <w:rPr>
          <w:rFonts w:hint="eastAsia" w:ascii="仿宋" w:hAnsi="仿宋" w:eastAsia="仿宋"/>
          <w:sz w:val="32"/>
          <w:szCs w:val="32"/>
          <w:lang w:eastAsia="zh-CN"/>
        </w:rPr>
        <w:t>局机关</w:t>
      </w:r>
      <w:r>
        <w:rPr>
          <w:rFonts w:hint="eastAsia" w:ascii="仿宋" w:hAnsi="仿宋" w:eastAsia="仿宋"/>
          <w:sz w:val="32"/>
          <w:szCs w:val="32"/>
        </w:rPr>
        <w:t>考勤制度》、《行政工作问责制度》等</w:t>
      </w:r>
      <w:r>
        <w:rPr>
          <w:rFonts w:hint="eastAsia" w:ascii="仿宋" w:hAnsi="仿宋" w:eastAsia="仿宋"/>
          <w:sz w:val="32"/>
          <w:szCs w:val="32"/>
          <w:lang w:eastAsia="zh-CN"/>
        </w:rPr>
        <w:t>工作制度</w:t>
      </w:r>
      <w:r>
        <w:rPr>
          <w:rFonts w:hint="eastAsia" w:ascii="仿宋" w:hAnsi="仿宋" w:eastAsia="仿宋"/>
          <w:sz w:val="32"/>
          <w:szCs w:val="32"/>
        </w:rPr>
        <w:t>。</w:t>
      </w:r>
    </w:p>
    <w:p w14:paraId="58A600DB">
      <w:pPr>
        <w:widowControl/>
        <w:shd w:val="clea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严控支出。我局严格执行财务预算和财务管理制度，</w:t>
      </w:r>
      <w:r>
        <w:rPr>
          <w:rFonts w:hint="eastAsia" w:ascii="仿宋" w:hAnsi="仿宋" w:eastAsia="仿宋"/>
          <w:sz w:val="32"/>
          <w:szCs w:val="32"/>
          <w:lang w:eastAsia="zh-CN"/>
        </w:rPr>
        <w:t>各类</w:t>
      </w:r>
      <w:r>
        <w:rPr>
          <w:rFonts w:hint="eastAsia" w:ascii="仿宋" w:hAnsi="仿宋" w:eastAsia="仿宋"/>
          <w:sz w:val="32"/>
          <w:szCs w:val="32"/>
        </w:rPr>
        <w:t>经费控制有序；全年所有支出无挤占挪用项目资金情况</w:t>
      </w:r>
      <w:r>
        <w:rPr>
          <w:rFonts w:hint="eastAsia" w:ascii="仿宋" w:hAnsi="仿宋" w:eastAsia="仿宋"/>
          <w:sz w:val="32"/>
          <w:szCs w:val="32"/>
          <w:lang w:eastAsia="zh-CN"/>
        </w:rPr>
        <w:t>，</w:t>
      </w:r>
      <w:r>
        <w:rPr>
          <w:rFonts w:hint="eastAsia" w:ascii="仿宋" w:hAnsi="仿宋" w:eastAsia="仿宋"/>
          <w:sz w:val="32"/>
          <w:szCs w:val="32"/>
        </w:rPr>
        <w:t>均控制在预算和调整预算数范围之内。</w:t>
      </w:r>
    </w:p>
    <w:p w14:paraId="06B60F26">
      <w:pPr>
        <w:widowControl/>
        <w:shd w:val="clear"/>
        <w:spacing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规范管理。对于经费支出，明确审批权限</w:t>
      </w:r>
      <w:r>
        <w:rPr>
          <w:rFonts w:hint="eastAsia" w:ascii="仿宋" w:hAnsi="仿宋" w:eastAsia="仿宋"/>
          <w:sz w:val="32"/>
          <w:szCs w:val="32"/>
          <w:lang w:eastAsia="zh-CN"/>
        </w:rPr>
        <w:t>，</w:t>
      </w:r>
      <w:r>
        <w:rPr>
          <w:rFonts w:hint="eastAsia" w:ascii="仿宋" w:hAnsi="仿宋" w:eastAsia="仿宋"/>
          <w:sz w:val="32"/>
          <w:szCs w:val="32"/>
        </w:rPr>
        <w:t>严格按照审批制度执行，坚决实行报账审批“一支笔”，重大开支经局党组集体研究；</w:t>
      </w:r>
      <w:r>
        <w:rPr>
          <w:rFonts w:hint="eastAsia" w:ascii="仿宋" w:hAnsi="仿宋" w:eastAsia="仿宋"/>
          <w:sz w:val="32"/>
          <w:szCs w:val="32"/>
          <w:lang w:eastAsia="zh-CN"/>
        </w:rPr>
        <w:t>办公用品、</w:t>
      </w:r>
      <w:r>
        <w:rPr>
          <w:rFonts w:hint="eastAsia" w:ascii="仿宋" w:hAnsi="仿宋" w:eastAsia="仿宋"/>
          <w:sz w:val="32"/>
          <w:szCs w:val="32"/>
        </w:rPr>
        <w:t>设备购置</w:t>
      </w:r>
      <w:r>
        <w:rPr>
          <w:rFonts w:hint="eastAsia" w:ascii="仿宋" w:hAnsi="仿宋" w:eastAsia="仿宋"/>
          <w:sz w:val="32"/>
          <w:szCs w:val="32"/>
          <w:lang w:eastAsia="zh-CN"/>
        </w:rPr>
        <w:t>及购买服务等一律按要求</w:t>
      </w:r>
      <w:r>
        <w:rPr>
          <w:rFonts w:hint="eastAsia" w:ascii="仿宋" w:hAnsi="仿宋" w:eastAsia="仿宋"/>
          <w:sz w:val="32"/>
          <w:szCs w:val="32"/>
        </w:rPr>
        <w:t>履行政府采购程序</w:t>
      </w:r>
      <w:r>
        <w:rPr>
          <w:rFonts w:hint="eastAsia" w:ascii="仿宋" w:hAnsi="仿宋" w:eastAsia="仿宋"/>
          <w:sz w:val="32"/>
          <w:szCs w:val="32"/>
          <w:lang w:eastAsia="zh-CN"/>
        </w:rPr>
        <w:t>，在电子卖场统一采购</w:t>
      </w:r>
      <w:r>
        <w:rPr>
          <w:rFonts w:hint="eastAsia" w:ascii="仿宋" w:hAnsi="仿宋" w:eastAsia="仿宋"/>
          <w:sz w:val="32"/>
          <w:szCs w:val="32"/>
        </w:rPr>
        <w:t>；会议费、差旅费、培训费和“三公经费”按相关文件规定执行</w:t>
      </w:r>
      <w:r>
        <w:rPr>
          <w:rFonts w:hint="eastAsia" w:ascii="仿宋" w:hAnsi="仿宋" w:eastAsia="仿宋"/>
          <w:sz w:val="32"/>
          <w:szCs w:val="32"/>
          <w:lang w:eastAsia="zh-CN"/>
        </w:rPr>
        <w:t>。</w:t>
      </w:r>
      <w:r>
        <w:rPr>
          <w:rFonts w:hint="eastAsia" w:ascii="仿宋" w:hAnsi="仿宋" w:eastAsia="仿宋"/>
          <w:sz w:val="32"/>
          <w:szCs w:val="32"/>
        </w:rPr>
        <w:t>加强监督检查，做好机关财务自查自审，发现问题及时制定措施</w:t>
      </w:r>
      <w:r>
        <w:rPr>
          <w:rFonts w:hint="eastAsia" w:ascii="仿宋" w:hAnsi="仿宋" w:eastAsia="仿宋"/>
          <w:sz w:val="32"/>
          <w:szCs w:val="32"/>
          <w:lang w:eastAsia="zh-CN"/>
        </w:rPr>
        <w:t>进行</w:t>
      </w:r>
      <w:r>
        <w:rPr>
          <w:rFonts w:hint="eastAsia" w:ascii="仿宋" w:hAnsi="仿宋" w:eastAsia="仿宋"/>
          <w:sz w:val="32"/>
          <w:szCs w:val="32"/>
        </w:rPr>
        <w:t>整改。积极推进局机关经费公开，自觉接受监督。我局按照要求在</w:t>
      </w:r>
      <w:r>
        <w:rPr>
          <w:rFonts w:hint="eastAsia" w:ascii="仿宋" w:hAnsi="仿宋" w:eastAsia="仿宋"/>
          <w:sz w:val="32"/>
          <w:szCs w:val="32"/>
          <w:lang w:eastAsia="zh-CN"/>
        </w:rPr>
        <w:t>政府门户</w:t>
      </w:r>
      <w:r>
        <w:rPr>
          <w:rFonts w:hint="eastAsia" w:ascii="仿宋" w:hAnsi="仿宋" w:eastAsia="仿宋"/>
          <w:sz w:val="32"/>
          <w:szCs w:val="32"/>
        </w:rPr>
        <w:t>网站及时公开部门预、决算和“三公经费”支出情况，做到了公开透明。</w:t>
      </w:r>
    </w:p>
    <w:p w14:paraId="26E26EFF">
      <w:pPr>
        <w:widowControl/>
        <w:shd w:val="clear"/>
        <w:spacing w:line="600" w:lineRule="exact"/>
        <w:ind w:firstLine="640" w:firstLineChars="200"/>
        <w:rPr>
          <w:rFonts w:hint="eastAsia" w:ascii="仿宋" w:hAnsi="仿宋" w:eastAsia="仿宋"/>
          <w:b/>
          <w:bCs/>
          <w:sz w:val="32"/>
          <w:szCs w:val="32"/>
          <w:lang w:eastAsia="zh-CN"/>
        </w:rPr>
      </w:pPr>
      <w:r>
        <w:rPr>
          <w:rFonts w:hint="eastAsia" w:ascii="仿宋" w:hAnsi="仿宋" w:eastAsia="仿宋"/>
          <w:b/>
          <w:bCs/>
          <w:sz w:val="32"/>
          <w:szCs w:val="32"/>
          <w:lang w:eastAsia="zh-CN"/>
        </w:rPr>
        <w:t>（三）专项资金支出及管理情况</w:t>
      </w:r>
    </w:p>
    <w:p w14:paraId="2674EBD0">
      <w:pPr>
        <w:shd w:val="clear"/>
        <w:ind w:firstLine="596" w:firstLineChars="200"/>
        <w:jc w:val="left"/>
        <w:rPr>
          <w:rFonts w:hint="eastAsia" w:ascii="仿宋" w:hAnsi="仿宋" w:eastAsia="仿宋"/>
          <w:spacing w:val="-11"/>
          <w:sz w:val="32"/>
          <w:szCs w:val="32"/>
          <w:lang w:val="en-US" w:eastAsia="zh-CN"/>
        </w:rPr>
      </w:pPr>
      <w:r>
        <w:rPr>
          <w:rFonts w:hint="eastAsia" w:ascii="仿宋" w:hAnsi="仿宋" w:eastAsia="仿宋"/>
          <w:spacing w:val="-11"/>
          <w:sz w:val="32"/>
          <w:szCs w:val="32"/>
          <w:lang w:val="en-US" w:eastAsia="zh-CN"/>
        </w:rPr>
        <w:t>2023年本部门</w:t>
      </w:r>
      <w:r>
        <w:rPr>
          <w:rFonts w:hint="eastAsia" w:ascii="仿宋" w:hAnsi="仿宋" w:eastAsia="仿宋"/>
          <w:spacing w:val="-11"/>
          <w:sz w:val="32"/>
          <w:szCs w:val="32"/>
        </w:rPr>
        <w:t>项目支出</w:t>
      </w:r>
      <w:r>
        <w:rPr>
          <w:rFonts w:hint="eastAsia" w:ascii="仿宋" w:hAnsi="仿宋" w:eastAsia="仿宋"/>
          <w:spacing w:val="-11"/>
          <w:sz w:val="32"/>
          <w:szCs w:val="32"/>
          <w:lang w:val="en-US" w:eastAsia="zh-CN"/>
        </w:rPr>
        <w:t>6981.36</w:t>
      </w:r>
      <w:r>
        <w:rPr>
          <w:rFonts w:hint="eastAsia" w:ascii="仿宋" w:hAnsi="仿宋" w:eastAsia="仿宋"/>
          <w:spacing w:val="-11"/>
          <w:sz w:val="32"/>
          <w:szCs w:val="32"/>
        </w:rPr>
        <w:t>万元，占总支出</w:t>
      </w:r>
      <w:r>
        <w:rPr>
          <w:rFonts w:hint="eastAsia" w:ascii="仿宋" w:hAnsi="仿宋" w:eastAsia="仿宋"/>
          <w:spacing w:val="-11"/>
          <w:sz w:val="32"/>
          <w:szCs w:val="32"/>
          <w:lang w:eastAsia="zh-CN"/>
        </w:rPr>
        <w:t>的</w:t>
      </w:r>
      <w:r>
        <w:rPr>
          <w:rFonts w:hint="eastAsia" w:ascii="仿宋" w:hAnsi="仿宋" w:eastAsia="仿宋"/>
          <w:spacing w:val="-11"/>
          <w:sz w:val="32"/>
          <w:szCs w:val="32"/>
          <w:lang w:val="en-US" w:eastAsia="zh-CN"/>
        </w:rPr>
        <w:t>85.88</w:t>
      </w:r>
      <w:r>
        <w:rPr>
          <w:rFonts w:hint="eastAsia" w:ascii="仿宋" w:hAnsi="仿宋" w:eastAsia="仿宋"/>
          <w:spacing w:val="-11"/>
          <w:sz w:val="32"/>
          <w:szCs w:val="32"/>
        </w:rPr>
        <w:t>%</w:t>
      </w:r>
      <w:r>
        <w:rPr>
          <w:rFonts w:hint="eastAsia" w:ascii="仿宋" w:hAnsi="仿宋" w:eastAsia="仿宋"/>
          <w:spacing w:val="-11"/>
          <w:sz w:val="32"/>
          <w:szCs w:val="32"/>
          <w:lang w:eastAsia="zh-CN"/>
        </w:rPr>
        <w:t>。</w:t>
      </w:r>
      <w:r>
        <w:rPr>
          <w:rFonts w:hint="eastAsia" w:ascii="仿宋" w:hAnsi="仿宋" w:eastAsia="仿宋"/>
          <w:spacing w:val="-20"/>
          <w:sz w:val="32"/>
          <w:szCs w:val="32"/>
          <w:lang w:val="en-US" w:eastAsia="zh-CN"/>
        </w:rPr>
        <w:t xml:space="preserve">    </w:t>
      </w:r>
      <w:r>
        <w:rPr>
          <w:rFonts w:hint="eastAsia" w:ascii="仿宋" w:hAnsi="仿宋" w:eastAsia="仿宋"/>
          <w:sz w:val="32"/>
          <w:szCs w:val="32"/>
          <w:lang w:eastAsia="zh-CN"/>
        </w:rPr>
        <w:t>其中包含：储备粮项目支出</w:t>
      </w:r>
      <w:r>
        <w:rPr>
          <w:rFonts w:hint="eastAsia" w:ascii="仿宋" w:hAnsi="仿宋" w:eastAsia="仿宋"/>
          <w:sz w:val="32"/>
          <w:szCs w:val="32"/>
          <w:lang w:val="en-US" w:eastAsia="zh-CN"/>
        </w:rPr>
        <w:t>276.71万元；项目前期工作经费支出579.85万元，均坪煤矿采煤深陷区基础设施建设和生态修复与环境整治项目支出810.73万元，溆浦仲夏区域生态产品价值实现项目4573.25万元，2020年以工代赈项目支出210万元，应急成品粮84.1万元等。在项目的实施中，根据财政专项资金管理制度和财务管理办法，实行专款专用，严格执行报账程序，严格</w:t>
      </w:r>
      <w:r>
        <w:rPr>
          <w:rFonts w:hint="eastAsia" w:ascii="仿宋" w:hAnsi="仿宋" w:eastAsia="仿宋"/>
          <w:spacing w:val="-11"/>
          <w:sz w:val="32"/>
          <w:szCs w:val="32"/>
          <w:lang w:val="en-US" w:eastAsia="zh-CN"/>
        </w:rPr>
        <w:t>控制项目支出，发挥资金的最大效益，确保预期目标如期完成，没有资金违规使用情况。</w:t>
      </w:r>
    </w:p>
    <w:p w14:paraId="3D77C765">
      <w:pPr>
        <w:pStyle w:val="2"/>
        <w:numPr>
          <w:ilvl w:val="0"/>
          <w:numId w:val="0"/>
        </w:numPr>
        <w:shd w:val="clear"/>
        <w:ind w:left="640" w:leftChars="0" w:right="1470" w:rightChars="700"/>
        <w:rPr>
          <w:rFonts w:hint="eastAsia" w:ascii="黑体" w:hAnsi="黑体" w:eastAsia="黑体" w:cstheme="minorBidi"/>
          <w:b/>
          <w:bCs/>
          <w:kern w:val="2"/>
          <w:sz w:val="32"/>
          <w:szCs w:val="32"/>
          <w:lang w:val="en-US" w:eastAsia="zh-CN" w:bidi="ar-SA"/>
        </w:rPr>
      </w:pPr>
      <w:r>
        <w:rPr>
          <w:rFonts w:hint="eastAsia" w:ascii="黑体" w:hAnsi="黑体" w:eastAsia="黑体" w:cstheme="minorBidi"/>
          <w:b/>
          <w:bCs/>
          <w:kern w:val="2"/>
          <w:sz w:val="32"/>
          <w:szCs w:val="32"/>
          <w:lang w:val="en-US" w:eastAsia="zh-CN" w:bidi="ar-SA"/>
        </w:rPr>
        <w:t>三、政府性基金预算支出情况</w:t>
      </w:r>
    </w:p>
    <w:p w14:paraId="40BF04A8">
      <w:pPr>
        <w:pStyle w:val="2"/>
        <w:numPr>
          <w:ilvl w:val="0"/>
          <w:numId w:val="0"/>
        </w:numPr>
        <w:shd w:val="clear"/>
        <w:ind w:left="640" w:leftChars="0" w:right="1470" w:rightChars="700"/>
        <w:rPr>
          <w:rFonts w:hint="default" w:ascii="仿宋" w:hAnsi="仿宋" w:eastAsia="仿宋" w:cstheme="minorBidi"/>
          <w:spacing w:val="-11"/>
          <w:kern w:val="2"/>
          <w:sz w:val="32"/>
          <w:szCs w:val="32"/>
          <w:lang w:val="en-US" w:eastAsia="zh-CN" w:bidi="ar-SA"/>
        </w:rPr>
      </w:pPr>
      <w:r>
        <w:rPr>
          <w:rFonts w:hint="eastAsia" w:ascii="仿宋" w:hAnsi="仿宋" w:eastAsia="仿宋" w:cstheme="minorBidi"/>
          <w:spacing w:val="-11"/>
          <w:kern w:val="2"/>
          <w:sz w:val="32"/>
          <w:szCs w:val="32"/>
          <w:lang w:val="en-US" w:eastAsia="zh-CN" w:bidi="ar-SA"/>
        </w:rPr>
        <w:t>政府性基金预算支出为无。</w:t>
      </w:r>
    </w:p>
    <w:p w14:paraId="3368BE68">
      <w:pPr>
        <w:widowControl/>
        <w:numPr>
          <w:ilvl w:val="0"/>
          <w:numId w:val="5"/>
        </w:numPr>
        <w:shd w:val="clear"/>
        <w:spacing w:line="600" w:lineRule="exact"/>
        <w:ind w:firstLine="640" w:firstLineChars="200"/>
        <w:rPr>
          <w:rFonts w:hint="eastAsia" w:ascii="黑体" w:hAnsi="黑体" w:eastAsia="黑体"/>
          <w:b/>
          <w:bCs/>
          <w:sz w:val="32"/>
          <w:szCs w:val="32"/>
          <w:lang w:eastAsia="zh-CN"/>
        </w:rPr>
      </w:pPr>
      <w:r>
        <w:rPr>
          <w:rFonts w:hint="eastAsia" w:ascii="黑体" w:hAnsi="黑体" w:eastAsia="黑体"/>
          <w:b/>
          <w:bCs/>
          <w:sz w:val="32"/>
          <w:szCs w:val="32"/>
          <w:lang w:eastAsia="zh-CN"/>
        </w:rPr>
        <w:t>国有资本经营预算支出情况</w:t>
      </w:r>
    </w:p>
    <w:p w14:paraId="1776E598">
      <w:pPr>
        <w:pStyle w:val="2"/>
        <w:numPr>
          <w:ilvl w:val="0"/>
          <w:numId w:val="0"/>
        </w:numPr>
        <w:shd w:val="clear"/>
        <w:ind w:left="640" w:leftChars="0" w:right="1470" w:rightChars="700"/>
        <w:rPr>
          <w:rFonts w:hint="eastAsia" w:ascii="仿宋" w:hAnsi="仿宋" w:eastAsia="仿宋" w:cstheme="minorBidi"/>
          <w:spacing w:val="-11"/>
          <w:kern w:val="2"/>
          <w:sz w:val="32"/>
          <w:szCs w:val="32"/>
          <w:lang w:val="en-US" w:eastAsia="zh-CN" w:bidi="ar-SA"/>
        </w:rPr>
      </w:pPr>
      <w:r>
        <w:rPr>
          <w:rFonts w:hint="eastAsia" w:ascii="仿宋" w:hAnsi="仿宋" w:eastAsia="仿宋" w:cstheme="minorBidi"/>
          <w:spacing w:val="-11"/>
          <w:kern w:val="2"/>
          <w:sz w:val="32"/>
          <w:szCs w:val="32"/>
          <w:lang w:val="en-US" w:eastAsia="zh-CN" w:bidi="ar-SA"/>
        </w:rPr>
        <w:t>政府性基金预算支出为无。</w:t>
      </w:r>
    </w:p>
    <w:p w14:paraId="31ACAD0D">
      <w:pPr>
        <w:widowControl/>
        <w:numPr>
          <w:ilvl w:val="0"/>
          <w:numId w:val="5"/>
        </w:numPr>
        <w:shd w:val="clear"/>
        <w:spacing w:line="600" w:lineRule="exact"/>
        <w:ind w:firstLine="640" w:firstLineChars="200"/>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社会保险基金预算支出情况</w:t>
      </w:r>
    </w:p>
    <w:p w14:paraId="6231FB06">
      <w:pPr>
        <w:pStyle w:val="2"/>
        <w:numPr>
          <w:ilvl w:val="0"/>
          <w:numId w:val="0"/>
        </w:numPr>
        <w:shd w:val="clear"/>
        <w:ind w:left="640" w:leftChars="0" w:right="1470" w:rightChars="700"/>
        <w:rPr>
          <w:rFonts w:hint="default" w:ascii="仿宋" w:hAnsi="仿宋" w:eastAsia="仿宋" w:cs="Times New Roman"/>
          <w:spacing w:val="-11"/>
          <w:kern w:val="2"/>
          <w:sz w:val="32"/>
          <w:szCs w:val="32"/>
          <w:lang w:val="en-US" w:eastAsia="zh-CN" w:bidi="ar-SA"/>
        </w:rPr>
      </w:pPr>
      <w:r>
        <w:rPr>
          <w:rFonts w:hint="eastAsia" w:ascii="仿宋" w:hAnsi="仿宋" w:eastAsia="仿宋" w:cstheme="minorBidi"/>
          <w:spacing w:val="-11"/>
          <w:kern w:val="2"/>
          <w:sz w:val="32"/>
          <w:szCs w:val="32"/>
          <w:lang w:val="en-US" w:eastAsia="zh-CN" w:bidi="ar-SA"/>
        </w:rPr>
        <w:t>社会保险基金预算支出为元。</w:t>
      </w:r>
    </w:p>
    <w:p w14:paraId="503B6235">
      <w:pPr>
        <w:widowControl/>
        <w:shd w:val="clear"/>
        <w:spacing w:line="600" w:lineRule="exact"/>
        <w:ind w:firstLine="640" w:firstLineChars="200"/>
        <w:rPr>
          <w:rFonts w:ascii="黑体" w:hAnsi="黑体" w:eastAsia="黑体"/>
          <w:sz w:val="32"/>
          <w:szCs w:val="32"/>
        </w:rPr>
      </w:pPr>
      <w:r>
        <w:rPr>
          <w:rFonts w:hint="eastAsia" w:ascii="黑体" w:hAnsi="黑体" w:eastAsia="黑体"/>
          <w:b/>
          <w:bCs/>
          <w:sz w:val="32"/>
          <w:szCs w:val="32"/>
          <w:lang w:eastAsia="zh-CN"/>
        </w:rPr>
        <w:t>六</w:t>
      </w:r>
      <w:r>
        <w:rPr>
          <w:rFonts w:hint="eastAsia" w:ascii="黑体" w:hAnsi="黑体" w:eastAsia="黑体"/>
          <w:b/>
          <w:bCs/>
          <w:sz w:val="32"/>
          <w:szCs w:val="32"/>
        </w:rPr>
        <w:t>、资产管理情况</w:t>
      </w:r>
    </w:p>
    <w:p w14:paraId="34EF9E18">
      <w:pPr>
        <w:widowControl/>
        <w:shd w:val="clear"/>
        <w:spacing w:line="600" w:lineRule="exact"/>
        <w:ind w:firstLine="640" w:firstLineChars="200"/>
        <w:rPr>
          <w:rFonts w:ascii="仿宋" w:hAnsi="仿宋" w:eastAsia="仿宋"/>
          <w:bCs/>
          <w:kern w:val="0"/>
          <w:sz w:val="32"/>
          <w:szCs w:val="32"/>
        </w:rPr>
      </w:pPr>
      <w:r>
        <w:rPr>
          <w:rFonts w:hint="eastAsia" w:ascii="仿宋" w:hAnsi="仿宋" w:eastAsia="仿宋" w:cs="宋体"/>
          <w:kern w:val="0"/>
          <w:sz w:val="32"/>
          <w:szCs w:val="32"/>
        </w:rPr>
        <w:t>为提高固定资产使用效率，加强固定资产的管理，我局对所属固定资产进行清点，目前，我单位固定资产已全部登记造册，并明确了使用人管理。</w:t>
      </w:r>
      <w:r>
        <w:rPr>
          <w:rFonts w:ascii="仿宋" w:hAnsi="仿宋" w:eastAsia="仿宋"/>
          <w:kern w:val="0"/>
          <w:sz w:val="32"/>
          <w:szCs w:val="32"/>
        </w:rPr>
        <w:t>截至</w:t>
      </w:r>
      <w:r>
        <w:rPr>
          <w:rFonts w:hint="eastAsia" w:ascii="仿宋" w:hAnsi="仿宋" w:eastAsia="仿宋"/>
          <w:kern w:val="0"/>
          <w:sz w:val="32"/>
          <w:szCs w:val="32"/>
          <w:lang w:eastAsia="zh-CN"/>
        </w:rPr>
        <w:t>2023年</w:t>
      </w:r>
      <w:r>
        <w:rPr>
          <w:rFonts w:ascii="仿宋" w:hAnsi="仿宋" w:eastAsia="仿宋"/>
          <w:kern w:val="0"/>
          <w:sz w:val="32"/>
          <w:szCs w:val="32"/>
        </w:rPr>
        <w:t>12 月31 日，</w:t>
      </w:r>
      <w:r>
        <w:rPr>
          <w:rFonts w:hint="eastAsia" w:ascii="仿宋" w:hAnsi="仿宋" w:eastAsia="仿宋"/>
          <w:bCs/>
          <w:kern w:val="0"/>
          <w:sz w:val="32"/>
          <w:szCs w:val="32"/>
        </w:rPr>
        <w:t>本单位固定资产</w:t>
      </w:r>
      <w:r>
        <w:rPr>
          <w:rFonts w:hint="eastAsia" w:ascii="仿宋" w:hAnsi="仿宋" w:eastAsia="仿宋"/>
          <w:bCs/>
          <w:kern w:val="0"/>
          <w:sz w:val="32"/>
          <w:szCs w:val="32"/>
          <w:lang w:eastAsia="zh-CN"/>
        </w:rPr>
        <w:t>账面价值为</w:t>
      </w:r>
      <w:r>
        <w:rPr>
          <w:rFonts w:hint="eastAsia" w:ascii="仿宋" w:hAnsi="仿宋" w:eastAsia="仿宋"/>
          <w:bCs/>
          <w:kern w:val="0"/>
          <w:sz w:val="32"/>
          <w:szCs w:val="32"/>
          <w:lang w:val="en-US" w:eastAsia="zh-CN"/>
        </w:rPr>
        <w:t>47.12</w:t>
      </w:r>
      <w:r>
        <w:rPr>
          <w:rFonts w:hint="eastAsia" w:ascii="仿宋" w:hAnsi="仿宋" w:eastAsia="仿宋"/>
          <w:bCs/>
          <w:kern w:val="0"/>
          <w:sz w:val="32"/>
          <w:szCs w:val="32"/>
        </w:rPr>
        <w:t>万元，其中：房屋建筑物</w:t>
      </w:r>
      <w:r>
        <w:rPr>
          <w:rFonts w:hint="eastAsia" w:ascii="仿宋" w:hAnsi="仿宋" w:eastAsia="仿宋"/>
          <w:bCs/>
          <w:kern w:val="0"/>
          <w:sz w:val="32"/>
          <w:szCs w:val="32"/>
          <w:lang w:val="en-US" w:eastAsia="zh-CN"/>
        </w:rPr>
        <w:t>2.18</w:t>
      </w:r>
      <w:r>
        <w:rPr>
          <w:rFonts w:hint="eastAsia" w:ascii="仿宋" w:hAnsi="仿宋" w:eastAsia="仿宋"/>
          <w:bCs/>
          <w:kern w:val="0"/>
          <w:sz w:val="32"/>
          <w:szCs w:val="32"/>
        </w:rPr>
        <w:t>万元，通用设备</w:t>
      </w:r>
      <w:r>
        <w:rPr>
          <w:rFonts w:hint="eastAsia" w:ascii="仿宋" w:hAnsi="仿宋" w:eastAsia="仿宋"/>
          <w:bCs/>
          <w:kern w:val="0"/>
          <w:sz w:val="32"/>
          <w:szCs w:val="32"/>
          <w:lang w:val="en-US" w:eastAsia="zh-CN"/>
        </w:rPr>
        <w:t>11.82</w:t>
      </w:r>
      <w:r>
        <w:rPr>
          <w:rFonts w:hint="eastAsia" w:ascii="仿宋" w:hAnsi="仿宋" w:eastAsia="仿宋"/>
          <w:bCs/>
          <w:kern w:val="0"/>
          <w:sz w:val="32"/>
          <w:szCs w:val="32"/>
        </w:rPr>
        <w:t>万元，专用设备</w:t>
      </w:r>
      <w:r>
        <w:rPr>
          <w:rFonts w:hint="eastAsia" w:ascii="仿宋" w:hAnsi="仿宋" w:eastAsia="仿宋"/>
          <w:bCs/>
          <w:kern w:val="0"/>
          <w:sz w:val="32"/>
          <w:szCs w:val="32"/>
          <w:lang w:val="en-US" w:eastAsia="zh-CN"/>
        </w:rPr>
        <w:t>26.83</w:t>
      </w:r>
      <w:r>
        <w:rPr>
          <w:rFonts w:hint="eastAsia" w:ascii="仿宋" w:hAnsi="仿宋" w:eastAsia="仿宋"/>
          <w:bCs/>
          <w:kern w:val="0"/>
          <w:sz w:val="32"/>
          <w:szCs w:val="32"/>
        </w:rPr>
        <w:t>万元，其它固定资产</w:t>
      </w:r>
      <w:r>
        <w:rPr>
          <w:rFonts w:hint="eastAsia" w:ascii="仿宋" w:hAnsi="仿宋" w:eastAsia="仿宋"/>
          <w:bCs/>
          <w:kern w:val="0"/>
          <w:sz w:val="32"/>
          <w:szCs w:val="32"/>
          <w:lang w:val="en-US" w:eastAsia="zh-CN"/>
        </w:rPr>
        <w:t>16.24</w:t>
      </w:r>
      <w:r>
        <w:rPr>
          <w:rFonts w:hint="eastAsia" w:ascii="仿宋" w:hAnsi="仿宋" w:eastAsia="仿宋"/>
          <w:bCs/>
          <w:kern w:val="0"/>
          <w:sz w:val="32"/>
          <w:szCs w:val="32"/>
        </w:rPr>
        <w:t>万元。</w:t>
      </w:r>
    </w:p>
    <w:p w14:paraId="618A7937">
      <w:pPr>
        <w:widowControl/>
        <w:shd w:val="clear"/>
        <w:spacing w:line="600" w:lineRule="exact"/>
        <w:ind w:firstLine="640" w:firstLineChars="200"/>
        <w:rPr>
          <w:rFonts w:ascii="黑体" w:hAnsi="黑体" w:eastAsia="黑体"/>
          <w:b/>
          <w:bCs/>
          <w:sz w:val="32"/>
          <w:szCs w:val="32"/>
        </w:rPr>
      </w:pPr>
      <w:r>
        <w:rPr>
          <w:rFonts w:hint="eastAsia" w:ascii="黑体" w:hAnsi="黑体" w:eastAsia="黑体"/>
          <w:b/>
          <w:bCs/>
          <w:sz w:val="32"/>
          <w:szCs w:val="32"/>
          <w:lang w:eastAsia="zh-CN"/>
        </w:rPr>
        <w:t>七</w:t>
      </w:r>
      <w:r>
        <w:rPr>
          <w:rFonts w:hint="eastAsia" w:ascii="黑体" w:hAnsi="黑体" w:eastAsia="黑体"/>
          <w:b/>
          <w:bCs/>
          <w:sz w:val="32"/>
          <w:szCs w:val="32"/>
        </w:rPr>
        <w:t>、部门整体支出绩效情况</w:t>
      </w:r>
    </w:p>
    <w:p w14:paraId="2FF640D3">
      <w:pPr>
        <w:widowControl/>
        <w:shd w:val="clear"/>
        <w:spacing w:line="600" w:lineRule="exact"/>
        <w:ind w:firstLine="640" w:firstLineChars="200"/>
        <w:rPr>
          <w:rFonts w:hint="eastAsia" w:ascii="仿宋" w:hAnsi="仿宋" w:eastAsia="仿宋"/>
          <w:b/>
          <w:sz w:val="32"/>
          <w:szCs w:val="32"/>
          <w:lang w:eastAsia="zh-CN"/>
        </w:rPr>
      </w:pPr>
      <w:r>
        <w:rPr>
          <w:rFonts w:hint="eastAsia" w:ascii="仿宋" w:hAnsi="仿宋" w:eastAsia="仿宋"/>
          <w:b/>
          <w:sz w:val="32"/>
          <w:szCs w:val="32"/>
        </w:rPr>
        <w:t>（一）</w:t>
      </w:r>
      <w:r>
        <w:rPr>
          <w:rFonts w:hint="eastAsia" w:ascii="仿宋" w:hAnsi="仿宋" w:eastAsia="仿宋"/>
          <w:b/>
          <w:sz w:val="32"/>
          <w:szCs w:val="32"/>
          <w:lang w:eastAsia="zh-CN"/>
        </w:rPr>
        <w:t>部门履职情况分析</w:t>
      </w:r>
    </w:p>
    <w:p w14:paraId="36F024EB">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sz w:val="32"/>
          <w:szCs w:val="32"/>
          <w:lang w:val="en-US" w:eastAsia="zh-CN"/>
        </w:rPr>
        <w:t>1</w:t>
      </w:r>
      <w:r>
        <w:rPr>
          <w:rFonts w:hint="eastAsia" w:ascii="楷体_GB2312" w:hAnsi="楷体_GB2312" w:eastAsia="楷体_GB2312" w:cs="楷体_GB2312"/>
          <w:b/>
          <w:bCs/>
          <w:sz w:val="32"/>
          <w:szCs w:val="32"/>
        </w:rPr>
        <w:t>.</w:t>
      </w:r>
      <w:bookmarkStart w:id="38" w:name="_Hlk125985586"/>
      <w:r>
        <w:rPr>
          <w:rFonts w:hint="eastAsia" w:ascii="楷体_GB2312" w:hAnsi="楷体_GB2312" w:eastAsia="楷体_GB2312" w:cs="楷体_GB2312"/>
          <w:b/>
          <w:bCs/>
          <w:color w:val="auto"/>
          <w:kern w:val="2"/>
          <w:sz w:val="32"/>
          <w:szCs w:val="32"/>
          <w:lang w:val="en-US" w:eastAsia="zh-CN" w:bidi="ar-SA"/>
        </w:rPr>
        <w:t>积极做好争资争项。</w:t>
      </w:r>
      <w:r>
        <w:rPr>
          <w:rFonts w:hint="eastAsia" w:ascii="仿宋_GB2312" w:hAnsi="仿宋_GB2312" w:eastAsia="仿宋_GB2312" w:cs="仿宋_GB2312"/>
          <w:color w:val="auto"/>
          <w:kern w:val="0"/>
          <w:sz w:val="32"/>
          <w:szCs w:val="32"/>
          <w:lang w:val="en-US" w:eastAsia="zh-CN" w:bidi="ar-SA"/>
        </w:rPr>
        <w:t>积极向上申报项目资金，谋划储备中央、省预算内和地方政府专项债券项目45个，总投资50.61亿元；新增国债项目47个，总投资25.68亿元；超长周期国债项目31个，总投资45.23亿元；乡村振兴基础设施、重大产业和重大基础设施、省级重点招商引资等项目188个，总投资超过1000亿元。做好能源开发工作，龙庄湾、低庄2家风电都已签订投资开发合作协议，正在做用地预审、水土保持、可研编制等核准前的准备工作，各风电场测风塔都已设立完成，现正在进行测风数据的收集。初步风机点位预选址已经完成，正在进行敏感性因素的排查。江口抽水蓄能项目完成了初步分析报告并提交申报资料。</w:t>
      </w:r>
    </w:p>
    <w:bookmarkEnd w:id="38"/>
    <w:p w14:paraId="3E1C8265">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sz w:val="32"/>
          <w:szCs w:val="32"/>
          <w:lang w:val="en-US" w:eastAsia="zh-CN"/>
        </w:rPr>
        <w:t>2</w:t>
      </w:r>
      <w:r>
        <w:rPr>
          <w:rFonts w:hint="eastAsia" w:ascii="楷体_GB2312" w:hAnsi="楷体_GB2312" w:eastAsia="楷体_GB2312" w:cs="楷体_GB2312"/>
          <w:b/>
          <w:bCs/>
          <w:sz w:val="32"/>
          <w:szCs w:val="32"/>
        </w:rPr>
        <w:t>.大力推进项目投资。</w:t>
      </w:r>
      <w:r>
        <w:rPr>
          <w:rFonts w:hint="eastAsia" w:ascii="仿宋_GB2312" w:hAnsi="仿宋_GB2312" w:eastAsia="仿宋_GB2312" w:cs="仿宋_GB2312"/>
          <w:color w:val="auto"/>
          <w:kern w:val="0"/>
          <w:sz w:val="32"/>
          <w:szCs w:val="32"/>
          <w:lang w:val="en-US" w:eastAsia="zh-CN" w:bidi="ar-SA"/>
        </w:rPr>
        <w:t>省、市重点分别完成投资11.67亿元、45.67亿元。其中：省级重点项目完成年度投资计划的145.81%；市级重点项目完成年度计划投资的114.82%。全力推进“贯彻二十大锚定新目标奋力闯创干”活动开展，在全市活动综合评比中，在全市综合评比中，我县一、三季度分别获得全市第三、第二名。</w:t>
      </w:r>
    </w:p>
    <w:p w14:paraId="6E47BC23">
      <w:pPr>
        <w:pStyle w:val="10"/>
        <w:numPr>
          <w:ilvl w:val="0"/>
          <w:numId w:val="0"/>
        </w:numPr>
        <w:shd w:val="clear"/>
        <w:spacing w:before="0" w:beforeAutospacing="0" w:after="0" w:afterAutospacing="0" w:line="600" w:lineRule="exact"/>
        <w:ind w:firstLine="640" w:firstLineChars="200"/>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bCs/>
          <w:color w:val="auto"/>
          <w:kern w:val="2"/>
          <w:sz w:val="32"/>
          <w:szCs w:val="32"/>
          <w:lang w:val="en-US" w:eastAsia="zh-CN" w:bidi="ar-SA"/>
        </w:rPr>
        <w:t>3.不断夯实产业发展。</w:t>
      </w:r>
      <w:r>
        <w:rPr>
          <w:rFonts w:hint="eastAsia" w:ascii="仿宋_GB2312" w:hAnsi="仿宋_GB2312" w:eastAsia="仿宋_GB2312" w:cs="仿宋_GB2312"/>
          <w:color w:val="auto"/>
          <w:kern w:val="0"/>
          <w:sz w:val="32"/>
          <w:szCs w:val="32"/>
          <w:lang w:val="en-US" w:eastAsia="zh-CN" w:bidi="ar-SA"/>
        </w:rPr>
        <w:t>严格贯彻落实市、县有关构建现代产业发展新体系工作要求，大力发展先进制造业、绿色农产品及其加工业、商贸物流、文化旅游4大产业及细分的12条产业链（产业）。截至目前，产业链</w:t>
      </w:r>
      <w:r>
        <w:rPr>
          <w:rFonts w:hint="eastAsia" w:ascii="仿宋_GB2312" w:hAnsi="仿宋_GB2312" w:eastAsia="仿宋_GB2312" w:cs="仿宋_GB2312"/>
          <w:color w:val="auto"/>
          <w:sz w:val="32"/>
          <w:szCs w:val="32"/>
          <w:lang w:val="en-US" w:eastAsia="zh-CN"/>
        </w:rPr>
        <w:t>新签约项目30个，</w:t>
      </w:r>
      <w:r>
        <w:rPr>
          <w:rFonts w:hint="default" w:ascii="仿宋_GB2312" w:hAnsi="仿宋_GB2312" w:eastAsia="仿宋_GB2312" w:cs="仿宋_GB2312"/>
          <w:color w:val="auto"/>
          <w:sz w:val="32"/>
          <w:szCs w:val="32"/>
          <w:lang w:val="en-US" w:eastAsia="zh-CN"/>
        </w:rPr>
        <w:t>到位资金62.42亿元</w:t>
      </w:r>
      <w:r>
        <w:rPr>
          <w:rFonts w:hint="eastAsia" w:ascii="仿宋_GB2312" w:hAnsi="仿宋_GB2312" w:eastAsia="仿宋_GB2312" w:cs="仿宋_GB2312"/>
          <w:color w:val="auto"/>
          <w:sz w:val="32"/>
          <w:szCs w:val="32"/>
          <w:lang w:val="en-US" w:eastAsia="zh-CN"/>
        </w:rPr>
        <w:t>，其中10亿元以上项目2个，“三类500强”企业项目3个。</w:t>
      </w:r>
    </w:p>
    <w:p w14:paraId="7637411F">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default"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4、扎实开展价格管理。</w:t>
      </w:r>
      <w:r>
        <w:rPr>
          <w:rFonts w:hint="eastAsia" w:ascii="仿宋_GB2312" w:hAnsi="仿宋_GB2312" w:eastAsia="仿宋_GB2312" w:cs="仿宋_GB2312"/>
          <w:color w:val="auto"/>
          <w:kern w:val="0"/>
          <w:sz w:val="32"/>
          <w:szCs w:val="32"/>
          <w:lang w:val="en-US" w:eastAsia="zh-CN" w:bidi="ar-SA"/>
        </w:rPr>
        <w:t>牵头完成溆浦县2023年度农业水价综合改革工作，核定农业用水价格。完成了我县的民办非营利性学校学费、住宿费定价工作；完成我县公办幼儿园保教费标准的核定；指导2023年教育收费工作，并制定2023教育收费政策；核定了我县公办养老机构养老服务收费标准；完成了溆北佳苑、大汉名邸等小区的前期物业核价工作。开展7项常规农产品成本调查工作，完成6项价格成本监审工作，按时完成价格监测工作。完成司法机关涉案物价格认定200件，行政执法部门标的物询价12件；全面完成对2010—2022年存量案卷入库工作，2023年以来的业务全部网上办理。</w:t>
      </w:r>
    </w:p>
    <w:p w14:paraId="00B91FE3">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sz w:val="32"/>
          <w:szCs w:val="32"/>
          <w:lang w:val="en-US" w:eastAsia="zh-CN"/>
        </w:rPr>
        <w:t>5</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奋力</w:t>
      </w:r>
      <w:r>
        <w:rPr>
          <w:rFonts w:hint="eastAsia" w:ascii="楷体_GB2312" w:hAnsi="楷体_GB2312" w:eastAsia="楷体_GB2312" w:cs="楷体_GB2312"/>
          <w:b/>
          <w:bCs/>
          <w:sz w:val="32"/>
          <w:szCs w:val="32"/>
        </w:rPr>
        <w:t>做好粮食</w:t>
      </w:r>
      <w:r>
        <w:rPr>
          <w:rFonts w:hint="eastAsia" w:ascii="楷体_GB2312" w:hAnsi="楷体_GB2312" w:eastAsia="楷体_GB2312" w:cs="楷体_GB2312"/>
          <w:b/>
          <w:bCs/>
          <w:sz w:val="32"/>
          <w:szCs w:val="32"/>
          <w:lang w:eastAsia="zh-CN"/>
        </w:rPr>
        <w:t>保障</w:t>
      </w:r>
      <w:r>
        <w:rPr>
          <w:rFonts w:hint="eastAsia" w:ascii="楷体_GB2312" w:hAnsi="楷体_GB2312" w:eastAsia="楷体_GB2312" w:cs="楷体_GB2312"/>
          <w:b/>
          <w:bCs/>
          <w:sz w:val="32"/>
          <w:szCs w:val="32"/>
        </w:rPr>
        <w:t>。</w:t>
      </w:r>
      <w:r>
        <w:rPr>
          <w:rFonts w:hint="eastAsia" w:ascii="仿宋_GB2312" w:hAnsi="仿宋_GB2312" w:eastAsia="仿宋_GB2312" w:cs="仿宋_GB2312"/>
          <w:color w:val="auto"/>
          <w:kern w:val="0"/>
          <w:sz w:val="32"/>
          <w:szCs w:val="32"/>
          <w:lang w:val="en-US" w:eastAsia="zh-CN" w:bidi="ar-SA"/>
        </w:rPr>
        <w:t>加强地方储备管理，现有地方储备粮1.2万吨，粮食数量真实、质量良好、储存安全；省级储备粮3500吨全面完成轮换任务，县级储备粮3000吨，完成销售3000吨，收购1500吨；完成应急成品粮储备建设任务440吨；截至目前，实现粮油工业总产值2.24亿元；组织开展粮食库存、粮食销售出库、安全储粮和安全生产检查等专项检查5次；开展粮食购销领域专项整治工作，推进粮食监管信息化工作，持续做好军粮供应工作。</w:t>
      </w:r>
    </w:p>
    <w:p w14:paraId="21072500">
      <w:pPr>
        <w:pStyle w:val="2"/>
        <w:keepNext w:val="0"/>
        <w:keepLines w:val="0"/>
        <w:pageBreakBefore w:val="0"/>
        <w:widowControl w:val="0"/>
        <w:shd w:val="clear"/>
        <w:kinsoku/>
        <w:wordWrap/>
        <w:overflowPunct/>
        <w:topLinePunct w:val="0"/>
        <w:autoSpaceDE/>
        <w:autoSpaceDN/>
        <w:bidi w:val="0"/>
        <w:adjustRightInd/>
        <w:snapToGrid/>
        <w:spacing w:after="0"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楷体_GB2312" w:hAnsi="楷体_GB2312" w:eastAsia="楷体_GB2312" w:cs="楷体_GB2312"/>
          <w:b/>
          <w:bCs/>
          <w:color w:val="auto"/>
          <w:kern w:val="2"/>
          <w:sz w:val="32"/>
          <w:szCs w:val="32"/>
          <w:lang w:val="en-US" w:eastAsia="zh-CN" w:bidi="ar-SA"/>
        </w:rPr>
        <w:t>6.稳步推进易迁后扶。</w:t>
      </w:r>
      <w:r>
        <w:rPr>
          <w:rFonts w:hint="eastAsia" w:ascii="仿宋_GB2312" w:hAnsi="仿宋_GB2312" w:eastAsia="仿宋_GB2312" w:cs="仿宋_GB2312"/>
          <w:color w:val="auto"/>
          <w:kern w:val="0"/>
          <w:sz w:val="32"/>
          <w:szCs w:val="32"/>
          <w:lang w:val="en-US" w:eastAsia="zh-CN" w:bidi="ar-SA"/>
        </w:rPr>
        <w:t>抓好后续帮扶各项工作，全县5236户易地搬迁户产业奖补实现全覆盖，搬迁群众持续享受产业分红。今年来，</w:t>
      </w:r>
      <w:r>
        <w:rPr>
          <w:rFonts w:hint="eastAsia" w:ascii="仿宋_GB2312" w:hAnsi="仿宋_GB2312" w:eastAsia="仿宋_GB2312" w:cs="仿宋_GB2312"/>
          <w:b w:val="0"/>
          <w:bCs w:val="0"/>
          <w:color w:val="auto"/>
          <w:sz w:val="32"/>
          <w:szCs w:val="32"/>
          <w:lang w:val="en-US" w:eastAsia="zh-CN"/>
        </w:rPr>
        <w:t>在安置点所在地申报以工代赈项目4个，争取中央资金1959万元；申报湘</w:t>
      </w:r>
      <w:r>
        <w:rPr>
          <w:rFonts w:hint="eastAsia" w:ascii="仿宋_GB2312" w:hAnsi="仿宋_GB2312" w:eastAsia="仿宋_GB2312" w:cs="仿宋_GB2312"/>
          <w:color w:val="auto"/>
          <w:sz w:val="32"/>
          <w:szCs w:val="32"/>
          <w:lang w:val="en-US" w:eastAsia="zh-CN"/>
        </w:rPr>
        <w:t>西开发产业奖补项目</w:t>
      </w:r>
      <w:r>
        <w:rPr>
          <w:rFonts w:hint="eastAsia" w:ascii="仿宋_GB2312" w:hAnsi="仿宋_GB2312" w:eastAsia="仿宋_GB2312" w:cs="仿宋_GB2312"/>
          <w:b w:val="0"/>
          <w:bCs w:val="0"/>
          <w:color w:val="auto"/>
          <w:sz w:val="32"/>
          <w:szCs w:val="32"/>
          <w:lang w:val="en-US" w:eastAsia="zh-CN"/>
        </w:rPr>
        <w:t>2个</w:t>
      </w:r>
      <w:r>
        <w:rPr>
          <w:rFonts w:hint="eastAsia" w:ascii="仿宋_GB2312" w:hAnsi="仿宋_GB2312" w:eastAsia="仿宋_GB2312" w:cs="仿宋_GB2312"/>
          <w:color w:val="auto"/>
          <w:sz w:val="32"/>
          <w:szCs w:val="32"/>
          <w:lang w:val="en-US" w:eastAsia="zh-CN"/>
        </w:rPr>
        <w:t>，争取中央资金267万元。</w:t>
      </w:r>
      <w:r>
        <w:rPr>
          <w:rFonts w:hint="eastAsia" w:ascii="仿宋_GB2312" w:hAnsi="仿宋_GB2312" w:eastAsia="仿宋_GB2312" w:cs="仿宋_GB2312"/>
          <w:b w:val="0"/>
          <w:bCs w:val="0"/>
          <w:color w:val="auto"/>
          <w:sz w:val="32"/>
          <w:szCs w:val="32"/>
          <w:lang w:val="en-US" w:eastAsia="zh-CN"/>
        </w:rPr>
        <w:t>投入易地扶贫搬迁后续产业发展资金1130万元。整合资金</w:t>
      </w:r>
      <w:r>
        <w:rPr>
          <w:rFonts w:hint="eastAsia" w:ascii="仿宋_GB2312" w:hAnsi="仿宋_GB2312" w:eastAsia="仿宋_GB2312" w:cs="仿宋_GB2312"/>
          <w:bCs/>
          <w:color w:val="auto"/>
          <w:sz w:val="32"/>
          <w:szCs w:val="32"/>
          <w:lang w:val="en-US" w:eastAsia="zh-CN"/>
        </w:rPr>
        <w:t>174万元用于易地搬迁安置点配套设施的维护、提升。</w:t>
      </w:r>
    </w:p>
    <w:p w14:paraId="7022E9BC">
      <w:pPr>
        <w:shd w:val="clear"/>
        <w:spacing w:line="600" w:lineRule="exact"/>
        <w:ind w:firstLine="640" w:firstLineChars="200"/>
        <w:rPr>
          <w:rFonts w:hint="default" w:ascii="仿宋" w:hAnsi="仿宋" w:eastAsia="仿宋" w:cs="仿宋_GB2312"/>
          <w:b/>
          <w:bCs/>
          <w:sz w:val="32"/>
          <w:szCs w:val="32"/>
          <w:lang w:val="en-US" w:eastAsia="zh-CN"/>
        </w:rPr>
      </w:pPr>
      <w:r>
        <w:rPr>
          <w:rFonts w:hint="eastAsia" w:ascii="仿宋" w:hAnsi="仿宋" w:eastAsia="仿宋" w:cs="仿宋_GB2312"/>
          <w:b/>
          <w:bCs/>
          <w:sz w:val="32"/>
          <w:szCs w:val="32"/>
          <w:lang w:eastAsia="zh-CN"/>
        </w:rPr>
        <w:t>（二）经济效能分析</w:t>
      </w:r>
    </w:p>
    <w:p w14:paraId="276BDC57">
      <w:pPr>
        <w:widowControl/>
        <w:shd w:val="clear"/>
        <w:spacing w:line="600" w:lineRule="exact"/>
        <w:ind w:firstLine="640" w:firstLineChars="200"/>
        <w:rPr>
          <w:rFonts w:ascii="仿宋" w:hAnsi="仿宋" w:eastAsia="仿宋"/>
          <w:sz w:val="32"/>
          <w:szCs w:val="32"/>
        </w:rPr>
      </w:pPr>
      <w:r>
        <w:rPr>
          <w:rFonts w:hint="eastAsia" w:ascii="仿宋" w:hAnsi="仿宋" w:eastAsia="仿宋"/>
          <w:b/>
          <w:bCs/>
          <w:sz w:val="32"/>
          <w:szCs w:val="32"/>
          <w:lang w:val="en-US" w:eastAsia="zh-CN"/>
        </w:rPr>
        <w:t>1、</w:t>
      </w:r>
      <w:r>
        <w:rPr>
          <w:rFonts w:hint="eastAsia" w:ascii="仿宋" w:hAnsi="仿宋" w:eastAsia="仿宋"/>
          <w:b/>
          <w:bCs/>
          <w:sz w:val="32"/>
          <w:szCs w:val="32"/>
        </w:rPr>
        <w:t>机关节能降耗。</w:t>
      </w:r>
      <w:r>
        <w:rPr>
          <w:rFonts w:hint="eastAsia" w:ascii="仿宋" w:hAnsi="仿宋" w:eastAsia="仿宋"/>
          <w:sz w:val="32"/>
          <w:szCs w:val="32"/>
        </w:rPr>
        <w:t>一是严格用电管理。倡导在自然光照较好的条件下不使用照明灯具，使用照明工具时保证人走灯灭，杜绝“长明灯”等能耗空放现象；二是严格用水管理。人走</w:t>
      </w:r>
      <w:r>
        <w:rPr>
          <w:rFonts w:hint="eastAsia" w:ascii="仿宋" w:hAnsi="仿宋" w:eastAsia="仿宋"/>
          <w:sz w:val="32"/>
          <w:szCs w:val="32"/>
          <w:lang w:eastAsia="zh-CN"/>
        </w:rPr>
        <w:t>时</w:t>
      </w:r>
      <w:r>
        <w:rPr>
          <w:rFonts w:hint="eastAsia" w:ascii="仿宋" w:hAnsi="仿宋" w:eastAsia="仿宋"/>
          <w:sz w:val="32"/>
          <w:szCs w:val="32"/>
        </w:rPr>
        <w:t>及时关紧水龙头，杜绝“长流水”和“跑、冒、滴、漏”现象。三是推行无纸化办公。尽量利用网络传输文件，在电脑上修改文稿；打印材料时，提倡双面用纸。</w:t>
      </w:r>
    </w:p>
    <w:p w14:paraId="40780985">
      <w:pPr>
        <w:pStyle w:val="10"/>
        <w:shd w:val="clear" w:color="auto"/>
        <w:spacing w:before="0" w:beforeAutospacing="0" w:after="0" w:afterAutospacing="0" w:line="480" w:lineRule="auto"/>
        <w:jc w:val="both"/>
        <w:rPr>
          <w:rFonts w:hint="eastAsia" w:ascii="仿宋" w:hAnsi="仿宋" w:eastAsia="仿宋"/>
          <w:sz w:val="32"/>
          <w:szCs w:val="32"/>
          <w:lang w:eastAsia="zh-CN"/>
        </w:rPr>
      </w:pPr>
      <w:r>
        <w:rPr>
          <w:rFonts w:hint="eastAsia" w:ascii="仿宋" w:hAnsi="仿宋" w:eastAsia="仿宋"/>
          <w:sz w:val="32"/>
          <w:szCs w:val="32"/>
          <w:lang w:eastAsia="zh-CN"/>
        </w:rPr>
        <w:t>　</w:t>
      </w:r>
      <w:r>
        <w:rPr>
          <w:rFonts w:hint="eastAsia" w:ascii="仿宋" w:hAnsi="仿宋" w:eastAsia="仿宋"/>
          <w:sz w:val="32"/>
          <w:szCs w:val="32"/>
          <w:lang w:val="en-US" w:eastAsia="zh-CN"/>
        </w:rPr>
        <w:t xml:space="preserve"> </w:t>
      </w:r>
      <w:r>
        <w:rPr>
          <w:rFonts w:hint="eastAsia" w:ascii="仿宋" w:hAnsi="仿宋" w:eastAsia="仿宋"/>
          <w:b/>
          <w:bCs/>
          <w:sz w:val="32"/>
          <w:szCs w:val="32"/>
          <w:lang w:val="en-US" w:eastAsia="zh-CN"/>
        </w:rPr>
        <w:t xml:space="preserve"> 2</w:t>
      </w:r>
      <w:r>
        <w:rPr>
          <w:rFonts w:hint="eastAsia" w:ascii="仿宋" w:hAnsi="仿宋" w:eastAsia="仿宋"/>
          <w:b/>
          <w:bCs/>
          <w:sz w:val="32"/>
          <w:szCs w:val="32"/>
        </w:rPr>
        <w:t>、行政审批提速。</w:t>
      </w:r>
      <w:r>
        <w:rPr>
          <w:rFonts w:hint="eastAsia" w:ascii="仿宋_GB2312" w:eastAsia="仿宋_GB2312"/>
          <w:kern w:val="0"/>
          <w:sz w:val="32"/>
          <w:szCs w:val="32"/>
        </w:rPr>
        <w:t>进一步精简审批程序，提高审批时效。</w:t>
      </w:r>
      <w:r>
        <w:rPr>
          <w:rFonts w:hint="eastAsia" w:ascii="仿宋_GB2312" w:hAnsi="仿宋_GB2312" w:eastAsia="仿宋_GB2312" w:cs="仿宋_GB2312"/>
          <w:color w:val="auto"/>
          <w:kern w:val="0"/>
          <w:sz w:val="32"/>
          <w:szCs w:val="32"/>
          <w:lang w:val="en-US" w:eastAsia="zh-CN" w:bidi="ar-SA"/>
        </w:rPr>
        <w:t>全年共完成审批、核准、备案项目262个，其中审批项目81个、核准项目4个、备案项目169个，项目概算审批8个。</w:t>
      </w:r>
    </w:p>
    <w:p w14:paraId="630CC5D8">
      <w:pPr>
        <w:pStyle w:val="10"/>
        <w:shd w:val="clear" w:color="auto"/>
        <w:spacing w:before="0" w:beforeAutospacing="0" w:after="0" w:afterAutospacing="0" w:line="480" w:lineRule="auto"/>
        <w:ind w:firstLine="640" w:firstLineChars="200"/>
        <w:jc w:val="both"/>
        <w:rPr>
          <w:rFonts w:hint="eastAsia" w:ascii="仿宋_GB2312" w:hAnsi="仿宋_GB2312" w:eastAsia="仿宋_GB2312" w:cs="仿宋_GB2312"/>
          <w:color w:val="auto"/>
          <w:kern w:val="0"/>
          <w:sz w:val="32"/>
          <w:szCs w:val="32"/>
          <w:lang w:val="en-US" w:eastAsia="zh-CN" w:bidi="ar-SA"/>
        </w:rPr>
      </w:pPr>
      <w:r>
        <w:rPr>
          <w:rFonts w:hint="eastAsia" w:ascii="仿宋" w:hAnsi="仿宋" w:eastAsia="仿宋"/>
          <w:b/>
          <w:bCs/>
          <w:sz w:val="32"/>
          <w:szCs w:val="32"/>
          <w:lang w:val="en-US" w:eastAsia="zh-CN"/>
        </w:rPr>
        <w:t xml:space="preserve"> 3、节能减排。</w:t>
      </w:r>
      <w:r>
        <w:rPr>
          <w:rFonts w:hint="eastAsia" w:ascii="仿宋_GB2312" w:eastAsia="仿宋_GB2312"/>
          <w:kern w:val="0"/>
          <w:sz w:val="32"/>
          <w:szCs w:val="32"/>
        </w:rPr>
        <w:t>积极开展节能监察工作，</w:t>
      </w:r>
      <w:r>
        <w:rPr>
          <w:rFonts w:hint="eastAsia" w:ascii="仿宋_GB2312" w:hAnsi="仿宋_GB2312" w:eastAsia="仿宋_GB2312" w:cs="仿宋_GB2312"/>
          <w:color w:val="auto"/>
          <w:kern w:val="0"/>
          <w:sz w:val="32"/>
          <w:szCs w:val="32"/>
          <w:lang w:val="en-US" w:eastAsia="zh-CN" w:bidi="ar-SA"/>
        </w:rPr>
        <w:t>协助和指导湖南鸿新实业按时通过基地建设项目的节能审查，如期完成投产任务；协助和指导我县江龙锰业有限责任公司35kt/a高纯锰生产线整体技改及配套中硅、低微碳锰铁生产线项目进行节能审查。做好能源领域安全监管工作，严格落实《发改局重大事故隐患专项排查整治2023行动方案》，对能源领域相关企业全覆盖式进行检查，未发生一起安全监管责任事故。狠抓信用信息归集、信用修复指导等事项，整理筛选《溆浦县2023年公共信用信息目录》，有序开展信用工作。</w:t>
      </w:r>
    </w:p>
    <w:p w14:paraId="6736853D">
      <w:pPr>
        <w:pStyle w:val="10"/>
        <w:shd w:val="clear" w:color="auto"/>
        <w:spacing w:before="0" w:beforeAutospacing="0" w:after="0" w:afterAutospacing="0" w:line="480" w:lineRule="auto"/>
        <w:ind w:firstLine="640" w:firstLineChars="200"/>
        <w:jc w:val="both"/>
        <w:rPr>
          <w:rFonts w:hint="eastAsia" w:ascii="仿宋" w:hAnsi="仿宋" w:eastAsia="仿宋"/>
          <w:b/>
          <w:sz w:val="32"/>
          <w:szCs w:val="32"/>
        </w:rPr>
      </w:pPr>
      <w:r>
        <w:rPr>
          <w:rFonts w:hint="eastAsia" w:ascii="仿宋" w:hAnsi="仿宋" w:eastAsia="仿宋"/>
          <w:b/>
          <w:sz w:val="32"/>
          <w:szCs w:val="32"/>
        </w:rPr>
        <w:t>（三）</w:t>
      </w:r>
      <w:r>
        <w:rPr>
          <w:rFonts w:hint="eastAsia" w:ascii="仿宋" w:hAnsi="仿宋" w:eastAsia="仿宋"/>
          <w:b/>
          <w:sz w:val="32"/>
          <w:szCs w:val="32"/>
          <w:lang w:eastAsia="zh-CN"/>
        </w:rPr>
        <w:t>有效性</w:t>
      </w:r>
      <w:r>
        <w:rPr>
          <w:rFonts w:hint="eastAsia" w:ascii="仿宋" w:hAnsi="仿宋" w:eastAsia="仿宋"/>
          <w:b/>
          <w:sz w:val="32"/>
          <w:szCs w:val="32"/>
        </w:rPr>
        <w:t>分析</w:t>
      </w:r>
    </w:p>
    <w:p w14:paraId="26E5EC8A">
      <w:pPr>
        <w:pStyle w:val="10"/>
        <w:shd w:val="clear"/>
        <w:spacing w:before="0" w:beforeAutospacing="0" w:after="0" w:afterAutospacing="0" w:line="60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 w:hAnsi="仿宋" w:eastAsia="仿宋"/>
          <w:b/>
          <w:bCs/>
          <w:sz w:val="32"/>
          <w:szCs w:val="32"/>
        </w:rPr>
        <w:t>1、</w:t>
      </w:r>
      <w:r>
        <w:rPr>
          <w:rFonts w:hint="eastAsia" w:ascii="仿宋" w:hAnsi="仿宋" w:eastAsia="仿宋"/>
          <w:b/>
          <w:bCs/>
          <w:sz w:val="32"/>
          <w:szCs w:val="32"/>
          <w:lang w:eastAsia="zh-CN"/>
        </w:rPr>
        <w:t>经济</w:t>
      </w:r>
      <w:r>
        <w:rPr>
          <w:rFonts w:hint="eastAsia" w:ascii="仿宋" w:hAnsi="仿宋" w:eastAsia="仿宋"/>
          <w:b/>
          <w:bCs/>
          <w:sz w:val="32"/>
          <w:szCs w:val="32"/>
        </w:rPr>
        <w:t>效益。</w:t>
      </w:r>
      <w:r>
        <w:rPr>
          <w:rFonts w:hint="eastAsia" w:ascii="仿宋_GB2312" w:hAnsi="仿宋_GB2312" w:eastAsia="仿宋_GB2312" w:cs="仿宋_GB2312"/>
          <w:color w:val="auto"/>
          <w:kern w:val="0"/>
          <w:sz w:val="32"/>
          <w:szCs w:val="32"/>
          <w:lang w:val="en-US" w:eastAsia="zh-CN" w:bidi="ar-SA"/>
        </w:rPr>
        <w:t>今年来，争取到位中央预算内投资、专项债券资金8.55亿元;全年固定资产投资同比增长8.5%，全市排名2；大力发展先进制造业、绿色农产品及其加工业、商贸物流、文化旅游4大产业及细分的12条产业链。产业链新引进项目30个，实现开工30个，实现投产11个，到位资金</w:t>
      </w:r>
      <w:r>
        <w:rPr>
          <w:rFonts w:hint="default" w:ascii="仿宋_GB2312" w:hAnsi="仿宋_GB2312" w:eastAsia="仿宋_GB2312" w:cs="仿宋_GB2312"/>
          <w:color w:val="auto"/>
          <w:sz w:val="32"/>
          <w:szCs w:val="32"/>
          <w:lang w:val="en-US" w:eastAsia="zh-CN"/>
        </w:rPr>
        <w:t>62.42</w:t>
      </w:r>
      <w:r>
        <w:rPr>
          <w:rFonts w:hint="eastAsia" w:ascii="仿宋_GB2312" w:hAnsi="仿宋_GB2312" w:eastAsia="仿宋_GB2312" w:cs="仿宋_GB2312"/>
          <w:color w:val="auto"/>
          <w:kern w:val="0"/>
          <w:sz w:val="32"/>
          <w:szCs w:val="32"/>
          <w:lang w:val="en-US" w:eastAsia="zh-CN" w:bidi="ar-SA"/>
        </w:rPr>
        <w:t>亿元左右。</w:t>
      </w:r>
    </w:p>
    <w:p w14:paraId="122401F9">
      <w:pPr>
        <w:shd w:val="clear"/>
        <w:ind w:firstLine="640" w:firstLineChars="200"/>
        <w:rPr>
          <w:rFonts w:ascii="仿宋_GB2312" w:eastAsia="仿宋_GB2312"/>
          <w:kern w:val="0"/>
          <w:sz w:val="32"/>
          <w:szCs w:val="32"/>
        </w:rPr>
      </w:pPr>
      <w:r>
        <w:rPr>
          <w:rFonts w:hint="eastAsia" w:ascii="仿宋" w:hAnsi="仿宋" w:eastAsia="仿宋" w:cs="仿宋"/>
          <w:b/>
          <w:bCs/>
          <w:color w:val="000000"/>
          <w:sz w:val="32"/>
          <w:szCs w:val="32"/>
          <w:shd w:val="clear" w:color="auto" w:fill="FFFFFF"/>
          <w:lang w:val="en-US" w:eastAsia="zh-CN"/>
        </w:rPr>
        <w:t>2、社会效益。</w:t>
      </w:r>
      <w:r>
        <w:rPr>
          <w:rFonts w:hint="eastAsia" w:ascii="仿宋_GB2312" w:hAnsi="仿宋_GB2312" w:eastAsia="仿宋_GB2312" w:cs="仿宋_GB2312"/>
          <w:b/>
          <w:bCs/>
          <w:color w:val="auto"/>
          <w:kern w:val="0"/>
          <w:sz w:val="32"/>
          <w:szCs w:val="32"/>
          <w:lang w:val="en-US" w:eastAsia="zh-CN" w:bidi="ar-SA"/>
        </w:rPr>
        <w:t>一是完成重大方案编制。</w:t>
      </w:r>
      <w:r>
        <w:rPr>
          <w:rFonts w:hint="eastAsia" w:ascii="仿宋_GB2312" w:hAnsi="仿宋_GB2312" w:eastAsia="仿宋_GB2312" w:cs="仿宋_GB2312"/>
          <w:color w:val="auto"/>
          <w:kern w:val="0"/>
          <w:sz w:val="32"/>
          <w:szCs w:val="32"/>
          <w:lang w:val="en-US" w:eastAsia="zh-CN" w:bidi="ar-SA"/>
        </w:rPr>
        <w:t>牵头完成《溆浦县推进“5+N”现代化产业新体系建设三年行动方案》《溆浦县自供区改革改造实施方案》《溆浦县农业水价综合改革实施方案（2023-2025年）》《溆浦县高质量推进易地扶贫搬迁后续扶持“安心工程”专项行动方案》等重大方案编制工作。</w:t>
      </w:r>
      <w:r>
        <w:rPr>
          <w:rFonts w:hint="eastAsia" w:ascii="仿宋_GB2312" w:hAnsi="仿宋_GB2312" w:eastAsia="仿宋_GB2312" w:cs="仿宋_GB2312"/>
          <w:b/>
          <w:bCs/>
          <w:color w:val="auto"/>
          <w:kern w:val="0"/>
          <w:sz w:val="32"/>
          <w:szCs w:val="32"/>
          <w:lang w:val="en-US" w:eastAsia="zh-CN" w:bidi="ar-SA"/>
        </w:rPr>
        <w:t>二是推进“十四五”规划中期评估。</w:t>
      </w:r>
      <w:r>
        <w:rPr>
          <w:rFonts w:hint="eastAsia" w:ascii="仿宋_GB2312" w:hAnsi="仿宋_GB2312" w:eastAsia="仿宋_GB2312" w:cs="仿宋_GB2312"/>
          <w:color w:val="auto"/>
          <w:kern w:val="0"/>
          <w:sz w:val="32"/>
          <w:szCs w:val="32"/>
          <w:lang w:val="en-US" w:eastAsia="zh-CN" w:bidi="ar-SA"/>
        </w:rPr>
        <w:t>组织实施“十四五”规划中期评估，规划《纲要》评估报告已经通过县人大审议。</w:t>
      </w:r>
      <w:r>
        <w:rPr>
          <w:rFonts w:hint="eastAsia" w:ascii="仿宋_GB2312" w:hAnsi="仿宋_GB2312" w:eastAsia="仿宋_GB2312" w:cs="仿宋_GB2312"/>
          <w:b/>
          <w:bCs/>
          <w:color w:val="auto"/>
          <w:kern w:val="0"/>
          <w:sz w:val="32"/>
          <w:szCs w:val="32"/>
          <w:lang w:val="en-US" w:eastAsia="zh-CN" w:bidi="ar-SA"/>
        </w:rPr>
        <w:t>三是争取重大试点。</w:t>
      </w:r>
      <w:r>
        <w:rPr>
          <w:rFonts w:hint="eastAsia" w:ascii="仿宋_GB2312" w:hAnsi="仿宋_GB2312" w:eastAsia="仿宋_GB2312" w:cs="仿宋_GB2312"/>
          <w:color w:val="auto"/>
          <w:kern w:val="0"/>
          <w:sz w:val="32"/>
          <w:szCs w:val="32"/>
          <w:lang w:val="en-US" w:eastAsia="zh-CN" w:bidi="ar-SA"/>
        </w:rPr>
        <w:t>积极争取以县城为重要载体的城镇化省级试点，编制《溆浦县县城城镇化实施方案（2023-2025）》《溆浦县以县城为重要载体的城镇化试点方案》，顺利通过省评审，我县成功纳入省级专业功能县城试点范围。</w:t>
      </w:r>
      <w:r>
        <w:rPr>
          <w:rFonts w:hint="eastAsia" w:ascii="仿宋_GB2312" w:hAnsi="仿宋_GB2312" w:eastAsia="仿宋_GB2312" w:cs="仿宋_GB2312"/>
          <w:b/>
          <w:bCs/>
          <w:color w:val="auto"/>
          <w:kern w:val="0"/>
          <w:sz w:val="32"/>
          <w:szCs w:val="32"/>
          <w:lang w:val="en-US" w:eastAsia="zh-CN" w:bidi="ar-SA"/>
        </w:rPr>
        <w:t>四是谋划化工园区认定。</w:t>
      </w:r>
      <w:r>
        <w:rPr>
          <w:rFonts w:hint="eastAsia" w:ascii="仿宋_GB2312" w:hAnsi="仿宋_GB2312" w:eastAsia="仿宋_GB2312" w:cs="仿宋_GB2312"/>
          <w:color w:val="auto"/>
          <w:kern w:val="0"/>
          <w:sz w:val="32"/>
          <w:szCs w:val="32"/>
          <w:lang w:val="en-US" w:eastAsia="zh-CN" w:bidi="ar-SA"/>
        </w:rPr>
        <w:t>全力申报新设立大江口片区化工园区，牵头开展了《溆浦县新设立化工园区总体规划》《溆浦县新设立化工园区可行性研究报告工作》编制工作。</w:t>
      </w:r>
      <w:r>
        <w:rPr>
          <w:rFonts w:hint="eastAsia" w:ascii="仿宋_GB2312" w:hAnsi="仿宋_GB2312" w:eastAsia="仿宋_GB2312" w:cs="仿宋_GB2312"/>
          <w:b/>
          <w:bCs/>
          <w:color w:val="auto"/>
          <w:kern w:val="0"/>
          <w:sz w:val="32"/>
          <w:szCs w:val="32"/>
          <w:lang w:val="en-US" w:eastAsia="zh-CN" w:bidi="ar-SA"/>
        </w:rPr>
        <w:t>五是扎实推进项目建设。</w:t>
      </w:r>
      <w:r>
        <w:rPr>
          <w:rFonts w:hint="eastAsia" w:ascii="仿宋_GB2312" w:hAnsi="仿宋_GB2312" w:eastAsia="仿宋_GB2312" w:cs="仿宋_GB2312"/>
          <w:color w:val="auto"/>
          <w:kern w:val="0"/>
          <w:sz w:val="32"/>
          <w:szCs w:val="32"/>
          <w:lang w:val="en-US" w:eastAsia="zh-CN" w:bidi="ar-SA"/>
        </w:rPr>
        <w:t>编制《溆浦县推进项目建设整改方案》《溆浦县高质量推进项目建设的十条措施》，扎实推进中央预算内和专项债项目建设。</w:t>
      </w:r>
    </w:p>
    <w:p w14:paraId="36CB301A">
      <w:pPr>
        <w:pStyle w:val="16"/>
        <w:numPr>
          <w:ilvl w:val="0"/>
          <w:numId w:val="0"/>
        </w:numPr>
        <w:shd w:val="clear"/>
        <w:ind w:left="640" w:leftChars="0"/>
        <w:jc w:val="left"/>
        <w:rPr>
          <w:rFonts w:hint="eastAsia" w:ascii="黑体" w:hAnsi="黑体" w:eastAsia="黑体"/>
          <w:b/>
          <w:bCs/>
          <w:sz w:val="32"/>
          <w:szCs w:val="32"/>
        </w:rPr>
      </w:pPr>
      <w:r>
        <w:rPr>
          <w:rFonts w:hint="eastAsia" w:ascii="黑体" w:hAnsi="黑体" w:eastAsia="黑体"/>
          <w:b/>
          <w:bCs/>
          <w:sz w:val="32"/>
          <w:szCs w:val="32"/>
          <w:lang w:eastAsia="zh-CN"/>
        </w:rPr>
        <w:t>八</w:t>
      </w:r>
      <w:r>
        <w:rPr>
          <w:rFonts w:hint="eastAsia" w:ascii="黑体" w:hAnsi="黑体" w:eastAsia="黑体"/>
          <w:b/>
          <w:bCs/>
          <w:sz w:val="32"/>
          <w:szCs w:val="32"/>
        </w:rPr>
        <w:t>、存在的主要问题</w:t>
      </w:r>
    </w:p>
    <w:p w14:paraId="6B466212">
      <w:pPr>
        <w:pStyle w:val="10"/>
        <w:shd w:val="clear" w:color="auto"/>
        <w:spacing w:before="0" w:beforeAutospacing="0" w:after="0" w:afterAutospacing="0" w:line="480" w:lineRule="auto"/>
        <w:ind w:firstLine="480"/>
        <w:jc w:val="both"/>
        <w:rPr>
          <w:rFonts w:hint="eastAsia" w:ascii="仿宋" w:hAnsi="仿宋" w:eastAsia="仿宋" w:cs="仿宋"/>
          <w:color w:val="000000"/>
          <w:kern w:val="0"/>
          <w:sz w:val="32"/>
          <w:szCs w:val="32"/>
          <w:lang w:val="en-US" w:eastAsia="zh-CN" w:bidi="ar-SA"/>
        </w:rPr>
      </w:pPr>
      <w:r>
        <w:rPr>
          <w:rFonts w:hint="eastAsia" w:ascii="仿宋" w:hAnsi="仿宋" w:eastAsia="仿宋" w:cs="仿宋"/>
          <w:color w:val="000000"/>
          <w:kern w:val="0"/>
          <w:sz w:val="32"/>
          <w:szCs w:val="32"/>
          <w:lang w:val="en-US" w:eastAsia="zh-CN" w:bidi="ar-SA"/>
        </w:rPr>
        <w:t>通过前述对我单位整体支出情况的分析，反映出目前在整体支出的预算编制、执行和管理过程中，依然存在一些问题和不足：预算执行情况不是很好，资金难以及时拨付到位等。</w:t>
      </w:r>
    </w:p>
    <w:p w14:paraId="48D490B7">
      <w:pPr>
        <w:pStyle w:val="16"/>
        <w:numPr>
          <w:ilvl w:val="0"/>
          <w:numId w:val="0"/>
        </w:numPr>
        <w:shd w:val="clear"/>
        <w:ind w:left="640" w:leftChars="0"/>
        <w:jc w:val="left"/>
        <w:rPr>
          <w:rFonts w:hint="eastAsia" w:ascii="黑体" w:hAnsi="黑体" w:eastAsia="黑体"/>
          <w:b/>
          <w:bCs/>
          <w:sz w:val="32"/>
          <w:szCs w:val="32"/>
        </w:rPr>
      </w:pPr>
      <w:r>
        <w:rPr>
          <w:rFonts w:hint="eastAsia" w:ascii="黑体" w:hAnsi="黑体" w:eastAsia="黑体"/>
          <w:b/>
          <w:bCs/>
          <w:sz w:val="32"/>
          <w:szCs w:val="32"/>
          <w:lang w:eastAsia="zh-CN"/>
        </w:rPr>
        <w:t>九</w:t>
      </w:r>
      <w:r>
        <w:rPr>
          <w:rFonts w:hint="eastAsia" w:ascii="黑体" w:hAnsi="黑体" w:eastAsia="黑体"/>
          <w:b/>
          <w:bCs/>
          <w:sz w:val="32"/>
          <w:szCs w:val="32"/>
        </w:rPr>
        <w:t>、改进措施和有关建议</w:t>
      </w:r>
    </w:p>
    <w:p w14:paraId="63AD52F2">
      <w:pPr>
        <w:pStyle w:val="10"/>
        <w:shd w:val="clear" w:color="auto"/>
        <w:spacing w:before="0" w:beforeAutospacing="0" w:after="0" w:afterAutospacing="0" w:line="480" w:lineRule="auto"/>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1、规范财务管理</w:t>
      </w:r>
      <w:r>
        <w:rPr>
          <w:rFonts w:hint="eastAsia" w:ascii="仿宋" w:hAnsi="仿宋" w:eastAsia="仿宋" w:cs="仿宋"/>
          <w:sz w:val="32"/>
          <w:szCs w:val="32"/>
          <w:lang w:eastAsia="zh-CN"/>
        </w:rPr>
        <w:t>。</w:t>
      </w:r>
      <w:r>
        <w:rPr>
          <w:rFonts w:hint="eastAsia" w:ascii="仿宋" w:hAnsi="仿宋" w:eastAsia="仿宋" w:cs="仿宋"/>
          <w:sz w:val="32"/>
          <w:szCs w:val="32"/>
        </w:rPr>
        <w:t>严格按照《会计法》、《</w:t>
      </w:r>
      <w:r>
        <w:rPr>
          <w:rFonts w:hint="eastAsia" w:ascii="仿宋" w:hAnsi="仿宋" w:eastAsia="仿宋" w:cs="仿宋"/>
          <w:sz w:val="32"/>
          <w:szCs w:val="32"/>
          <w:lang w:eastAsia="zh-CN"/>
        </w:rPr>
        <w:t>政府财务制度</w:t>
      </w:r>
      <w:r>
        <w:rPr>
          <w:rFonts w:hint="eastAsia" w:ascii="仿宋" w:hAnsi="仿宋" w:eastAsia="仿宋" w:cs="仿宋"/>
          <w:sz w:val="32"/>
          <w:szCs w:val="32"/>
        </w:rPr>
        <w:t>》等规定，结合实际情况，严格执行单位经费支出制度，规范财务核算，严格控制，尽力避免超预算开支的情况发生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19882D00">
      <w:pPr>
        <w:pStyle w:val="10"/>
        <w:shd w:val="clear" w:color="auto"/>
        <w:spacing w:before="0" w:beforeAutospacing="0" w:after="0" w:afterAutospacing="0" w:line="48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细化预算编制工作。进一步加强全局预算管理意识，严格按照预算编制的相关制度和要求，公用经费根据单位的年度工作重点和项目专项工作规划，本着“勤俭节约、保障运转”的原则进行预算的编制</w:t>
      </w:r>
      <w:r>
        <w:rPr>
          <w:rFonts w:hint="eastAsia" w:ascii="仿宋" w:hAnsi="仿宋" w:eastAsia="仿宋" w:cs="仿宋"/>
          <w:sz w:val="32"/>
          <w:szCs w:val="32"/>
          <w:lang w:eastAsia="zh-CN"/>
        </w:rPr>
        <w:t>，</w:t>
      </w:r>
      <w:r>
        <w:rPr>
          <w:rFonts w:hint="eastAsia" w:ascii="仿宋" w:hAnsi="仿宋" w:eastAsia="仿宋" w:cs="仿宋"/>
          <w:sz w:val="32"/>
          <w:szCs w:val="32"/>
        </w:rPr>
        <w:t>进一步提高预算编制的科学性、合理性、严谨性和可控性。</w:t>
      </w:r>
    </w:p>
    <w:p w14:paraId="5038ADA2">
      <w:pPr>
        <w:pStyle w:val="10"/>
        <w:shd w:val="clear" w:color="auto"/>
        <w:spacing w:before="0" w:beforeAutospacing="0" w:after="0" w:afterAutospacing="0" w:line="480" w:lineRule="auto"/>
        <w:ind w:firstLine="640" w:firstLineChars="200"/>
        <w:jc w:val="both"/>
        <w:rPr>
          <w:rFonts w:hint="eastAsia" w:ascii="仿宋" w:hAnsi="仿宋" w:eastAsia="仿宋" w:cs="仿宋"/>
          <w:sz w:val="32"/>
          <w:szCs w:val="32"/>
        </w:rPr>
      </w:pPr>
      <w:r>
        <w:rPr>
          <w:rFonts w:hint="eastAsia" w:ascii="仿宋" w:hAnsi="仿宋" w:eastAsia="仿宋" w:cs="仿宋"/>
          <w:sz w:val="32"/>
          <w:szCs w:val="32"/>
        </w:rPr>
        <w:t>3、预算绩效管理是是一项综合性很强的工作，也是一项技术水平要求比较高的工作。通过开展绩效评价工作，我们也发现了在资金管理中所存在的问题，以后将不断的改进和完善。但因本局财务人员的业务水平还有待提高，希望县财政局多组织业务培训，对我局多加强业务指导，促进我局不断提升预算管理水平。</w:t>
      </w:r>
    </w:p>
    <w:p w14:paraId="75D6D62B">
      <w:pPr>
        <w:pStyle w:val="10"/>
        <w:shd w:val="clear" w:color="auto"/>
        <w:spacing w:before="0" w:beforeAutospacing="0" w:after="0" w:afterAutospacing="0" w:line="480" w:lineRule="auto"/>
        <w:ind w:firstLine="640" w:firstLineChars="200"/>
        <w:jc w:val="both"/>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十、部门整体支出绩效自评结果拟应用和公开情况</w:t>
      </w:r>
    </w:p>
    <w:p w14:paraId="076F83DA">
      <w:pPr>
        <w:pStyle w:val="10"/>
        <w:shd w:val="clear" w:color="auto"/>
        <w:spacing w:before="0" w:beforeAutospacing="0" w:after="0" w:afterAutospacing="0" w:line="480" w:lineRule="auto"/>
        <w:ind w:firstLine="640" w:firstLineChars="200"/>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（一）绩效自评结果拟应用情况</w:t>
      </w:r>
    </w:p>
    <w:p w14:paraId="3EEAD4E5">
      <w:pPr>
        <w:widowControl/>
        <w:shd w:val="clear"/>
        <w:spacing w:line="60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eastAsia="zh-CN"/>
        </w:rPr>
        <w:t>本年度绩效评价结果打分为</w:t>
      </w:r>
      <w:r>
        <w:rPr>
          <w:rFonts w:hint="eastAsia" w:ascii="仿宋" w:hAnsi="仿宋" w:eastAsia="仿宋"/>
          <w:sz w:val="32"/>
          <w:szCs w:val="32"/>
          <w:lang w:val="en-US" w:eastAsia="zh-CN"/>
        </w:rPr>
        <w:t>98.5分，我局将综合运用绩效评价情况指导开展2024年的各项工作。</w:t>
      </w:r>
    </w:p>
    <w:p w14:paraId="0096517C">
      <w:pPr>
        <w:pStyle w:val="2"/>
        <w:shd w:val="clear"/>
        <w:ind w:left="0" w:leftChars="0" w:firstLine="0" w:firstLineChars="0"/>
        <w:rPr>
          <w:rFonts w:hint="default"/>
          <w:lang w:val="en-US" w:eastAsia="zh-CN"/>
        </w:rPr>
      </w:pPr>
      <w:r>
        <w:rPr>
          <w:rFonts w:hint="eastAsia" w:ascii="仿宋" w:hAnsi="仿宋" w:eastAsia="仿宋"/>
          <w:sz w:val="32"/>
          <w:szCs w:val="32"/>
          <w:lang w:val="en-US" w:eastAsia="zh-CN"/>
        </w:rPr>
        <w:t xml:space="preserve">   （二）绩效自评公开情况</w:t>
      </w:r>
    </w:p>
    <w:p w14:paraId="0E9E6811">
      <w:pPr>
        <w:pStyle w:val="2"/>
        <w:shd w:val="clear"/>
        <w:tabs>
          <w:tab w:val="left" w:pos="6930"/>
        </w:tabs>
        <w:ind w:left="0" w:leftChars="0" w:right="-86" w:rightChars="-41" w:firstLine="0" w:firstLineChars="0"/>
        <w:rPr>
          <w:rFonts w:hint="default"/>
          <w:lang w:val="en-US" w:eastAsia="zh-CN"/>
        </w:rPr>
      </w:pPr>
      <w:r>
        <w:rPr>
          <w:rFonts w:hint="eastAsia" w:ascii="仿宋" w:hAnsi="仿宋" w:eastAsia="仿宋"/>
          <w:sz w:val="32"/>
          <w:szCs w:val="32"/>
          <w:lang w:val="en-US" w:eastAsia="zh-CN"/>
        </w:rPr>
        <w:t xml:space="preserve">   本年自评报告将于2024年6月份在溆浦县人民政府门户网站上予以公开。</w:t>
      </w:r>
    </w:p>
    <w:p w14:paraId="7382AFEA">
      <w:pPr>
        <w:pStyle w:val="2"/>
        <w:shd w:val="clear"/>
        <w:rPr>
          <w:rFonts w:hint="default"/>
          <w:lang w:val="en-US" w:eastAsia="zh-CN"/>
        </w:rPr>
      </w:pPr>
    </w:p>
    <w:p w14:paraId="3B26ABF4">
      <w:pPr>
        <w:widowControl/>
        <w:shd w:val="clear"/>
        <w:spacing w:line="600" w:lineRule="exact"/>
        <w:rPr>
          <w:rFonts w:ascii="仿宋" w:hAnsi="仿宋" w:eastAsia="仿宋"/>
          <w:sz w:val="32"/>
          <w:szCs w:val="32"/>
        </w:rPr>
      </w:pPr>
      <w:r>
        <w:rPr>
          <w:rFonts w:hint="eastAsia" w:ascii="仿宋" w:hAnsi="仿宋" w:eastAsia="仿宋"/>
          <w:sz w:val="32"/>
          <w:szCs w:val="32"/>
          <w:lang w:val="en-US" w:eastAsia="zh-CN"/>
        </w:rPr>
        <w:t xml:space="preserve"> </w:t>
      </w:r>
    </w:p>
    <w:p w14:paraId="74D9417E">
      <w:pPr>
        <w:pStyle w:val="15"/>
        <w:jc w:val="both"/>
        <w:rPr>
          <w:sz w:val="72"/>
          <w:szCs w:val="72"/>
          <w:highlight w:val="none"/>
        </w:rPr>
      </w:pPr>
    </w:p>
    <w:p w14:paraId="2E82963F">
      <w:pPr>
        <w:pStyle w:val="15"/>
        <w:jc w:val="center"/>
        <w:rPr>
          <w:sz w:val="72"/>
          <w:szCs w:val="72"/>
          <w:highlight w:val="none"/>
        </w:rPr>
      </w:pPr>
    </w:p>
    <w:p w14:paraId="0504EAA9">
      <w:pPr>
        <w:pStyle w:val="15"/>
        <w:jc w:val="center"/>
        <w:rPr>
          <w:sz w:val="72"/>
          <w:szCs w:val="72"/>
          <w:highlight w:val="none"/>
        </w:rPr>
      </w:pPr>
    </w:p>
    <w:p w14:paraId="7B4FB6BB">
      <w:pPr>
        <w:pStyle w:val="15"/>
        <w:jc w:val="center"/>
        <w:rPr>
          <w:rFonts w:hint="default"/>
          <w:sz w:val="72"/>
          <w:szCs w:val="72"/>
          <w:highlight w:val="none"/>
          <w:lang w:val="en-US" w:eastAsia="zh-CN"/>
        </w:rPr>
      </w:pPr>
      <w:r>
        <w:rPr>
          <w:rFonts w:hint="eastAsia"/>
          <w:sz w:val="72"/>
          <w:szCs w:val="72"/>
          <w:highlight w:val="none"/>
          <w:lang w:val="en-US" w:eastAsia="zh-CN"/>
        </w:rPr>
        <w:t xml:space="preserve">                                                                                                                                      </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方正粗黑宋简体">
    <w:altName w:val="宋体"/>
    <w:panose1 w:val="02000000000000000000"/>
    <w:charset w:val="86"/>
    <w:family w:val="auto"/>
    <w:pitch w:val="default"/>
    <w:sig w:usb0="00000000" w:usb1="00000000" w:usb2="00000012"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F21A2">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E0610">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2E0610">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0FEF4"/>
    <w:multiLevelType w:val="singleLevel"/>
    <w:tmpl w:val="8080FEF4"/>
    <w:lvl w:ilvl="0" w:tentative="0">
      <w:start w:val="7"/>
      <w:numFmt w:val="chineseCounting"/>
      <w:suff w:val="nothing"/>
      <w:lvlText w:val="%1、"/>
      <w:lvlJc w:val="left"/>
      <w:rPr>
        <w:rFonts w:hint="eastAsia"/>
      </w:rPr>
    </w:lvl>
  </w:abstractNum>
  <w:abstractNum w:abstractNumId="1">
    <w:nsid w:val="21DF2766"/>
    <w:multiLevelType w:val="multilevel"/>
    <w:tmpl w:val="21DF2766"/>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2D1B16BE"/>
    <w:multiLevelType w:val="singleLevel"/>
    <w:tmpl w:val="2D1B16BE"/>
    <w:lvl w:ilvl="0" w:tentative="0">
      <w:start w:val="1"/>
      <w:numFmt w:val="decimal"/>
      <w:suff w:val="nothing"/>
      <w:lvlText w:val="%1、"/>
      <w:lvlJc w:val="left"/>
    </w:lvl>
  </w:abstractNum>
  <w:abstractNum w:abstractNumId="3">
    <w:nsid w:val="31BC4235"/>
    <w:multiLevelType w:val="multilevel"/>
    <w:tmpl w:val="31BC4235"/>
    <w:lvl w:ilvl="0" w:tentative="0">
      <w:start w:val="2"/>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65ECB1EC"/>
    <w:multiLevelType w:val="singleLevel"/>
    <w:tmpl w:val="65ECB1EC"/>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CF4A4C"/>
    <w:rsid w:val="0422398F"/>
    <w:rsid w:val="0FE268D2"/>
    <w:rsid w:val="12A87430"/>
    <w:rsid w:val="159D5AB0"/>
    <w:rsid w:val="1AC5585B"/>
    <w:rsid w:val="24092C9E"/>
    <w:rsid w:val="27CC5A46"/>
    <w:rsid w:val="2A3261E0"/>
    <w:rsid w:val="2B233007"/>
    <w:rsid w:val="3019611E"/>
    <w:rsid w:val="33F8244D"/>
    <w:rsid w:val="38CC1D4A"/>
    <w:rsid w:val="3B9855D5"/>
    <w:rsid w:val="43147230"/>
    <w:rsid w:val="4EA20FEE"/>
    <w:rsid w:val="50A90407"/>
    <w:rsid w:val="55C13E36"/>
    <w:rsid w:val="5777D4F5"/>
    <w:rsid w:val="5AD34575"/>
    <w:rsid w:val="5FC6BB1E"/>
    <w:rsid w:val="5FF720F1"/>
    <w:rsid w:val="64E9339D"/>
    <w:rsid w:val="681E3FB6"/>
    <w:rsid w:val="6A0E2B27"/>
    <w:rsid w:val="6BBB27AA"/>
    <w:rsid w:val="73783A3F"/>
    <w:rsid w:val="737D59BA"/>
    <w:rsid w:val="74E17E2E"/>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lock Text"/>
    <w:basedOn w:val="1"/>
    <w:unhideWhenUsed/>
    <w:qFormat/>
    <w:uiPriority w:val="99"/>
    <w:pPr>
      <w:spacing w:after="120"/>
      <w:ind w:left="1440" w:leftChars="700" w:right="1440" w:rightChars="700"/>
    </w:pPr>
    <w:rPr>
      <w:szCs w:val="24"/>
    </w:rPr>
  </w:style>
  <w:style w:type="paragraph" w:styleId="3">
    <w:name w:val="index 5"/>
    <w:basedOn w:val="1"/>
    <w:next w:val="1"/>
    <w:unhideWhenUsed/>
    <w:qFormat/>
    <w:uiPriority w:val="99"/>
    <w:pPr>
      <w:ind w:left="1680"/>
    </w:p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7"/>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3">
    <w:name w:val="页眉 Char"/>
    <w:basedOn w:val="12"/>
    <w:link w:val="8"/>
    <w:qFormat/>
    <w:uiPriority w:val="99"/>
    <w:rPr>
      <w:sz w:val="18"/>
      <w:szCs w:val="18"/>
    </w:rPr>
  </w:style>
  <w:style w:type="character" w:customStyle="1" w:styleId="14">
    <w:name w:val="页脚 Char"/>
    <w:basedOn w:val="12"/>
    <w:link w:val="7"/>
    <w:qFormat/>
    <w:uiPriority w:val="99"/>
    <w:rPr>
      <w:sz w:val="18"/>
      <w:szCs w:val="18"/>
    </w:rPr>
  </w:style>
  <w:style w:type="paragraph" w:customStyle="1" w:styleId="15">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6">
    <w:name w:val="List Paragraph"/>
    <w:basedOn w:val="1"/>
    <w:qFormat/>
    <w:uiPriority w:val="34"/>
    <w:pPr>
      <w:ind w:firstLine="420" w:firstLineChars="200"/>
    </w:pPr>
  </w:style>
  <w:style w:type="character" w:customStyle="1" w:styleId="17">
    <w:name w:val="批注框文本 Char"/>
    <w:basedOn w:val="12"/>
    <w:link w:val="6"/>
    <w:semiHidden/>
    <w:qFormat/>
    <w:uiPriority w:val="99"/>
    <w:rPr>
      <w:sz w:val="18"/>
      <w:szCs w:val="18"/>
    </w:rPr>
  </w:style>
  <w:style w:type="character" w:customStyle="1" w:styleId="18">
    <w:name w:val="font01"/>
    <w:basedOn w:val="12"/>
    <w:qFormat/>
    <w:uiPriority w:val="0"/>
    <w:rPr>
      <w:rFonts w:hint="eastAsia" w:ascii="宋体" w:hAnsi="宋体" w:eastAsia="宋体" w:cs="宋体"/>
      <w:color w:val="000000"/>
      <w:sz w:val="22"/>
      <w:szCs w:val="22"/>
      <w:u w:val="none"/>
    </w:rPr>
  </w:style>
  <w:style w:type="character" w:customStyle="1" w:styleId="19">
    <w:name w:val="font21"/>
    <w:basedOn w:val="12"/>
    <w:qFormat/>
    <w:uiPriority w:val="0"/>
    <w:rPr>
      <w:rFonts w:hint="eastAsia" w:ascii="宋体" w:hAnsi="宋体" w:eastAsia="宋体" w:cs="宋体"/>
      <w:color w:val="000000"/>
      <w:sz w:val="24"/>
      <w:szCs w:val="24"/>
      <w:u w:val="none"/>
    </w:rPr>
  </w:style>
  <w:style w:type="character" w:customStyle="1" w:styleId="20">
    <w:name w:val="font11"/>
    <w:basedOn w:val="1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51</Pages>
  <Words>2218</Words>
  <Characters>2240</Characters>
  <Lines>63</Lines>
  <Paragraphs>18</Paragraphs>
  <TotalTime>4</TotalTime>
  <ScaleCrop>false</ScaleCrop>
  <LinksUpToDate>false</LinksUpToDate>
  <CharactersWithSpaces>2255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2024-09-28T07:03:00Z</cp:lastPrinted>
  <dcterms:modified xsi:type="dcterms:W3CDTF">2026-07-17T05:55:45Z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7B5A8561674A41D0BE35312B0C9F1938_13</vt:lpwstr>
  </property>
  <property fmtid="{D5CDD505-2E9C-101B-9397-08002B2CF9AE}" pid="4" name="KSOTemplateDocerSaveRecord">
    <vt:lpwstr>eyJoZGlkIjoiNDc4MWVmYWJkZTllNTNiZWFiODgyNWFlMTkxMjZhM2MiLCJ1c2VySWQiOiI5NTkxMTI2OTEifQ==</vt:lpwstr>
  </property>
</Properties>
</file>