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20" w:type="dxa"/>
        <w:tblCellMar>
          <w:left w:w="0" w:type="dxa"/>
          <w:right w:w="0" w:type="dxa"/>
        </w:tblCellMar>
        <w:tblLook w:val="04A0"/>
      </w:tblPr>
      <w:tblGrid>
        <w:gridCol w:w="8652"/>
        <w:gridCol w:w="782"/>
        <w:gridCol w:w="6"/>
      </w:tblGrid>
      <w:tr w:rsidR="006F306A" w:rsidRPr="003D048B" w:rsidTr="006F306A">
        <w:trPr>
          <w:trHeight w:val="67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部门预算公开</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540"/>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t> </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540"/>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目</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 xml:space="preserve"> </w:t>
            </w:r>
            <w:r w:rsidRPr="003D048B">
              <w:rPr>
                <w:rFonts w:hint="eastAsia"/>
              </w:rPr>
              <w:t>录</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第一部分</w:t>
            </w:r>
            <w:r w:rsidRPr="003D048B">
              <w:rPr>
                <w:rFonts w:hint="eastAsia"/>
              </w:rPr>
              <w:t xml:space="preserve"> 2024</w:t>
            </w:r>
            <w:r w:rsidRPr="003D048B">
              <w:rPr>
                <w:rFonts w:hint="eastAsia"/>
              </w:rPr>
              <w:t>年部门预算说明</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一、部门基本概况</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（一）职能职责</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（二）机构设置</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二、部门预算单位构成</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三、部门收支总体情况</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（一）收入预算</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（二）支出预算</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四、一般公共预算拨款支出</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（一）基本支出</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（二）项目支出</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五、政府性基金预算支出</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六、其他重要事项的情况说明</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（一）机关运行经费</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（二）“三公”经费预算</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（三）一般性支出情况</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（四）政府采购情况</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（五）国有资产占用使用及新增资产配置情况</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（六）预算绩效目标说明</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七、名词解释</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第二部分</w:t>
            </w:r>
            <w:r w:rsidRPr="003D048B">
              <w:rPr>
                <w:rFonts w:hint="eastAsia"/>
              </w:rPr>
              <w:t xml:space="preserve"> 2024</w:t>
            </w:r>
            <w:r w:rsidRPr="003D048B">
              <w:rPr>
                <w:rFonts w:hint="eastAsia"/>
              </w:rPr>
              <w:t>年度部门预算公开表</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6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t> </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2023</w:t>
            </w:r>
            <w:r w:rsidRPr="003D048B">
              <w:rPr>
                <w:rFonts w:hint="eastAsia"/>
              </w:rPr>
              <w:t>年部门预算说明</w:t>
            </w:r>
            <w:r w:rsidRPr="003D048B">
              <w:rPr>
                <w:rFonts w:ascii="MS Mincho" w:eastAsia="MS Mincho" w:hAnsi="MS Mincho" w:cs="MS Mincho" w:hint="eastAsia"/>
              </w:rPr>
              <w:t> </w:t>
            </w:r>
            <w:r w:rsidRPr="003D048B">
              <w:rPr>
                <w:rFonts w:hint="eastAsia"/>
              </w:rPr>
              <w:t>第一部分</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一、部门基本概况</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（一）职能职责</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148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lastRenderedPageBreak/>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1</w:t>
            </w:r>
            <w:r w:rsidRPr="003D048B">
              <w:rPr>
                <w:rFonts w:hint="eastAsia"/>
              </w:rPr>
              <w:t>、拟订并组织实施全县国民经济和社会发展战略、中长期规划和年度计划。研究拟订全县国民经济和社会发展、经济体制改革和对外开放的有关制度，牵头推进供给侧结构性改革。受县政府委托向县人民代表大会提交国民经济和社会发展计划的报告。</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164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2</w:t>
            </w:r>
            <w:r w:rsidRPr="003D048B">
              <w:rPr>
                <w:rFonts w:hint="eastAsia"/>
              </w:rPr>
              <w:t>、研究提出加快建设现代化经济体系、推动高质量发展的总体目标，重大任务以及相关政策。研究提出全县国民经济和社会发展主要目标，监测预测预警宏观经济和社会发展态势趋势，提出宏观调控政策建议，综合协调宏观经济政策，研究应对措施。</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244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3</w:t>
            </w:r>
            <w:r w:rsidRPr="003D048B">
              <w:rPr>
                <w:rFonts w:hint="eastAsia"/>
              </w:rPr>
              <w:t>、负责投资综合管理，拟订全县全社会固定资产投资总规模和投资结构的调控目标、政策及措施。统筹安排县级财政性建设资金和投资项目，编制下达政府投资年度计划。规划全县重大建设项目和生产力布局</w:t>
            </w:r>
            <w:r w:rsidRPr="003D048B">
              <w:rPr>
                <w:rFonts w:hint="eastAsia"/>
              </w:rPr>
              <w:t>,</w:t>
            </w:r>
            <w:r w:rsidRPr="003D048B">
              <w:rPr>
                <w:rFonts w:hint="eastAsia"/>
              </w:rPr>
              <w:t>按权限审批、核准、审核、备案重大项目。会同相关部门组织实施市场准入负面清单制度。</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186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4</w:t>
            </w:r>
            <w:r w:rsidRPr="003D048B">
              <w:rPr>
                <w:rFonts w:hint="eastAsia"/>
              </w:rPr>
              <w:t>、推进落实区域协调发展战略、新型城镇化战略和重大政策，组织拟订相关区城规划和政策。负责拟定湘南湘西承接产业转移示范区建设、物流枢纽承载城市建设、乡村振兴战略规划和政策。研究制订并统筹促进县内区域协调发展的战略、规划和重大政策。拟订并组织实施全县易地扶贫搬迁、以工代赈规划和计划。</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304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5</w:t>
            </w:r>
            <w:r w:rsidRPr="003D048B">
              <w:rPr>
                <w:rFonts w:hint="eastAsia"/>
              </w:rPr>
              <w:t>、组织拟订综合性产业政策，负责协调第一、三产业发展的重大问题并统筹衔接相关发展规划和重大政策。负责社会发展与国民经济发展的政策衔接，组织拟订社会发展战略、总体规划。协调社会领域事业和产业发展政策及改革重大问题。推进可持续发展战略，推动生态文明建设和改革，协调生态环境保护与修复、能源资源节约和综合利用等工作。完善固定资产投资项目节能评估和审查制度。研究提出全县能源发展战略、规划、产业政策并组织实施；规划能源重大建设项目布局，按权限核准、审核、申报和安排能源重大建设项目。</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240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6</w:t>
            </w:r>
            <w:r w:rsidRPr="003D048B">
              <w:rPr>
                <w:rFonts w:hint="eastAsia"/>
              </w:rPr>
              <w:t>、拟订全县价格改革方案和年度计划，研究提出价格调控目标和政策建议，组织实施价格总水平调控。组织起草有关价格收费政策，承担县政府管理的重要商品和服务价格管理工作。承担行政事业性收费管理工作。承担价格监测、市场价格形势分析和涉案物价格</w:t>
            </w:r>
            <w:proofErr w:type="gramStart"/>
            <w:r w:rsidRPr="003D048B">
              <w:rPr>
                <w:rFonts w:hint="eastAsia"/>
              </w:rPr>
              <w:t>鉴证</w:t>
            </w:r>
            <w:proofErr w:type="gramEnd"/>
            <w:r w:rsidRPr="003D048B">
              <w:rPr>
                <w:rFonts w:hint="eastAsia"/>
              </w:rPr>
              <w:t>工作。负责价格成本调查和监审。</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1155"/>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lastRenderedPageBreak/>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7</w:t>
            </w:r>
            <w:r w:rsidRPr="003D048B">
              <w:rPr>
                <w:rFonts w:hint="eastAsia"/>
              </w:rPr>
              <w:t>、牵头组织监督公共资源交易活动，指导、协调全县工程建设项目招标投标工作，负责权限内工程建设项目招标事项核准和县级工业项目招标投标活动的监管。</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122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8</w:t>
            </w:r>
            <w:r w:rsidRPr="003D048B">
              <w:rPr>
                <w:rFonts w:hint="eastAsia"/>
              </w:rPr>
              <w:t>、会同有关部门拟订推动全县经济建设与国防建设协调发展的战略和规划，协调有关重大问题。组织编制全县国民经济动员规划，协调和组织实施全县国民经济动员有关工作。</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146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9</w:t>
            </w:r>
            <w:r w:rsidRPr="003D048B">
              <w:rPr>
                <w:rFonts w:hint="eastAsia"/>
              </w:rPr>
              <w:t>、研究提出全县粮食宏观调控及粮食流通的中长期规划，拟订全县粮食市场体系建设与发展规划，承担全县粮食流通宏观调控的具体工作。</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1219"/>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10</w:t>
            </w:r>
            <w:r w:rsidRPr="003D048B">
              <w:rPr>
                <w:rFonts w:hint="eastAsia"/>
              </w:rPr>
              <w:t>、管理全县粮食储备，负责全县储备粮棉行政管理。监测全县粮食和战略物资供求变化并预测预警，承担全县粮食流通宏观调控的具体工作，承担粮食安全责任制考核日常工作。</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168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11</w:t>
            </w:r>
            <w:r w:rsidRPr="003D048B">
              <w:rPr>
                <w:rFonts w:hint="eastAsia"/>
              </w:rPr>
              <w:t>、拟订粮食和物资储备仓储管理有关技术标准和规范并组织实施。负责粮食流通、加工行业安全生产工作的监督管理，承担全县物资储备承储单位安全生产的监管责任。</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250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12</w:t>
            </w:r>
            <w:r w:rsidRPr="003D048B">
              <w:rPr>
                <w:rFonts w:hint="eastAsia"/>
              </w:rPr>
              <w:t>、拟订全县储备基础设施、粮食流通设施建设规划并组织实施，管理有关储备基础设施和粮食流通设施全县投资项目。负责对管理的政府储备、企业储备以及储备政策落实情况进行监督检</w:t>
            </w:r>
            <w:proofErr w:type="gramStart"/>
            <w:r w:rsidRPr="003D048B">
              <w:rPr>
                <w:rFonts w:hint="eastAsia"/>
              </w:rPr>
              <w:t>査</w:t>
            </w:r>
            <w:proofErr w:type="gramEnd"/>
            <w:r w:rsidRPr="003D048B">
              <w:rPr>
                <w:rFonts w:hint="eastAsia"/>
              </w:rPr>
              <w:t>。负责粮食收购、储存、运输环节粮食质量安全和原粮卫生的监督管理，组织实施全县粮食库存检查工作。</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116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13</w:t>
            </w:r>
            <w:r w:rsidRPr="003D048B">
              <w:rPr>
                <w:rFonts w:hint="eastAsia"/>
              </w:rPr>
              <w:t>、负责粮食流通行业管理，制定行业发展规划、政策，拟订粮食流通和物资储备有关标准、粮食质量标准，制定有关技术规范并监督执行。</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148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14</w:t>
            </w:r>
            <w:r w:rsidRPr="003D048B">
              <w:rPr>
                <w:rFonts w:hint="eastAsia"/>
              </w:rPr>
              <w:t>、承担国防动员工作统筹规划、综合协调、督导落实等职能，牵头承办国防动员建设管理和组织实施涉及各部门之间的协调落实工作；具体</w:t>
            </w:r>
            <w:proofErr w:type="gramStart"/>
            <w:r w:rsidRPr="003D048B">
              <w:rPr>
                <w:rFonts w:hint="eastAsia"/>
              </w:rPr>
              <w:t>承担县</w:t>
            </w:r>
            <w:proofErr w:type="gramEnd"/>
            <w:r w:rsidRPr="003D048B">
              <w:rPr>
                <w:rFonts w:hint="eastAsia"/>
              </w:rPr>
              <w:t>国防动员委员会联合办公室相关日常事务工作。</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66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15</w:t>
            </w:r>
            <w:r w:rsidRPr="003D048B">
              <w:rPr>
                <w:rFonts w:hint="eastAsia"/>
              </w:rPr>
              <w:t>、完成县委、县政府交办的其他任务。</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660"/>
        </w:trPr>
        <w:tc>
          <w:tcPr>
            <w:tcW w:w="0" w:type="auto"/>
            <w:tcBorders>
              <w:top w:val="nil"/>
              <w:left w:val="nil"/>
              <w:bottom w:val="nil"/>
              <w:right w:val="nil"/>
            </w:tcBorders>
            <w:tcMar>
              <w:top w:w="14" w:type="dxa"/>
              <w:left w:w="14" w:type="dxa"/>
              <w:bottom w:w="0" w:type="dxa"/>
              <w:right w:w="14" w:type="dxa"/>
            </w:tcMar>
            <w:hideMark/>
          </w:tcPr>
          <w:p w:rsidR="006F306A" w:rsidRPr="003D048B" w:rsidRDefault="006F306A" w:rsidP="002920B0"/>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619"/>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lastRenderedPageBreak/>
              <w:t> </w:t>
            </w:r>
            <w:r w:rsidRPr="003D048B">
              <w:rPr>
                <w:rFonts w:ascii="MS Mincho" w:eastAsia="MS Mincho" w:hAnsi="MS Mincho" w:cs="MS Mincho" w:hint="eastAsia"/>
              </w:rPr>
              <w:t> </w:t>
            </w:r>
            <w:r w:rsidRPr="003D048B">
              <w:rPr>
                <w:rFonts w:hint="eastAsia"/>
              </w:rPr>
              <w:t>（二）机构设置</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196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本单位是财政全额拨款的行政单位，内设行政业务职能股室</w:t>
            </w:r>
            <w:r w:rsidRPr="003D048B">
              <w:rPr>
                <w:rFonts w:hint="eastAsia"/>
              </w:rPr>
              <w:t xml:space="preserve"> 16 </w:t>
            </w:r>
            <w:proofErr w:type="gramStart"/>
            <w:r w:rsidRPr="003D048B">
              <w:rPr>
                <w:rFonts w:hint="eastAsia"/>
              </w:rPr>
              <w:t>个</w:t>
            </w:r>
            <w:proofErr w:type="gramEnd"/>
            <w:r w:rsidRPr="003D048B">
              <w:rPr>
                <w:rFonts w:hint="eastAsia"/>
              </w:rPr>
              <w:t>；二级机构</w:t>
            </w:r>
            <w:r w:rsidRPr="003D048B">
              <w:rPr>
                <w:rFonts w:hint="eastAsia"/>
              </w:rPr>
              <w:t xml:space="preserve"> 4</w:t>
            </w:r>
            <w:r w:rsidRPr="003D048B">
              <w:rPr>
                <w:rFonts w:hint="eastAsia"/>
              </w:rPr>
              <w:t>个，分别是：溆浦县节能监察中心、溆浦县招投标管理办公室、溆浦</w:t>
            </w:r>
            <w:proofErr w:type="gramStart"/>
            <w:r w:rsidRPr="003D048B">
              <w:rPr>
                <w:rFonts w:hint="eastAsia"/>
              </w:rPr>
              <w:t>县价格</w:t>
            </w:r>
            <w:proofErr w:type="gramEnd"/>
            <w:r w:rsidRPr="003D048B">
              <w:rPr>
                <w:rFonts w:hint="eastAsia"/>
              </w:rPr>
              <w:t>认证中心、溆浦县重点建设项目事务中心；下属及派出机构</w:t>
            </w:r>
            <w:r w:rsidRPr="003D048B">
              <w:rPr>
                <w:rFonts w:hint="eastAsia"/>
              </w:rPr>
              <w:t xml:space="preserve"> 0</w:t>
            </w:r>
            <w:r w:rsidRPr="003D048B">
              <w:rPr>
                <w:rFonts w:hint="eastAsia"/>
              </w:rPr>
              <w:t>个；核定编制</w:t>
            </w:r>
            <w:r w:rsidRPr="003D048B">
              <w:rPr>
                <w:rFonts w:hint="eastAsia"/>
              </w:rPr>
              <w:t>66</w:t>
            </w:r>
            <w:r w:rsidRPr="003D048B">
              <w:rPr>
                <w:rFonts w:hint="eastAsia"/>
              </w:rPr>
              <w:t>名，实有人数</w:t>
            </w:r>
            <w:r w:rsidRPr="003D048B">
              <w:rPr>
                <w:rFonts w:hint="eastAsia"/>
              </w:rPr>
              <w:t xml:space="preserve"> 64</w:t>
            </w:r>
            <w:r w:rsidRPr="003D048B">
              <w:rPr>
                <w:rFonts w:hint="eastAsia"/>
              </w:rPr>
              <w:t>人，其中：行政人员</w:t>
            </w:r>
            <w:r w:rsidRPr="003D048B">
              <w:rPr>
                <w:rFonts w:hint="eastAsia"/>
              </w:rPr>
              <w:t xml:space="preserve"> 24</w:t>
            </w:r>
            <w:r w:rsidRPr="003D048B">
              <w:rPr>
                <w:rFonts w:hint="eastAsia"/>
              </w:rPr>
              <w:t>人、事业人员</w:t>
            </w:r>
            <w:r w:rsidRPr="003D048B">
              <w:rPr>
                <w:rFonts w:hint="eastAsia"/>
              </w:rPr>
              <w:t xml:space="preserve">40 </w:t>
            </w:r>
            <w:r w:rsidRPr="003D048B">
              <w:rPr>
                <w:rFonts w:hint="eastAsia"/>
              </w:rPr>
              <w:t>人、工勤人员</w:t>
            </w:r>
            <w:r w:rsidRPr="003D048B">
              <w:rPr>
                <w:rFonts w:hint="eastAsia"/>
              </w:rPr>
              <w:t>0</w:t>
            </w:r>
            <w:r w:rsidRPr="003D048B">
              <w:rPr>
                <w:rFonts w:hint="eastAsia"/>
              </w:rPr>
              <w:t>人、离退休人员</w:t>
            </w:r>
            <w:r w:rsidRPr="003D048B">
              <w:rPr>
                <w:rFonts w:hint="eastAsia"/>
              </w:rPr>
              <w:t xml:space="preserve"> 76</w:t>
            </w:r>
            <w:r w:rsidRPr="003D048B">
              <w:rPr>
                <w:rFonts w:hint="eastAsia"/>
              </w:rPr>
              <w:t>人。</w:t>
            </w:r>
          </w:p>
        </w:tc>
        <w:tc>
          <w:tcPr>
            <w:tcW w:w="0" w:type="auto"/>
            <w:tcBorders>
              <w:top w:val="nil"/>
              <w:left w:val="nil"/>
              <w:bottom w:val="nil"/>
              <w:right w:val="nil"/>
            </w:tcBorders>
            <w:tcMar>
              <w:top w:w="14" w:type="dxa"/>
              <w:left w:w="762"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642"/>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二、部门预算单位构成</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90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本单位没有独立核算的二级机构，没有其他预算单位，因此本部门预算仅含本级预算。</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61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三、部门收支总体情况</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268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（一）收入预算：包括一般公共预算、政府性基金、国有资本经营预算等财政拨款收入，以及经营收入、事业收入等单位资金。</w:t>
            </w:r>
            <w:r w:rsidRPr="003D048B">
              <w:rPr>
                <w:rFonts w:hint="eastAsia"/>
              </w:rPr>
              <w:t>2024</w:t>
            </w:r>
            <w:r w:rsidRPr="003D048B">
              <w:rPr>
                <w:rFonts w:hint="eastAsia"/>
              </w:rPr>
              <w:t>年本部门收入预算</w:t>
            </w:r>
            <w:r w:rsidRPr="003D048B">
              <w:rPr>
                <w:rFonts w:hint="eastAsia"/>
              </w:rPr>
              <w:t>2726.58</w:t>
            </w:r>
            <w:r w:rsidRPr="003D048B">
              <w:rPr>
                <w:rFonts w:hint="eastAsia"/>
              </w:rPr>
              <w:t>万元，其中，一般公共预算拨款</w:t>
            </w:r>
            <w:r w:rsidRPr="003D048B">
              <w:rPr>
                <w:rFonts w:hint="eastAsia"/>
              </w:rPr>
              <w:t>2726.58</w:t>
            </w:r>
            <w:r w:rsidRPr="003D048B">
              <w:rPr>
                <w:rFonts w:hint="eastAsia"/>
              </w:rPr>
              <w:t>万元，政府性基金预算拨款</w:t>
            </w:r>
            <w:r w:rsidRPr="003D048B">
              <w:rPr>
                <w:rFonts w:hint="eastAsia"/>
              </w:rPr>
              <w:t>0</w:t>
            </w:r>
            <w:r w:rsidRPr="003D048B">
              <w:rPr>
                <w:rFonts w:hint="eastAsia"/>
              </w:rPr>
              <w:t>万元，国有资本经营预算拨款</w:t>
            </w:r>
            <w:r w:rsidRPr="003D048B">
              <w:rPr>
                <w:rFonts w:hint="eastAsia"/>
              </w:rPr>
              <w:t>0</w:t>
            </w:r>
            <w:r w:rsidRPr="003D048B">
              <w:rPr>
                <w:rFonts w:hint="eastAsia"/>
              </w:rPr>
              <w:t>万元，纳入专户管理的非税收入</w:t>
            </w:r>
            <w:r w:rsidRPr="003D048B">
              <w:rPr>
                <w:rFonts w:hint="eastAsia"/>
              </w:rPr>
              <w:t>0</w:t>
            </w:r>
            <w:r w:rsidRPr="003D048B">
              <w:rPr>
                <w:rFonts w:hint="eastAsia"/>
              </w:rPr>
              <w:t>万元。收入较去年增加</w:t>
            </w:r>
            <w:r w:rsidRPr="003D048B">
              <w:rPr>
                <w:rFonts w:hint="eastAsia"/>
              </w:rPr>
              <w:t>49.26</w:t>
            </w:r>
            <w:r w:rsidRPr="003D048B">
              <w:rPr>
                <w:rFonts w:hint="eastAsia"/>
              </w:rPr>
              <w:t>万元，增幅为</w:t>
            </w:r>
            <w:r w:rsidRPr="003D048B">
              <w:rPr>
                <w:rFonts w:hint="eastAsia"/>
              </w:rPr>
              <w:t>1.84%</w:t>
            </w:r>
            <w:r w:rsidRPr="003D048B">
              <w:rPr>
                <w:rFonts w:hint="eastAsia"/>
              </w:rPr>
              <w:t>。主要原因是：由于工作职能的增加，保证工作正常运转的行政运行费用和一般行政管理事务费用有所增加。</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234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（二）支出预算：</w:t>
            </w:r>
            <w:r w:rsidRPr="003D048B">
              <w:rPr>
                <w:rFonts w:hint="eastAsia"/>
              </w:rPr>
              <w:t>2024</w:t>
            </w:r>
            <w:r w:rsidRPr="003D048B">
              <w:rPr>
                <w:rFonts w:hint="eastAsia"/>
              </w:rPr>
              <w:t>年本部门支出预算</w:t>
            </w:r>
            <w:r w:rsidRPr="003D048B">
              <w:rPr>
                <w:rFonts w:hint="eastAsia"/>
              </w:rPr>
              <w:t>2726.58</w:t>
            </w:r>
            <w:r w:rsidRPr="003D048B">
              <w:rPr>
                <w:rFonts w:hint="eastAsia"/>
              </w:rPr>
              <w:t>万元，其中，一般公共服务支出</w:t>
            </w:r>
            <w:r w:rsidRPr="003D048B">
              <w:rPr>
                <w:rFonts w:hint="eastAsia"/>
              </w:rPr>
              <w:t xml:space="preserve"> 1634.36</w:t>
            </w:r>
            <w:r w:rsidRPr="003D048B">
              <w:rPr>
                <w:rFonts w:hint="eastAsia"/>
              </w:rPr>
              <w:t>万元，社会保障和就业支出</w:t>
            </w:r>
            <w:r w:rsidRPr="003D048B">
              <w:rPr>
                <w:rFonts w:hint="eastAsia"/>
              </w:rPr>
              <w:t>103.89</w:t>
            </w:r>
            <w:r w:rsidRPr="003D048B">
              <w:rPr>
                <w:rFonts w:hint="eastAsia"/>
              </w:rPr>
              <w:t>万元，卫生健康支出</w:t>
            </w:r>
            <w:r w:rsidRPr="003D048B">
              <w:rPr>
                <w:rFonts w:hint="eastAsia"/>
              </w:rPr>
              <w:t>41.56</w:t>
            </w:r>
            <w:r w:rsidRPr="003D048B">
              <w:rPr>
                <w:rFonts w:hint="eastAsia"/>
              </w:rPr>
              <w:t>万元，农林水支出</w:t>
            </w:r>
            <w:r w:rsidRPr="003D048B">
              <w:rPr>
                <w:rFonts w:hint="eastAsia"/>
              </w:rPr>
              <w:t>32</w:t>
            </w:r>
            <w:r w:rsidRPr="003D048B">
              <w:rPr>
                <w:rFonts w:hint="eastAsia"/>
              </w:rPr>
              <w:t>万元，住房保障支出</w:t>
            </w:r>
            <w:r w:rsidRPr="003D048B">
              <w:rPr>
                <w:rFonts w:hint="eastAsia"/>
              </w:rPr>
              <w:t>298.83</w:t>
            </w:r>
            <w:r w:rsidRPr="003D048B">
              <w:rPr>
                <w:rFonts w:hint="eastAsia"/>
              </w:rPr>
              <w:t>万元，粮油物资储备支出</w:t>
            </w:r>
            <w:r w:rsidRPr="003D048B">
              <w:rPr>
                <w:rFonts w:hint="eastAsia"/>
              </w:rPr>
              <w:t>615.94</w:t>
            </w:r>
            <w:r w:rsidRPr="003D048B">
              <w:rPr>
                <w:rFonts w:hint="eastAsia"/>
              </w:rPr>
              <w:t>万元。支出较去年增加了</w:t>
            </w:r>
            <w:r w:rsidRPr="003D048B">
              <w:rPr>
                <w:rFonts w:hint="eastAsia"/>
              </w:rPr>
              <w:t>49.26</w:t>
            </w:r>
            <w:r w:rsidRPr="003D048B">
              <w:rPr>
                <w:rFonts w:hint="eastAsia"/>
              </w:rPr>
              <w:t>万元，增幅为</w:t>
            </w:r>
            <w:r w:rsidRPr="003D048B">
              <w:rPr>
                <w:rFonts w:hint="eastAsia"/>
              </w:rPr>
              <w:t>1.84%</w:t>
            </w:r>
            <w:r w:rsidRPr="003D048B">
              <w:rPr>
                <w:rFonts w:hint="eastAsia"/>
              </w:rPr>
              <w:t>。主要原因是：由于工作职能的增加，保证工作正常运转的行政运行费用和一般行政管理事务费用有所增加。</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55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四、一般公共预算拨款支出</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198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2024</w:t>
            </w:r>
            <w:r w:rsidRPr="003D048B">
              <w:rPr>
                <w:rFonts w:hint="eastAsia"/>
              </w:rPr>
              <w:t>年本部门一般公共预算拨款支出预算</w:t>
            </w:r>
            <w:r w:rsidRPr="003D048B">
              <w:rPr>
                <w:rFonts w:hint="eastAsia"/>
              </w:rPr>
              <w:t>2726.58</w:t>
            </w:r>
            <w:r w:rsidRPr="003D048B">
              <w:rPr>
                <w:rFonts w:hint="eastAsia"/>
              </w:rPr>
              <w:t>万元，其中，一般公共服务支出</w:t>
            </w:r>
            <w:r w:rsidRPr="003D048B">
              <w:rPr>
                <w:rFonts w:hint="eastAsia"/>
              </w:rPr>
              <w:t>1634.36</w:t>
            </w:r>
            <w:r w:rsidRPr="003D048B">
              <w:rPr>
                <w:rFonts w:hint="eastAsia"/>
              </w:rPr>
              <w:t>万元，占</w:t>
            </w:r>
            <w:r w:rsidRPr="003D048B">
              <w:rPr>
                <w:rFonts w:hint="eastAsia"/>
              </w:rPr>
              <w:t>59.94%</w:t>
            </w:r>
            <w:r w:rsidRPr="003D048B">
              <w:rPr>
                <w:rFonts w:hint="eastAsia"/>
              </w:rPr>
              <w:t>；社会保障和就业支出</w:t>
            </w:r>
            <w:r w:rsidRPr="003D048B">
              <w:rPr>
                <w:rFonts w:hint="eastAsia"/>
              </w:rPr>
              <w:t>103.89</w:t>
            </w:r>
            <w:r w:rsidRPr="003D048B">
              <w:rPr>
                <w:rFonts w:hint="eastAsia"/>
              </w:rPr>
              <w:t>万元，占</w:t>
            </w:r>
            <w:r w:rsidRPr="003D048B">
              <w:rPr>
                <w:rFonts w:hint="eastAsia"/>
              </w:rPr>
              <w:t>3.81%</w:t>
            </w:r>
            <w:r w:rsidRPr="003D048B">
              <w:rPr>
                <w:rFonts w:hint="eastAsia"/>
              </w:rPr>
              <w:t>；卫生健康支出</w:t>
            </w:r>
            <w:r w:rsidRPr="003D048B">
              <w:rPr>
                <w:rFonts w:hint="eastAsia"/>
              </w:rPr>
              <w:t>41.56</w:t>
            </w:r>
            <w:r w:rsidRPr="003D048B">
              <w:rPr>
                <w:rFonts w:hint="eastAsia"/>
              </w:rPr>
              <w:t>万元，占</w:t>
            </w:r>
            <w:r w:rsidRPr="003D048B">
              <w:rPr>
                <w:rFonts w:hint="eastAsia"/>
              </w:rPr>
              <w:t>1.52%</w:t>
            </w:r>
            <w:r w:rsidRPr="003D048B">
              <w:rPr>
                <w:rFonts w:hint="eastAsia"/>
              </w:rPr>
              <w:t>；农林水支出</w:t>
            </w:r>
            <w:r w:rsidRPr="003D048B">
              <w:rPr>
                <w:rFonts w:hint="eastAsia"/>
              </w:rPr>
              <w:t>32</w:t>
            </w:r>
            <w:r w:rsidRPr="003D048B">
              <w:rPr>
                <w:rFonts w:hint="eastAsia"/>
              </w:rPr>
              <w:t>万元，占</w:t>
            </w:r>
            <w:r w:rsidRPr="003D048B">
              <w:rPr>
                <w:rFonts w:hint="eastAsia"/>
              </w:rPr>
              <w:t>1.18%</w:t>
            </w:r>
            <w:r w:rsidRPr="003D048B">
              <w:rPr>
                <w:rFonts w:hint="eastAsia"/>
              </w:rPr>
              <w:t>；住房保障支出</w:t>
            </w:r>
            <w:r w:rsidRPr="003D048B">
              <w:rPr>
                <w:rFonts w:hint="eastAsia"/>
              </w:rPr>
              <w:t>298.83</w:t>
            </w:r>
            <w:r w:rsidRPr="003D048B">
              <w:rPr>
                <w:rFonts w:hint="eastAsia"/>
              </w:rPr>
              <w:t>万元，占</w:t>
            </w:r>
            <w:r w:rsidRPr="003D048B">
              <w:rPr>
                <w:rFonts w:hint="eastAsia"/>
              </w:rPr>
              <w:t>10.96%</w:t>
            </w:r>
            <w:r w:rsidRPr="003D048B">
              <w:rPr>
                <w:rFonts w:hint="eastAsia"/>
              </w:rPr>
              <w:t>；粮油物资储备支出</w:t>
            </w:r>
            <w:r w:rsidRPr="003D048B">
              <w:rPr>
                <w:rFonts w:hint="eastAsia"/>
              </w:rPr>
              <w:t>615.94</w:t>
            </w:r>
            <w:r w:rsidRPr="003D048B">
              <w:rPr>
                <w:rFonts w:hint="eastAsia"/>
              </w:rPr>
              <w:t>万元。占</w:t>
            </w:r>
            <w:r w:rsidRPr="003D048B">
              <w:rPr>
                <w:rFonts w:hint="eastAsia"/>
              </w:rPr>
              <w:t>22.59%</w:t>
            </w:r>
            <w:r w:rsidRPr="003D048B">
              <w:rPr>
                <w:rFonts w:hint="eastAsia"/>
              </w:rPr>
              <w:t>具体安排情况如下：</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330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lastRenderedPageBreak/>
              <w:t> </w:t>
            </w:r>
            <w:r w:rsidRPr="003D048B">
              <w:rPr>
                <w:rFonts w:ascii="MS Mincho" w:eastAsia="MS Mincho" w:hAnsi="MS Mincho" w:cs="MS Mincho" w:hint="eastAsia"/>
              </w:rPr>
              <w:t> </w:t>
            </w:r>
            <w:r w:rsidRPr="003D048B">
              <w:rPr>
                <w:rFonts w:hint="eastAsia"/>
              </w:rPr>
              <w:t>（一）基本支出：</w:t>
            </w:r>
            <w:r w:rsidRPr="003D048B">
              <w:rPr>
                <w:rFonts w:hint="eastAsia"/>
              </w:rPr>
              <w:t>2024</w:t>
            </w:r>
            <w:r w:rsidRPr="003D048B">
              <w:rPr>
                <w:rFonts w:hint="eastAsia"/>
              </w:rPr>
              <w:t>年本部门基本支出预算数</w:t>
            </w:r>
            <w:r w:rsidRPr="003D048B">
              <w:rPr>
                <w:rFonts w:hint="eastAsia"/>
              </w:rPr>
              <w:t>887.83</w:t>
            </w:r>
            <w:r w:rsidRPr="003D048B">
              <w:rPr>
                <w:rFonts w:hint="eastAsia"/>
              </w:rPr>
              <w:t>万元，主要是为保障部门正常运转、完成日常工作任务而发生的各项支出，包括用于基本工资、津贴补贴等人员经费</w:t>
            </w:r>
            <w:r w:rsidRPr="003D048B">
              <w:rPr>
                <w:rFonts w:hint="eastAsia"/>
              </w:rPr>
              <w:t>807.43</w:t>
            </w:r>
            <w:r w:rsidRPr="003D048B">
              <w:rPr>
                <w:rFonts w:hint="eastAsia"/>
              </w:rPr>
              <w:t>万元，占全年一般公共预算拨款支出的</w:t>
            </w:r>
            <w:r w:rsidRPr="003D048B">
              <w:rPr>
                <w:rFonts w:hint="eastAsia"/>
              </w:rPr>
              <w:t>90.94%</w:t>
            </w:r>
            <w:r w:rsidRPr="003D048B">
              <w:rPr>
                <w:rFonts w:hint="eastAsia"/>
              </w:rPr>
              <w:t>，以及办公费、印刷费、水电费、办公设备购置等公用经费</w:t>
            </w:r>
            <w:r w:rsidRPr="003D048B">
              <w:rPr>
                <w:rFonts w:hint="eastAsia"/>
              </w:rPr>
              <w:t>80.4</w:t>
            </w:r>
            <w:r w:rsidRPr="003D048B">
              <w:rPr>
                <w:rFonts w:hint="eastAsia"/>
              </w:rPr>
              <w:t>万元，占全年一般公共预算拨款支出的</w:t>
            </w:r>
            <w:r w:rsidRPr="003D048B">
              <w:rPr>
                <w:rFonts w:hint="eastAsia"/>
              </w:rPr>
              <w:t>9.06%</w:t>
            </w:r>
            <w:r w:rsidRPr="003D048B">
              <w:rPr>
                <w:rFonts w:hint="eastAsia"/>
              </w:rPr>
              <w:t>。</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818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（二）项目支出：</w:t>
            </w:r>
            <w:r w:rsidRPr="003D048B">
              <w:rPr>
                <w:rFonts w:hint="eastAsia"/>
              </w:rPr>
              <w:t>2024</w:t>
            </w:r>
            <w:r w:rsidRPr="003D048B">
              <w:rPr>
                <w:rFonts w:hint="eastAsia"/>
              </w:rPr>
              <w:t>年本部门项目支出预算</w:t>
            </w:r>
            <w:r w:rsidRPr="003D048B">
              <w:rPr>
                <w:rFonts w:hint="eastAsia"/>
              </w:rPr>
              <w:t>1838.75</w:t>
            </w:r>
            <w:r w:rsidRPr="003D048B">
              <w:rPr>
                <w:rFonts w:hint="eastAsia"/>
              </w:rPr>
              <w:t>万元，主要是部门为完成特定行政工作任务或事业发展目标而发生的支出，包括有关事业发展专项、专项业务费、基本建设支出等，其中：保障性安居工程配套设施建设项目</w:t>
            </w:r>
            <w:r w:rsidRPr="003D048B">
              <w:rPr>
                <w:rFonts w:hint="eastAsia"/>
              </w:rPr>
              <w:t>258</w:t>
            </w:r>
            <w:r w:rsidRPr="003D048B">
              <w:rPr>
                <w:rFonts w:hint="eastAsia"/>
              </w:rPr>
              <w:t>万元，主要用于保障性安居工程配套设施建设等方面；非税收</w:t>
            </w:r>
            <w:proofErr w:type="gramStart"/>
            <w:r w:rsidRPr="003D048B">
              <w:rPr>
                <w:rFonts w:hint="eastAsia"/>
              </w:rPr>
              <w:t>入工作</w:t>
            </w:r>
            <w:proofErr w:type="gramEnd"/>
            <w:r w:rsidRPr="003D048B">
              <w:rPr>
                <w:rFonts w:hint="eastAsia"/>
              </w:rPr>
              <w:t>经费</w:t>
            </w:r>
            <w:r w:rsidRPr="003D048B">
              <w:rPr>
                <w:rFonts w:hint="eastAsia"/>
              </w:rPr>
              <w:t>82.25</w:t>
            </w:r>
            <w:r w:rsidRPr="003D048B">
              <w:rPr>
                <w:rFonts w:hint="eastAsia"/>
              </w:rPr>
              <w:t>万元，主要用于完成年度非税收入任务收缴等方面；价格监测和价格认定经费</w:t>
            </w:r>
            <w:r w:rsidRPr="003D048B">
              <w:rPr>
                <w:rFonts w:hint="eastAsia"/>
              </w:rPr>
              <w:t>8</w:t>
            </w:r>
            <w:r w:rsidRPr="003D048B">
              <w:rPr>
                <w:rFonts w:hint="eastAsia"/>
              </w:rPr>
              <w:t>万元，主要用于完成</w:t>
            </w:r>
            <w:r w:rsidRPr="003D048B">
              <w:rPr>
                <w:rFonts w:hint="eastAsia"/>
              </w:rPr>
              <w:t>2024</w:t>
            </w:r>
            <w:r w:rsidRPr="003D048B">
              <w:rPr>
                <w:rFonts w:hint="eastAsia"/>
              </w:rPr>
              <w:t>年市场价格监测和价格认定工作任务；节能监察和审查工作经费</w:t>
            </w:r>
            <w:r w:rsidRPr="003D048B">
              <w:rPr>
                <w:rFonts w:hint="eastAsia"/>
              </w:rPr>
              <w:t>8</w:t>
            </w:r>
            <w:r w:rsidRPr="003D048B">
              <w:rPr>
                <w:rFonts w:hint="eastAsia"/>
              </w:rPr>
              <w:t>万元，主要用于完成</w:t>
            </w:r>
            <w:r w:rsidRPr="003D048B">
              <w:rPr>
                <w:rFonts w:hint="eastAsia"/>
              </w:rPr>
              <w:t>2024</w:t>
            </w:r>
            <w:r w:rsidRPr="003D048B">
              <w:rPr>
                <w:rFonts w:hint="eastAsia"/>
              </w:rPr>
              <w:t>年度节能监察和审查工作任务；价格成本监审和调查工作经费</w:t>
            </w:r>
            <w:r w:rsidRPr="003D048B">
              <w:rPr>
                <w:rFonts w:hint="eastAsia"/>
              </w:rPr>
              <w:t>8</w:t>
            </w:r>
            <w:r w:rsidRPr="003D048B">
              <w:rPr>
                <w:rFonts w:hint="eastAsia"/>
              </w:rPr>
              <w:t>万元，主要用于完成</w:t>
            </w:r>
            <w:r w:rsidRPr="003D048B">
              <w:rPr>
                <w:rFonts w:hint="eastAsia"/>
              </w:rPr>
              <w:t>2024</w:t>
            </w:r>
            <w:r w:rsidRPr="003D048B">
              <w:rPr>
                <w:rFonts w:hint="eastAsia"/>
              </w:rPr>
              <w:t>年价格成本调查和监审工作任务；遗属生活补助</w:t>
            </w:r>
            <w:r w:rsidRPr="003D048B">
              <w:rPr>
                <w:rFonts w:hint="eastAsia"/>
              </w:rPr>
              <w:t>10.56</w:t>
            </w:r>
            <w:r w:rsidRPr="003D048B">
              <w:rPr>
                <w:rFonts w:hint="eastAsia"/>
              </w:rPr>
              <w:t>万元，主要用于保障</w:t>
            </w:r>
            <w:r w:rsidRPr="003D048B">
              <w:rPr>
                <w:rFonts w:hint="eastAsia"/>
              </w:rPr>
              <w:t>2024</w:t>
            </w:r>
            <w:r w:rsidRPr="003D048B">
              <w:rPr>
                <w:rFonts w:hint="eastAsia"/>
              </w:rPr>
              <w:t>年遗属生活补助的发放；县级储备粮保管、利息费用及轮换亏损</w:t>
            </w:r>
            <w:r w:rsidRPr="003D048B">
              <w:rPr>
                <w:rFonts w:hint="eastAsia"/>
              </w:rPr>
              <w:t>245.53</w:t>
            </w:r>
            <w:r w:rsidRPr="003D048B">
              <w:rPr>
                <w:rFonts w:hint="eastAsia"/>
              </w:rPr>
              <w:t>万元，主要用于完成</w:t>
            </w:r>
            <w:r w:rsidRPr="003D048B">
              <w:rPr>
                <w:rFonts w:hint="eastAsia"/>
              </w:rPr>
              <w:t>2024</w:t>
            </w:r>
            <w:r w:rsidRPr="003D048B">
              <w:rPr>
                <w:rFonts w:hint="eastAsia"/>
              </w:rPr>
              <w:t>年县级储备粮保管和轮换任务；省级储备粮保管、利息费用及轮换亏损</w:t>
            </w:r>
            <w:r w:rsidRPr="003D048B">
              <w:rPr>
                <w:rFonts w:hint="eastAsia"/>
              </w:rPr>
              <w:t>105</w:t>
            </w:r>
            <w:r w:rsidRPr="003D048B">
              <w:rPr>
                <w:rFonts w:hint="eastAsia"/>
              </w:rPr>
              <w:t>万元，主要用于完成</w:t>
            </w:r>
            <w:r w:rsidRPr="003D048B">
              <w:rPr>
                <w:rFonts w:hint="eastAsia"/>
              </w:rPr>
              <w:t>2024</w:t>
            </w:r>
            <w:r w:rsidRPr="003D048B">
              <w:rPr>
                <w:rFonts w:hint="eastAsia"/>
              </w:rPr>
              <w:t>年省级储备粮保管和轮换任务；粮食仓储设施建设和维护</w:t>
            </w:r>
            <w:r w:rsidRPr="003D048B">
              <w:rPr>
                <w:rFonts w:hint="eastAsia"/>
              </w:rPr>
              <w:t>24</w:t>
            </w:r>
            <w:r w:rsidRPr="003D048B">
              <w:rPr>
                <w:rFonts w:hint="eastAsia"/>
              </w:rPr>
              <w:t>万元，主要用于加强对粮食仓房及仓储设施的维护等方面；粮食执法督查和统计调查</w:t>
            </w:r>
            <w:r w:rsidRPr="003D048B">
              <w:rPr>
                <w:rFonts w:hint="eastAsia"/>
              </w:rPr>
              <w:t>4</w:t>
            </w:r>
            <w:r w:rsidRPr="003D048B">
              <w:rPr>
                <w:rFonts w:hint="eastAsia"/>
              </w:rPr>
              <w:t>万，主要用于强化对政策性粮食收储和销售出库监管等方面；粮食应急体系建设</w:t>
            </w:r>
            <w:r w:rsidRPr="003D048B">
              <w:rPr>
                <w:rFonts w:hint="eastAsia"/>
              </w:rPr>
              <w:t>8</w:t>
            </w:r>
            <w:r w:rsidRPr="003D048B">
              <w:rPr>
                <w:rFonts w:hint="eastAsia"/>
              </w:rPr>
              <w:t>万元，主要用于粮食应急体系建设等方面；粮油质量检验</w:t>
            </w:r>
            <w:r w:rsidRPr="003D048B">
              <w:rPr>
                <w:rFonts w:hint="eastAsia"/>
              </w:rPr>
              <w:t>8</w:t>
            </w:r>
            <w:r w:rsidRPr="003D048B">
              <w:rPr>
                <w:rFonts w:hint="eastAsia"/>
              </w:rPr>
              <w:t>万元，主要用于粮油产品质量检验等方面；临储粮利息费用补贴和处置价差亏损</w:t>
            </w:r>
            <w:r w:rsidRPr="003D048B">
              <w:rPr>
                <w:rFonts w:hint="eastAsia"/>
              </w:rPr>
              <w:t>42.95</w:t>
            </w:r>
            <w:r w:rsidRPr="003D048B">
              <w:rPr>
                <w:rFonts w:hint="eastAsia"/>
              </w:rPr>
              <w:t>万元，主要用于完成</w:t>
            </w:r>
            <w:r w:rsidRPr="003D048B">
              <w:rPr>
                <w:rFonts w:hint="eastAsia"/>
              </w:rPr>
              <w:t>2024</w:t>
            </w:r>
            <w:r w:rsidRPr="003D048B">
              <w:rPr>
                <w:rFonts w:hint="eastAsia"/>
              </w:rPr>
              <w:t>年收购、处置临储粮任务；社会信用体系建设工作经费</w:t>
            </w:r>
            <w:r w:rsidRPr="003D048B">
              <w:rPr>
                <w:rFonts w:hint="eastAsia"/>
              </w:rPr>
              <w:t>16</w:t>
            </w:r>
            <w:r w:rsidRPr="003D048B">
              <w:rPr>
                <w:rFonts w:hint="eastAsia"/>
              </w:rPr>
              <w:t>万元，主要用于完成</w:t>
            </w:r>
            <w:r w:rsidRPr="003D048B">
              <w:rPr>
                <w:rFonts w:hint="eastAsia"/>
              </w:rPr>
              <w:t>2024</w:t>
            </w:r>
            <w:r w:rsidRPr="003D048B">
              <w:rPr>
                <w:rFonts w:hint="eastAsia"/>
              </w:rPr>
              <w:t>年社会信用体系建设工作等方面；易地扶贫搬迁后续帮扶工作经费</w:t>
            </w:r>
            <w:r w:rsidRPr="003D048B">
              <w:rPr>
                <w:rFonts w:hint="eastAsia"/>
              </w:rPr>
              <w:t>32</w:t>
            </w:r>
            <w:r w:rsidRPr="003D048B">
              <w:rPr>
                <w:rFonts w:hint="eastAsia"/>
              </w:rPr>
              <w:t>万元，主要用于完成易地扶贫搬迁后续帮扶等方面的工作任务；应急成品粮储备保管</w:t>
            </w:r>
            <w:r w:rsidRPr="003D048B">
              <w:rPr>
                <w:rFonts w:hint="eastAsia"/>
              </w:rPr>
              <w:t>52.8</w:t>
            </w:r>
            <w:r w:rsidRPr="003D048B">
              <w:rPr>
                <w:rFonts w:hint="eastAsia"/>
              </w:rPr>
              <w:t>万元，主要用于建设成品粮应急储备，保证应急状态下粮食市场供应；重大项目前期工作经费</w:t>
            </w:r>
            <w:r w:rsidRPr="003D048B">
              <w:rPr>
                <w:rFonts w:hint="eastAsia"/>
              </w:rPr>
              <w:t>800</w:t>
            </w:r>
            <w:r w:rsidRPr="003D048B">
              <w:rPr>
                <w:rFonts w:hint="eastAsia"/>
              </w:rPr>
              <w:t>万元，主要用于项目前期包装、申报等方面；溆浦县政策性粮食挂账贷款利息</w:t>
            </w:r>
            <w:r w:rsidRPr="003D048B">
              <w:rPr>
                <w:rFonts w:hint="eastAsia"/>
              </w:rPr>
              <w:t>125.66</w:t>
            </w:r>
            <w:r w:rsidRPr="003D048B">
              <w:rPr>
                <w:rFonts w:hint="eastAsia"/>
              </w:rPr>
              <w:t>万元，主要用于保障</w:t>
            </w:r>
            <w:r w:rsidRPr="003D048B">
              <w:rPr>
                <w:rFonts w:hint="eastAsia"/>
              </w:rPr>
              <w:t>2024</w:t>
            </w:r>
            <w:r w:rsidRPr="003D048B">
              <w:rPr>
                <w:rFonts w:hint="eastAsia"/>
              </w:rPr>
              <w:t>年政策性粮食挂账贷款利息支出。</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五、政府性基金预算支出</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60"/>
        </w:trPr>
        <w:tc>
          <w:tcPr>
            <w:tcW w:w="0" w:type="auto"/>
            <w:tcBorders>
              <w:top w:val="nil"/>
              <w:left w:val="nil"/>
              <w:bottom w:val="nil"/>
              <w:right w:val="nil"/>
            </w:tcBorders>
            <w:tcMar>
              <w:top w:w="14" w:type="dxa"/>
              <w:left w:w="14" w:type="dxa"/>
              <w:bottom w:w="0" w:type="dxa"/>
              <w:right w:w="14" w:type="dxa"/>
            </w:tcMa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本部门无政府性基金安排的支出。</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tcMar>
              <w:top w:w="14" w:type="dxa"/>
              <w:left w:w="14" w:type="dxa"/>
              <w:bottom w:w="0" w:type="dxa"/>
              <w:right w:w="14" w:type="dxa"/>
            </w:tcMar>
            <w:hideMark/>
          </w:tcPr>
          <w:p w:rsidR="006F306A" w:rsidRPr="003D048B" w:rsidRDefault="006F306A" w:rsidP="002920B0"/>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六、其他重要事项的情况说明</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264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lastRenderedPageBreak/>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（一）机关运行经费：</w:t>
            </w:r>
            <w:r w:rsidRPr="003D048B">
              <w:rPr>
                <w:rFonts w:hint="eastAsia"/>
              </w:rPr>
              <w:t>2024</w:t>
            </w:r>
            <w:r w:rsidRPr="003D048B">
              <w:rPr>
                <w:rFonts w:hint="eastAsia"/>
              </w:rPr>
              <w:t>年本部门机关本级的机关运行经费</w:t>
            </w:r>
            <w:r w:rsidRPr="003D048B">
              <w:rPr>
                <w:rFonts w:hint="eastAsia"/>
              </w:rPr>
              <w:t>80.4</w:t>
            </w:r>
            <w:r w:rsidRPr="003D048B">
              <w:rPr>
                <w:rFonts w:hint="eastAsia"/>
              </w:rPr>
              <w:t>万元，比上年预算减少</w:t>
            </w:r>
            <w:r w:rsidRPr="003D048B">
              <w:rPr>
                <w:rFonts w:hint="eastAsia"/>
              </w:rPr>
              <w:t>1.2</w:t>
            </w:r>
            <w:r w:rsidRPr="003D048B">
              <w:rPr>
                <w:rFonts w:hint="eastAsia"/>
              </w:rPr>
              <w:t>万元，与上年基本持平。机关运行经费主要是用于办公费</w:t>
            </w:r>
            <w:r w:rsidRPr="003D048B">
              <w:rPr>
                <w:rFonts w:hint="eastAsia"/>
              </w:rPr>
              <w:t>6</w:t>
            </w:r>
            <w:r w:rsidRPr="003D048B">
              <w:rPr>
                <w:rFonts w:hint="eastAsia"/>
              </w:rPr>
              <w:t>万元、印刷费</w:t>
            </w:r>
            <w:r w:rsidRPr="003D048B">
              <w:rPr>
                <w:rFonts w:hint="eastAsia"/>
              </w:rPr>
              <w:t>5.2</w:t>
            </w:r>
            <w:r w:rsidRPr="003D048B">
              <w:rPr>
                <w:rFonts w:hint="eastAsia"/>
              </w:rPr>
              <w:t>万元、水电费</w:t>
            </w:r>
            <w:r w:rsidRPr="003D048B">
              <w:rPr>
                <w:rFonts w:hint="eastAsia"/>
              </w:rPr>
              <w:t>13.5</w:t>
            </w:r>
            <w:r w:rsidRPr="003D048B">
              <w:rPr>
                <w:rFonts w:hint="eastAsia"/>
              </w:rPr>
              <w:t>万元，差旅费</w:t>
            </w:r>
            <w:r w:rsidRPr="003D048B">
              <w:rPr>
                <w:rFonts w:hint="eastAsia"/>
              </w:rPr>
              <w:t>16.2</w:t>
            </w:r>
            <w:r w:rsidRPr="003D048B">
              <w:rPr>
                <w:rFonts w:hint="eastAsia"/>
              </w:rPr>
              <w:t>万元、公务接待费</w:t>
            </w:r>
            <w:r w:rsidRPr="003D048B">
              <w:rPr>
                <w:rFonts w:hint="eastAsia"/>
              </w:rPr>
              <w:t>4.9</w:t>
            </w:r>
            <w:r w:rsidRPr="003D048B">
              <w:rPr>
                <w:rFonts w:hint="eastAsia"/>
              </w:rPr>
              <w:t>万元、劳务费</w:t>
            </w:r>
            <w:r w:rsidRPr="003D048B">
              <w:rPr>
                <w:rFonts w:hint="eastAsia"/>
              </w:rPr>
              <w:t>2.4</w:t>
            </w:r>
            <w:r w:rsidRPr="003D048B">
              <w:rPr>
                <w:rFonts w:hint="eastAsia"/>
              </w:rPr>
              <w:t>万元，工会经费</w:t>
            </w:r>
            <w:r w:rsidRPr="003D048B">
              <w:rPr>
                <w:rFonts w:hint="eastAsia"/>
              </w:rPr>
              <w:t>10.8</w:t>
            </w:r>
            <w:r w:rsidRPr="003D048B">
              <w:rPr>
                <w:rFonts w:hint="eastAsia"/>
              </w:rPr>
              <w:t>万元、其他交通费用</w:t>
            </w:r>
            <w:r w:rsidRPr="003D048B">
              <w:rPr>
                <w:rFonts w:hint="eastAsia"/>
              </w:rPr>
              <w:t>1.8</w:t>
            </w:r>
            <w:r w:rsidRPr="003D048B">
              <w:rPr>
                <w:rFonts w:hint="eastAsia"/>
              </w:rPr>
              <w:t>万元、福利费</w:t>
            </w:r>
            <w:r w:rsidRPr="003D048B">
              <w:rPr>
                <w:rFonts w:hint="eastAsia"/>
              </w:rPr>
              <w:t>2.2</w:t>
            </w:r>
            <w:r w:rsidRPr="003D048B">
              <w:rPr>
                <w:rFonts w:hint="eastAsia"/>
              </w:rPr>
              <w:t>万元、其他商品和服务支出</w:t>
            </w:r>
            <w:r w:rsidRPr="003D048B">
              <w:rPr>
                <w:rFonts w:hint="eastAsia"/>
              </w:rPr>
              <w:t>14</w:t>
            </w:r>
            <w:r w:rsidRPr="003D048B">
              <w:rPr>
                <w:rFonts w:hint="eastAsia"/>
              </w:rPr>
              <w:t>万元等。</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200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（二）“三公”经费预算：</w:t>
            </w:r>
            <w:r w:rsidRPr="003D048B">
              <w:rPr>
                <w:rFonts w:hint="eastAsia"/>
              </w:rPr>
              <w:t>2024</w:t>
            </w:r>
            <w:r w:rsidRPr="003D048B">
              <w:rPr>
                <w:rFonts w:hint="eastAsia"/>
              </w:rPr>
              <w:t>年本部门机关本级“三公”经费预算数为</w:t>
            </w:r>
            <w:r w:rsidRPr="003D048B">
              <w:rPr>
                <w:rFonts w:hint="eastAsia"/>
              </w:rPr>
              <w:t>19</w:t>
            </w:r>
            <w:r w:rsidRPr="003D048B">
              <w:rPr>
                <w:rFonts w:hint="eastAsia"/>
              </w:rPr>
              <w:t>万元，其中公务接待费</w:t>
            </w:r>
            <w:r w:rsidRPr="003D048B">
              <w:rPr>
                <w:rFonts w:hint="eastAsia"/>
              </w:rPr>
              <w:t>19</w:t>
            </w:r>
            <w:r w:rsidRPr="003D048B">
              <w:rPr>
                <w:rFonts w:hint="eastAsia"/>
              </w:rPr>
              <w:t>万元，公务用车购置及运行费</w:t>
            </w:r>
            <w:r w:rsidRPr="003D048B">
              <w:rPr>
                <w:rFonts w:hint="eastAsia"/>
              </w:rPr>
              <w:t>0</w:t>
            </w:r>
            <w:r w:rsidRPr="003D048B">
              <w:rPr>
                <w:rFonts w:hint="eastAsia"/>
              </w:rPr>
              <w:t>万元，因公出国（境）费</w:t>
            </w:r>
            <w:r w:rsidRPr="003D048B">
              <w:rPr>
                <w:rFonts w:hint="eastAsia"/>
              </w:rPr>
              <w:t>0</w:t>
            </w:r>
            <w:r w:rsidRPr="003D048B">
              <w:rPr>
                <w:rFonts w:hint="eastAsia"/>
              </w:rPr>
              <w:t>万元。</w:t>
            </w:r>
            <w:r w:rsidRPr="003D048B">
              <w:rPr>
                <w:rFonts w:hint="eastAsia"/>
              </w:rPr>
              <w:t>2024</w:t>
            </w:r>
            <w:r w:rsidRPr="003D048B">
              <w:rPr>
                <w:rFonts w:hint="eastAsia"/>
              </w:rPr>
              <w:t>年“三公”经费预算与去年持平。</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126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（三）一般性支出情况：</w:t>
            </w:r>
            <w:r w:rsidRPr="003D048B">
              <w:rPr>
                <w:rFonts w:hint="eastAsia"/>
              </w:rPr>
              <w:t>2024</w:t>
            </w:r>
            <w:r w:rsidRPr="003D048B">
              <w:rPr>
                <w:rFonts w:hint="eastAsia"/>
              </w:rPr>
              <w:t>年本部门会议费预算</w:t>
            </w:r>
            <w:r w:rsidRPr="003D048B">
              <w:rPr>
                <w:rFonts w:hint="eastAsia"/>
              </w:rPr>
              <w:t>1</w:t>
            </w:r>
            <w:r w:rsidRPr="003D048B">
              <w:rPr>
                <w:rFonts w:hint="eastAsia"/>
              </w:rPr>
              <w:t>万元，拟召开</w:t>
            </w:r>
            <w:r w:rsidRPr="003D048B">
              <w:rPr>
                <w:rFonts w:hint="eastAsia"/>
              </w:rPr>
              <w:t>1</w:t>
            </w:r>
            <w:r w:rsidRPr="003D048B">
              <w:rPr>
                <w:rFonts w:hint="eastAsia"/>
              </w:rPr>
              <w:t>次会议，人数</w:t>
            </w:r>
            <w:r w:rsidRPr="003D048B">
              <w:rPr>
                <w:rFonts w:hint="eastAsia"/>
              </w:rPr>
              <w:t>20</w:t>
            </w:r>
            <w:r w:rsidRPr="003D048B">
              <w:rPr>
                <w:rFonts w:hint="eastAsia"/>
              </w:rPr>
              <w:t>人，内容为固定资产投资工作会议；培训费预算</w:t>
            </w:r>
            <w:r w:rsidRPr="003D048B">
              <w:rPr>
                <w:rFonts w:hint="eastAsia"/>
              </w:rPr>
              <w:t>0</w:t>
            </w:r>
            <w:r w:rsidRPr="003D048B">
              <w:rPr>
                <w:rFonts w:hint="eastAsia"/>
              </w:rPr>
              <w:t>万元，拟举办</w:t>
            </w:r>
            <w:r w:rsidRPr="003D048B">
              <w:rPr>
                <w:rFonts w:hint="eastAsia"/>
              </w:rPr>
              <w:t xml:space="preserve"> 0</w:t>
            </w:r>
            <w:r w:rsidRPr="003D048B">
              <w:rPr>
                <w:rFonts w:hint="eastAsia"/>
              </w:rPr>
              <w:t>次节庆、晚会、论坛、赛事等活动，经费预算为</w:t>
            </w:r>
            <w:r w:rsidRPr="003D048B">
              <w:rPr>
                <w:rFonts w:hint="eastAsia"/>
              </w:rPr>
              <w:t>0</w:t>
            </w:r>
            <w:r w:rsidRPr="003D048B">
              <w:rPr>
                <w:rFonts w:hint="eastAsia"/>
              </w:rPr>
              <w:t>万元。</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112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（四）政府采购情况：</w:t>
            </w:r>
            <w:r w:rsidRPr="003D048B">
              <w:rPr>
                <w:rFonts w:hint="eastAsia"/>
              </w:rPr>
              <w:t>2024</w:t>
            </w:r>
            <w:r w:rsidRPr="003D048B">
              <w:rPr>
                <w:rFonts w:hint="eastAsia"/>
              </w:rPr>
              <w:t>年本部门政府采购预算总额</w:t>
            </w:r>
            <w:r w:rsidRPr="003D048B">
              <w:rPr>
                <w:rFonts w:ascii="MS Mincho" w:eastAsia="MS Mincho" w:hAnsi="MS Mincho" w:cs="MS Mincho" w:hint="eastAsia"/>
              </w:rPr>
              <w:t> </w:t>
            </w:r>
            <w:r w:rsidRPr="003D048B">
              <w:rPr>
                <w:rFonts w:hint="eastAsia"/>
              </w:rPr>
              <w:t xml:space="preserve"> 105</w:t>
            </w:r>
            <w:r w:rsidRPr="003D048B">
              <w:rPr>
                <w:rFonts w:hint="eastAsia"/>
              </w:rPr>
              <w:t>万元，其中，货物类采购预算</w:t>
            </w:r>
            <w:r w:rsidRPr="003D048B">
              <w:rPr>
                <w:rFonts w:hint="eastAsia"/>
              </w:rPr>
              <w:t>0</w:t>
            </w:r>
            <w:r w:rsidRPr="003D048B">
              <w:rPr>
                <w:rFonts w:hint="eastAsia"/>
              </w:rPr>
              <w:t>万元；工程类采购预算</w:t>
            </w:r>
            <w:r w:rsidRPr="003D048B">
              <w:rPr>
                <w:rFonts w:hint="eastAsia"/>
              </w:rPr>
              <w:t>0</w:t>
            </w:r>
            <w:r w:rsidRPr="003D048B">
              <w:rPr>
                <w:rFonts w:hint="eastAsia"/>
              </w:rPr>
              <w:t>万元；服务类采购预算</w:t>
            </w:r>
            <w:r w:rsidRPr="003D048B">
              <w:rPr>
                <w:rFonts w:hint="eastAsia"/>
              </w:rPr>
              <w:t>105</w:t>
            </w:r>
            <w:r w:rsidRPr="003D048B">
              <w:rPr>
                <w:rFonts w:hint="eastAsia"/>
              </w:rPr>
              <w:t>万元。</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250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（五）国有资产占用使用及新增资产配置情况：截至</w:t>
            </w:r>
            <w:r w:rsidRPr="003D048B">
              <w:rPr>
                <w:rFonts w:hint="eastAsia"/>
              </w:rPr>
              <w:t>2023</w:t>
            </w:r>
            <w:r w:rsidRPr="003D048B">
              <w:rPr>
                <w:rFonts w:hint="eastAsia"/>
              </w:rPr>
              <w:t>年</w:t>
            </w:r>
            <w:r w:rsidRPr="003D048B">
              <w:rPr>
                <w:rFonts w:hint="eastAsia"/>
              </w:rPr>
              <w:t>12</w:t>
            </w:r>
            <w:r w:rsidRPr="003D048B">
              <w:rPr>
                <w:rFonts w:hint="eastAsia"/>
              </w:rPr>
              <w:t>月底，本部门共有公务用车</w:t>
            </w:r>
            <w:r w:rsidRPr="003D048B">
              <w:rPr>
                <w:rFonts w:hint="eastAsia"/>
              </w:rPr>
              <w:t>0</w:t>
            </w:r>
            <w:r w:rsidRPr="003D048B">
              <w:rPr>
                <w:rFonts w:hint="eastAsia"/>
              </w:rPr>
              <w:t>辆，单位价值</w:t>
            </w:r>
            <w:r w:rsidRPr="003D048B">
              <w:rPr>
                <w:rFonts w:hint="eastAsia"/>
              </w:rPr>
              <w:t>50</w:t>
            </w:r>
            <w:r w:rsidRPr="003D048B">
              <w:rPr>
                <w:rFonts w:hint="eastAsia"/>
              </w:rPr>
              <w:t>万元以上通用设备</w:t>
            </w:r>
            <w:r w:rsidRPr="003D048B">
              <w:rPr>
                <w:rFonts w:hint="eastAsia"/>
              </w:rPr>
              <w:t>0</w:t>
            </w:r>
            <w:r w:rsidRPr="003D048B">
              <w:rPr>
                <w:rFonts w:hint="eastAsia"/>
              </w:rPr>
              <w:t>台，单位价值</w:t>
            </w:r>
            <w:r w:rsidRPr="003D048B">
              <w:rPr>
                <w:rFonts w:hint="eastAsia"/>
              </w:rPr>
              <w:t>100</w:t>
            </w:r>
            <w:r w:rsidRPr="003D048B">
              <w:rPr>
                <w:rFonts w:hint="eastAsia"/>
              </w:rPr>
              <w:t>万元以上专用设备</w:t>
            </w:r>
            <w:r w:rsidRPr="003D048B">
              <w:rPr>
                <w:rFonts w:hint="eastAsia"/>
              </w:rPr>
              <w:t>0</w:t>
            </w:r>
            <w:r w:rsidRPr="003D048B">
              <w:rPr>
                <w:rFonts w:hint="eastAsia"/>
              </w:rPr>
              <w:t>台。</w:t>
            </w:r>
            <w:r w:rsidRPr="003D048B">
              <w:rPr>
                <w:rFonts w:hint="eastAsia"/>
              </w:rPr>
              <w:t>2024</w:t>
            </w:r>
            <w:r w:rsidRPr="003D048B">
              <w:rPr>
                <w:rFonts w:hint="eastAsia"/>
              </w:rPr>
              <w:t>年拟新增配置公务用车</w:t>
            </w:r>
            <w:r w:rsidRPr="003D048B">
              <w:rPr>
                <w:rFonts w:hint="eastAsia"/>
              </w:rPr>
              <w:t>0</w:t>
            </w:r>
            <w:r w:rsidRPr="003D048B">
              <w:rPr>
                <w:rFonts w:hint="eastAsia"/>
              </w:rPr>
              <w:t>辆；新增配备单位价值</w:t>
            </w:r>
            <w:r w:rsidRPr="003D048B">
              <w:rPr>
                <w:rFonts w:hint="eastAsia"/>
              </w:rPr>
              <w:t>50</w:t>
            </w:r>
            <w:r w:rsidRPr="003D048B">
              <w:rPr>
                <w:rFonts w:hint="eastAsia"/>
              </w:rPr>
              <w:t>万元以上通用设备</w:t>
            </w:r>
            <w:r w:rsidRPr="003D048B">
              <w:rPr>
                <w:rFonts w:hint="eastAsia"/>
              </w:rPr>
              <w:t>0</w:t>
            </w:r>
            <w:r w:rsidRPr="003D048B">
              <w:rPr>
                <w:rFonts w:hint="eastAsia"/>
              </w:rPr>
              <w:t>台，单位价值</w:t>
            </w:r>
            <w:r w:rsidRPr="003D048B">
              <w:rPr>
                <w:rFonts w:hint="eastAsia"/>
              </w:rPr>
              <w:t>100</w:t>
            </w:r>
            <w:r w:rsidRPr="003D048B">
              <w:rPr>
                <w:rFonts w:hint="eastAsia"/>
              </w:rPr>
              <w:t>万元以上专用设备</w:t>
            </w:r>
            <w:r w:rsidRPr="003D048B">
              <w:rPr>
                <w:rFonts w:hint="eastAsia"/>
              </w:rPr>
              <w:t xml:space="preserve">0 </w:t>
            </w:r>
            <w:r w:rsidRPr="003D048B">
              <w:rPr>
                <w:rFonts w:hint="eastAsia"/>
              </w:rPr>
              <w:t>台。</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150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（六）预算绩效目标说明：本部门所有支出实行绩效目标管理。纳入</w:t>
            </w:r>
            <w:r w:rsidRPr="003D048B">
              <w:rPr>
                <w:rFonts w:hint="eastAsia"/>
              </w:rPr>
              <w:t>2024</w:t>
            </w:r>
            <w:r w:rsidRPr="003D048B">
              <w:rPr>
                <w:rFonts w:hint="eastAsia"/>
              </w:rPr>
              <w:t>年部门整体支出绩效目标的金额为</w:t>
            </w:r>
            <w:r w:rsidRPr="003D048B">
              <w:rPr>
                <w:rFonts w:hint="eastAsia"/>
              </w:rPr>
              <w:t>2726.58</w:t>
            </w:r>
            <w:r w:rsidRPr="003D048B">
              <w:rPr>
                <w:rFonts w:hint="eastAsia"/>
              </w:rPr>
              <w:t>万元，其中基本支出</w:t>
            </w:r>
            <w:r w:rsidRPr="003D048B">
              <w:rPr>
                <w:rFonts w:hint="eastAsia"/>
              </w:rPr>
              <w:t>887.83</w:t>
            </w:r>
            <w:r w:rsidRPr="003D048B">
              <w:rPr>
                <w:rFonts w:hint="eastAsia"/>
              </w:rPr>
              <w:t>万元，项目支出</w:t>
            </w:r>
            <w:r w:rsidRPr="003D048B">
              <w:rPr>
                <w:rFonts w:hint="eastAsia"/>
              </w:rPr>
              <w:t>1838.75</w:t>
            </w:r>
            <w:r w:rsidRPr="003D048B">
              <w:rPr>
                <w:rFonts w:hint="eastAsia"/>
              </w:rPr>
              <w:t>万元，具体绩效目标详见报表。</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80"/>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hint="eastAsia"/>
              </w:rPr>
              <w:t>七、名词解释</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162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1</w:t>
            </w:r>
            <w:r w:rsidRPr="003D048B">
              <w:rPr>
                <w:rFonts w:hint="eastAsia"/>
              </w:rPr>
              <w:t>、机关运行经费：是指各部门的公用经费，包括办公及印刷费、邮电费、差旅费、会议费、福利费、日常维修费、专用材料费及一般设备购置费、办公用房水电费、办公用房取暖费、办公用房物业管理费、公务用车运行维护费以及其他费用。</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3180"/>
        </w:trPr>
        <w:tc>
          <w:tcPr>
            <w:tcW w:w="0" w:type="auto"/>
            <w:tcBorders>
              <w:top w:val="nil"/>
              <w:left w:val="nil"/>
              <w:bottom w:val="nil"/>
              <w:right w:val="nil"/>
            </w:tcBorders>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lastRenderedPageBreak/>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2</w:t>
            </w:r>
            <w:r w:rsidRPr="003D048B">
              <w:rPr>
                <w:rFonts w:hint="eastAsia"/>
              </w:rPr>
              <w:t>、“三公”经费：纳入省（市</w:t>
            </w:r>
            <w:r w:rsidRPr="003D048B">
              <w:rPr>
                <w:rFonts w:hint="eastAsia"/>
              </w:rPr>
              <w:t>/</w:t>
            </w:r>
            <w:r w:rsidRPr="003D048B">
              <w:rPr>
                <w:rFonts w:hint="eastAsia"/>
              </w:rPr>
              <w:t>县）财政预算管理的</w:t>
            </w:r>
            <w:proofErr w:type="gramStart"/>
            <w:r w:rsidRPr="003D048B">
              <w:rPr>
                <w:rFonts w:hint="eastAsia"/>
              </w:rPr>
              <w:t>“</w:t>
            </w:r>
            <w:proofErr w:type="gramEnd"/>
            <w:r w:rsidRPr="003D048B">
              <w:rPr>
                <w:rFonts w:hint="eastAsia"/>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溆浦县发展和</w:t>
            </w:r>
            <w:proofErr w:type="gramStart"/>
            <w:r w:rsidRPr="003D048B">
              <w:rPr>
                <w:rFonts w:hint="eastAsia"/>
              </w:rPr>
              <w:t>改革局</w:t>
            </w:r>
            <w:proofErr w:type="gramEnd"/>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r w:rsidR="006F306A" w:rsidRPr="003D048B" w:rsidTr="006F306A">
        <w:trPr>
          <w:trHeight w:val="405"/>
        </w:trPr>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ascii="MS Mincho" w:eastAsia="MS Mincho" w:hAnsi="MS Mincho" w:cs="MS Mincho" w:hint="eastAsia"/>
              </w:rPr>
              <w:t> </w:t>
            </w:r>
            <w:r w:rsidRPr="003D048B">
              <w:rPr>
                <w:rFonts w:hint="eastAsia"/>
              </w:rPr>
              <w:t>2024/1/20</w:t>
            </w:r>
          </w:p>
        </w:tc>
        <w:tc>
          <w:tcPr>
            <w:tcW w:w="0" w:type="auto"/>
            <w:tcBorders>
              <w:top w:val="nil"/>
              <w:left w:val="nil"/>
              <w:bottom w:val="nil"/>
              <w:right w:val="nil"/>
            </w:tcBorders>
            <w:noWrap/>
            <w:tcMar>
              <w:top w:w="14" w:type="dxa"/>
              <w:left w:w="14" w:type="dxa"/>
              <w:bottom w:w="0" w:type="dxa"/>
              <w:right w:w="14" w:type="dxa"/>
            </w:tcMar>
            <w:vAlign w:val="center"/>
            <w:hideMark/>
          </w:tcPr>
          <w:p w:rsidR="006F306A" w:rsidRPr="003D048B" w:rsidRDefault="006F306A" w:rsidP="002920B0"/>
        </w:tc>
        <w:tc>
          <w:tcPr>
            <w:tcW w:w="0" w:type="auto"/>
            <w:vAlign w:val="center"/>
            <w:hideMark/>
          </w:tcPr>
          <w:p w:rsidR="006F306A" w:rsidRPr="003D048B" w:rsidRDefault="006F306A" w:rsidP="002920B0"/>
        </w:tc>
      </w:tr>
    </w:tbl>
    <w:p w:rsidR="006F306A" w:rsidRPr="003D048B" w:rsidRDefault="006F306A" w:rsidP="006F306A"/>
    <w:p w:rsidR="003E7E0C" w:rsidRDefault="003E7E0C"/>
    <w:sectPr w:rsidR="003E7E0C" w:rsidSect="003E7E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306A"/>
    <w:rsid w:val="003E7E0C"/>
    <w:rsid w:val="006F30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0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772</Words>
  <Characters>4403</Characters>
  <Application>Microsoft Office Word</Application>
  <DocSecurity>0</DocSecurity>
  <Lines>36</Lines>
  <Paragraphs>10</Paragraphs>
  <ScaleCrop>false</ScaleCrop>
  <Company>微软中国</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个人用户</cp:lastModifiedBy>
  <cp:revision>1</cp:revision>
  <dcterms:created xsi:type="dcterms:W3CDTF">2024-07-19T02:10:00Z</dcterms:created>
  <dcterms:modified xsi:type="dcterms:W3CDTF">2024-07-19T02:12:00Z</dcterms:modified>
</cp:coreProperties>
</file>