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C7" w:rsidRDefault="000F5DC7">
      <w:pPr>
        <w:spacing w:line="800" w:lineRule="exact"/>
        <w:jc w:val="center"/>
        <w:rPr>
          <w:rFonts w:ascii="方正小标宋简体" w:eastAsia="方正小标宋简体" w:hAnsi="方正小标宋简体" w:cs="方正小标宋简体"/>
          <w:bCs/>
          <w:color w:val="000000" w:themeColor="text1"/>
          <w:sz w:val="44"/>
        </w:rPr>
      </w:pPr>
    </w:p>
    <w:p w:rsidR="002425DC" w:rsidRDefault="002425DC" w:rsidP="002425DC">
      <w:pPr>
        <w:snapToGrid w:val="0"/>
        <w:spacing w:line="700" w:lineRule="exact"/>
        <w:jc w:val="center"/>
        <w:rPr>
          <w:rStyle w:val="a6"/>
          <w:rFonts w:eastAsia="方正小标宋简体"/>
          <w:b w:val="0"/>
          <w:color w:val="000000"/>
          <w:sz w:val="44"/>
          <w:szCs w:val="44"/>
        </w:rPr>
      </w:pPr>
      <w:r>
        <w:rPr>
          <w:rStyle w:val="a6"/>
          <w:rFonts w:eastAsia="方正小标宋简体"/>
          <w:b w:val="0"/>
          <w:color w:val="000000"/>
          <w:sz w:val="44"/>
          <w:szCs w:val="44"/>
        </w:rPr>
        <w:t>溆浦县国民经济和社会发展第十四个</w:t>
      </w:r>
    </w:p>
    <w:p w:rsidR="002425DC" w:rsidRDefault="002425DC" w:rsidP="002425DC">
      <w:pPr>
        <w:snapToGrid w:val="0"/>
        <w:spacing w:line="700" w:lineRule="exact"/>
        <w:jc w:val="center"/>
        <w:rPr>
          <w:rStyle w:val="a6"/>
          <w:rFonts w:eastAsia="方正小标宋简体"/>
          <w:b w:val="0"/>
          <w:color w:val="000000"/>
          <w:sz w:val="44"/>
          <w:szCs w:val="44"/>
        </w:rPr>
      </w:pPr>
      <w:r>
        <w:rPr>
          <w:rStyle w:val="a6"/>
          <w:rFonts w:eastAsia="方正小标宋简体"/>
          <w:b w:val="0"/>
          <w:color w:val="000000"/>
          <w:sz w:val="44"/>
          <w:szCs w:val="44"/>
        </w:rPr>
        <w:t>五年规划和二〇三五年远景目标纲要</w:t>
      </w:r>
    </w:p>
    <w:p w:rsidR="007659A5" w:rsidRDefault="002425DC" w:rsidP="002425DC">
      <w:pPr>
        <w:spacing w:line="800" w:lineRule="exact"/>
        <w:jc w:val="center"/>
        <w:rPr>
          <w:rFonts w:ascii="方正小标宋简体" w:eastAsia="方正小标宋简体" w:hAnsi="方正小标宋简体" w:cs="方正小标宋简体"/>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t>实施情况中期评估报告</w:t>
      </w:r>
    </w:p>
    <w:p w:rsidR="002425DC" w:rsidRPr="007659A5" w:rsidRDefault="002425DC" w:rsidP="002425DC">
      <w:pPr>
        <w:spacing w:line="800" w:lineRule="exact"/>
        <w:jc w:val="center"/>
        <w:rPr>
          <w:rFonts w:ascii="方正小标宋简体" w:eastAsia="方正小标宋简体" w:hAnsi="方正小标宋简体" w:cs="方正小标宋简体"/>
          <w:bCs/>
          <w:color w:val="000000" w:themeColor="text1"/>
          <w:sz w:val="44"/>
          <w:szCs w:val="44"/>
        </w:rPr>
      </w:pPr>
    </w:p>
    <w:p w:rsidR="000B0562" w:rsidRDefault="000B0562">
      <w:pPr>
        <w:spacing w:line="360" w:lineRule="auto"/>
        <w:jc w:val="center"/>
        <w:rPr>
          <w:rFonts w:ascii="黑体" w:eastAsia="黑体" w:hAnsi="黑体"/>
          <w:color w:val="000000" w:themeColor="text1"/>
          <w:sz w:val="32"/>
        </w:rPr>
      </w:pPr>
    </w:p>
    <w:p w:rsidR="000B0562" w:rsidRDefault="000B0562">
      <w:pPr>
        <w:spacing w:line="360" w:lineRule="auto"/>
        <w:jc w:val="center"/>
        <w:rPr>
          <w:rFonts w:ascii="黑体" w:eastAsia="黑体" w:hAnsi="黑体"/>
          <w:color w:val="000000" w:themeColor="text1"/>
          <w:sz w:val="32"/>
        </w:rPr>
      </w:pPr>
    </w:p>
    <w:p w:rsidR="000B0562" w:rsidRDefault="000B0562">
      <w:pPr>
        <w:spacing w:line="360" w:lineRule="auto"/>
        <w:jc w:val="center"/>
        <w:rPr>
          <w:rFonts w:ascii="黑体" w:eastAsia="黑体" w:hAnsi="黑体"/>
          <w:color w:val="000000" w:themeColor="text1"/>
          <w:sz w:val="32"/>
        </w:rPr>
      </w:pPr>
    </w:p>
    <w:p w:rsidR="000B0562" w:rsidRDefault="000B0562">
      <w:pPr>
        <w:spacing w:line="360" w:lineRule="auto"/>
        <w:jc w:val="center"/>
        <w:rPr>
          <w:rFonts w:ascii="黑体" w:eastAsia="黑体" w:hAnsi="黑体"/>
          <w:color w:val="000000" w:themeColor="text1"/>
          <w:sz w:val="32"/>
        </w:rPr>
      </w:pPr>
    </w:p>
    <w:p w:rsidR="000B0562" w:rsidRDefault="000B0562">
      <w:pPr>
        <w:spacing w:line="360" w:lineRule="auto"/>
        <w:jc w:val="center"/>
        <w:rPr>
          <w:rFonts w:ascii="黑体" w:eastAsia="黑体" w:hAnsi="黑体"/>
          <w:color w:val="000000" w:themeColor="text1"/>
          <w:sz w:val="32"/>
        </w:rPr>
      </w:pPr>
    </w:p>
    <w:p w:rsidR="000B0562" w:rsidRDefault="000B0562">
      <w:pPr>
        <w:spacing w:line="360" w:lineRule="auto"/>
        <w:jc w:val="center"/>
        <w:rPr>
          <w:rFonts w:ascii="黑体" w:eastAsia="黑体" w:hAnsi="黑体"/>
          <w:color w:val="000000" w:themeColor="text1"/>
          <w:sz w:val="32"/>
        </w:rPr>
      </w:pPr>
    </w:p>
    <w:p w:rsidR="000B0562" w:rsidRDefault="000B0562">
      <w:pPr>
        <w:spacing w:line="360" w:lineRule="auto"/>
        <w:jc w:val="center"/>
        <w:rPr>
          <w:rFonts w:ascii="黑体" w:eastAsia="黑体" w:hAnsi="黑体"/>
          <w:color w:val="000000" w:themeColor="text1"/>
          <w:sz w:val="32"/>
        </w:rPr>
      </w:pPr>
    </w:p>
    <w:p w:rsidR="000B0562" w:rsidRDefault="000B0562">
      <w:pPr>
        <w:spacing w:line="360" w:lineRule="auto"/>
        <w:jc w:val="center"/>
        <w:rPr>
          <w:rFonts w:ascii="黑体" w:eastAsia="黑体" w:hAnsi="黑体"/>
          <w:color w:val="000000" w:themeColor="text1"/>
          <w:sz w:val="32"/>
        </w:rPr>
      </w:pPr>
    </w:p>
    <w:p w:rsidR="002425DC" w:rsidRDefault="002425DC">
      <w:pPr>
        <w:spacing w:line="360" w:lineRule="auto"/>
        <w:jc w:val="center"/>
        <w:rPr>
          <w:rFonts w:ascii="黑体" w:eastAsia="黑体" w:hAnsi="黑体"/>
          <w:color w:val="000000" w:themeColor="text1"/>
          <w:sz w:val="32"/>
        </w:rPr>
      </w:pPr>
    </w:p>
    <w:p w:rsidR="002425DC" w:rsidRDefault="002425DC">
      <w:pPr>
        <w:spacing w:line="360" w:lineRule="auto"/>
        <w:jc w:val="center"/>
        <w:rPr>
          <w:rFonts w:ascii="黑体" w:eastAsia="黑体" w:hAnsi="黑体"/>
          <w:color w:val="000000" w:themeColor="text1"/>
          <w:sz w:val="32"/>
        </w:rPr>
      </w:pPr>
    </w:p>
    <w:p w:rsidR="002425DC" w:rsidRDefault="002425DC">
      <w:pPr>
        <w:spacing w:line="360" w:lineRule="auto"/>
        <w:jc w:val="center"/>
        <w:rPr>
          <w:rFonts w:ascii="黑体" w:eastAsia="黑体" w:hAnsi="黑体"/>
          <w:color w:val="000000" w:themeColor="text1"/>
          <w:sz w:val="32"/>
        </w:rPr>
      </w:pPr>
    </w:p>
    <w:p w:rsidR="002425DC" w:rsidRDefault="002425DC">
      <w:pPr>
        <w:spacing w:line="360" w:lineRule="auto"/>
        <w:jc w:val="center"/>
        <w:rPr>
          <w:rFonts w:ascii="黑体" w:eastAsia="黑体" w:hAnsi="黑体"/>
          <w:color w:val="000000" w:themeColor="text1"/>
          <w:sz w:val="32"/>
        </w:rPr>
      </w:pPr>
    </w:p>
    <w:p w:rsidR="000B0562" w:rsidRDefault="005B091D">
      <w:pPr>
        <w:spacing w:line="360" w:lineRule="auto"/>
        <w:jc w:val="center"/>
        <w:rPr>
          <w:rFonts w:ascii="黑体" w:eastAsia="黑体" w:hAnsi="黑体"/>
          <w:bCs/>
          <w:color w:val="000000" w:themeColor="text1"/>
          <w:sz w:val="32"/>
        </w:rPr>
      </w:pPr>
      <w:r>
        <w:rPr>
          <w:rFonts w:ascii="黑体" w:eastAsia="黑体" w:hAnsi="黑体"/>
          <w:bCs/>
          <w:color w:val="000000" w:themeColor="text1"/>
          <w:sz w:val="32"/>
        </w:rPr>
        <w:t>溆浦县人民政府</w:t>
      </w:r>
    </w:p>
    <w:p w:rsidR="000B0562" w:rsidRDefault="005B091D">
      <w:pPr>
        <w:spacing w:line="360" w:lineRule="auto"/>
        <w:jc w:val="center"/>
        <w:rPr>
          <w:rFonts w:ascii="黑体" w:eastAsia="黑体" w:hAnsi="黑体"/>
          <w:bCs/>
          <w:color w:val="000000" w:themeColor="text1"/>
          <w:sz w:val="32"/>
        </w:rPr>
      </w:pPr>
      <w:r>
        <w:rPr>
          <w:rFonts w:ascii="黑体" w:eastAsia="黑体" w:hAnsi="黑体"/>
          <w:bCs/>
          <w:color w:val="000000" w:themeColor="text1"/>
          <w:sz w:val="32"/>
        </w:rPr>
        <w:t>二〇二三年十</w:t>
      </w:r>
      <w:r w:rsidR="00384F61">
        <w:rPr>
          <w:rFonts w:ascii="黑体" w:eastAsia="黑体" w:hAnsi="黑体" w:hint="eastAsia"/>
          <w:bCs/>
          <w:color w:val="000000" w:themeColor="text1"/>
          <w:sz w:val="32"/>
        </w:rPr>
        <w:t>二</w:t>
      </w:r>
      <w:r>
        <w:rPr>
          <w:rFonts w:ascii="黑体" w:eastAsia="黑体" w:hAnsi="黑体"/>
          <w:bCs/>
          <w:color w:val="000000" w:themeColor="text1"/>
          <w:sz w:val="32"/>
        </w:rPr>
        <w:t>月</w:t>
      </w:r>
    </w:p>
    <w:p w:rsidR="000B0562" w:rsidRDefault="000B0562">
      <w:pPr>
        <w:spacing w:line="360" w:lineRule="auto"/>
        <w:jc w:val="center"/>
        <w:rPr>
          <w:rFonts w:ascii="黑体" w:eastAsia="黑体" w:hAnsi="黑体"/>
          <w:bCs/>
          <w:color w:val="000000" w:themeColor="text1"/>
          <w:sz w:val="32"/>
        </w:rPr>
      </w:pPr>
    </w:p>
    <w:p w:rsidR="000B0562" w:rsidRDefault="000B0562">
      <w:pPr>
        <w:rPr>
          <w:rFonts w:ascii="黑体" w:eastAsia="黑体" w:hAnsi="黑体"/>
          <w:bCs/>
          <w:color w:val="000000" w:themeColor="text1"/>
          <w:sz w:val="32"/>
        </w:rPr>
        <w:sectPr w:rsidR="000B0562">
          <w:footerReference w:type="first" r:id="rId7"/>
          <w:pgSz w:w="11906" w:h="16838"/>
          <w:pgMar w:top="1157" w:right="1157" w:bottom="1157" w:left="1157" w:header="822" w:footer="822" w:gutter="567"/>
          <w:pgNumType w:start="1"/>
          <w:cols w:space="425"/>
          <w:docGrid w:type="lines" w:linePitch="312"/>
        </w:sectPr>
      </w:pPr>
    </w:p>
    <w:p w:rsidR="000B0562" w:rsidRDefault="000B0562">
      <w:pPr>
        <w:rPr>
          <w:rFonts w:ascii="黑体" w:eastAsia="黑体" w:hAnsi="黑体"/>
          <w:b/>
          <w:color w:val="000000" w:themeColor="text1"/>
          <w:sz w:val="32"/>
        </w:rPr>
        <w:sectPr w:rsidR="000B0562">
          <w:footerReference w:type="default" r:id="rId8"/>
          <w:pgSz w:w="11906" w:h="16838"/>
          <w:pgMar w:top="1157" w:right="1157" w:bottom="1157" w:left="1157" w:header="822" w:footer="822" w:gutter="567"/>
          <w:pgNumType w:start="1"/>
          <w:cols w:space="425"/>
          <w:docGrid w:type="lines" w:linePitch="312"/>
        </w:sectPr>
      </w:pPr>
    </w:p>
    <w:p w:rsidR="000B0562" w:rsidRDefault="005B091D">
      <w:pPr>
        <w:spacing w:line="360" w:lineRule="auto"/>
        <w:jc w:val="center"/>
        <w:rPr>
          <w:rFonts w:ascii="黑体" w:eastAsia="黑体" w:hAnsi="黑体"/>
          <w:bCs/>
          <w:color w:val="000000" w:themeColor="text1"/>
          <w:sz w:val="32"/>
        </w:rPr>
      </w:pPr>
      <w:r>
        <w:rPr>
          <w:rFonts w:ascii="黑体" w:eastAsia="黑体" w:hAnsi="黑体"/>
          <w:bCs/>
          <w:color w:val="000000" w:themeColor="text1"/>
          <w:sz w:val="32"/>
        </w:rPr>
        <w:lastRenderedPageBreak/>
        <w:t>中期评估报告目录</w:t>
      </w:r>
    </w:p>
    <w:p w:rsidR="000B0562" w:rsidRDefault="00AB4814" w:rsidP="00E60008">
      <w:pPr>
        <w:pStyle w:val="10"/>
        <w:tabs>
          <w:tab w:val="right" w:leader="dot" w:pos="9025"/>
        </w:tabs>
        <w:spacing w:line="360" w:lineRule="exact"/>
        <w:rPr>
          <w:noProof/>
        </w:rPr>
      </w:pPr>
      <w:r w:rsidRPr="00AB4814">
        <w:rPr>
          <w:rFonts w:ascii="黑体" w:eastAsia="黑体" w:hAnsi="黑体"/>
          <w:color w:val="000000" w:themeColor="text1"/>
          <w:sz w:val="52"/>
        </w:rPr>
        <w:fldChar w:fldCharType="begin"/>
      </w:r>
      <w:r w:rsidR="005B091D">
        <w:rPr>
          <w:rFonts w:ascii="黑体" w:eastAsia="黑体" w:hAnsi="黑体"/>
          <w:color w:val="000000" w:themeColor="text1"/>
          <w:sz w:val="52"/>
        </w:rPr>
        <w:instrText xml:space="preserve"> TOC \o "1-3" \h \z \u </w:instrText>
      </w:r>
      <w:r w:rsidRPr="00AB4814">
        <w:rPr>
          <w:rFonts w:ascii="黑体" w:eastAsia="黑体" w:hAnsi="黑体"/>
          <w:color w:val="000000" w:themeColor="text1"/>
          <w:sz w:val="52"/>
        </w:rPr>
        <w:fldChar w:fldCharType="separate"/>
      </w:r>
      <w:hyperlink w:anchor="_Toc12421" w:history="1">
        <w:r w:rsidR="005B091D">
          <w:rPr>
            <w:rFonts w:ascii="方正小标宋简体" w:eastAsia="黑体" w:hAnsi="方正小标宋简体" w:cs="方正小标宋简体" w:hint="eastAsia"/>
            <w:bCs/>
            <w:noProof/>
            <w:szCs w:val="36"/>
          </w:rPr>
          <w:t>第一章</w:t>
        </w:r>
        <w:r w:rsidR="005B091D">
          <w:rPr>
            <w:rFonts w:ascii="方正小标宋简体" w:eastAsia="方正小标宋简体" w:hAnsi="方正小标宋简体" w:cs="方正小标宋简体" w:hint="eastAsia"/>
            <w:noProof/>
            <w:szCs w:val="36"/>
          </w:rPr>
          <w:t>纲要实施的中期评估总则</w:t>
        </w:r>
        <w:r w:rsidR="005B091D">
          <w:rPr>
            <w:noProof/>
          </w:rPr>
          <w:tab/>
        </w:r>
        <w:r>
          <w:rPr>
            <w:noProof/>
          </w:rPr>
          <w:fldChar w:fldCharType="begin"/>
        </w:r>
        <w:r w:rsidR="005B091D">
          <w:rPr>
            <w:noProof/>
          </w:rPr>
          <w:instrText xml:space="preserve"> PAGEREF _Toc12421 \h </w:instrText>
        </w:r>
        <w:r>
          <w:rPr>
            <w:noProof/>
          </w:rPr>
        </w:r>
        <w:r>
          <w:rPr>
            <w:noProof/>
          </w:rPr>
          <w:fldChar w:fldCharType="separate"/>
        </w:r>
        <w:r w:rsidR="00550286">
          <w:rPr>
            <w:noProof/>
          </w:rPr>
          <w:t>1</w:t>
        </w:r>
        <w:r>
          <w:rPr>
            <w:noProof/>
          </w:rPr>
          <w:fldChar w:fldCharType="end"/>
        </w:r>
      </w:hyperlink>
    </w:p>
    <w:p w:rsidR="000B0562" w:rsidRDefault="00AB4814" w:rsidP="00E60008">
      <w:pPr>
        <w:pStyle w:val="30"/>
        <w:tabs>
          <w:tab w:val="right" w:leader="dot" w:pos="9025"/>
        </w:tabs>
        <w:spacing w:line="360" w:lineRule="exact"/>
        <w:rPr>
          <w:noProof/>
        </w:rPr>
      </w:pPr>
      <w:hyperlink w:anchor="_Toc22269" w:history="1">
        <w:r w:rsidR="005B091D">
          <w:rPr>
            <w:rFonts w:ascii="黑体" w:eastAsia="黑体" w:hAnsi="黑体" w:hint="eastAsia"/>
            <w:noProof/>
            <w:szCs w:val="32"/>
          </w:rPr>
          <w:t>一、</w:t>
        </w:r>
        <w:r w:rsidR="005B091D">
          <w:rPr>
            <w:rFonts w:ascii="黑体" w:eastAsia="黑体" w:hAnsi="黑体"/>
            <w:noProof/>
            <w:szCs w:val="32"/>
          </w:rPr>
          <w:t>前言</w:t>
        </w:r>
        <w:r w:rsidR="005B091D">
          <w:rPr>
            <w:noProof/>
          </w:rPr>
          <w:tab/>
        </w:r>
        <w:r>
          <w:rPr>
            <w:noProof/>
          </w:rPr>
          <w:fldChar w:fldCharType="begin"/>
        </w:r>
        <w:r w:rsidR="005B091D">
          <w:rPr>
            <w:noProof/>
          </w:rPr>
          <w:instrText xml:space="preserve"> PAGEREF _Toc22269 \h </w:instrText>
        </w:r>
        <w:r>
          <w:rPr>
            <w:noProof/>
          </w:rPr>
        </w:r>
        <w:r>
          <w:rPr>
            <w:noProof/>
          </w:rPr>
          <w:fldChar w:fldCharType="separate"/>
        </w:r>
        <w:r w:rsidR="00550286">
          <w:rPr>
            <w:noProof/>
          </w:rPr>
          <w:t>1</w:t>
        </w:r>
        <w:r>
          <w:rPr>
            <w:noProof/>
          </w:rPr>
          <w:fldChar w:fldCharType="end"/>
        </w:r>
      </w:hyperlink>
    </w:p>
    <w:p w:rsidR="000B0562" w:rsidRDefault="00AB4814" w:rsidP="00E60008">
      <w:pPr>
        <w:pStyle w:val="30"/>
        <w:tabs>
          <w:tab w:val="right" w:leader="dot" w:pos="9025"/>
        </w:tabs>
        <w:spacing w:line="360" w:lineRule="exact"/>
        <w:rPr>
          <w:noProof/>
        </w:rPr>
      </w:pPr>
      <w:hyperlink w:anchor="_Toc14799" w:history="1">
        <w:r w:rsidR="005B091D">
          <w:rPr>
            <w:rFonts w:ascii="黑体" w:eastAsia="黑体" w:hAnsi="黑体" w:hint="eastAsia"/>
            <w:noProof/>
            <w:szCs w:val="32"/>
          </w:rPr>
          <w:t>二、</w:t>
        </w:r>
        <w:r w:rsidR="005B091D">
          <w:rPr>
            <w:rFonts w:ascii="黑体" w:eastAsia="黑体" w:hAnsi="黑体"/>
            <w:noProof/>
            <w:szCs w:val="32"/>
          </w:rPr>
          <w:t>纲要中期评估的目的</w:t>
        </w:r>
        <w:r w:rsidR="005B091D">
          <w:rPr>
            <w:noProof/>
          </w:rPr>
          <w:tab/>
        </w:r>
        <w:r>
          <w:rPr>
            <w:noProof/>
          </w:rPr>
          <w:fldChar w:fldCharType="begin"/>
        </w:r>
        <w:r w:rsidR="005B091D">
          <w:rPr>
            <w:noProof/>
          </w:rPr>
          <w:instrText xml:space="preserve"> PAGEREF _Toc14799 \h </w:instrText>
        </w:r>
        <w:r>
          <w:rPr>
            <w:noProof/>
          </w:rPr>
        </w:r>
        <w:r>
          <w:rPr>
            <w:noProof/>
          </w:rPr>
          <w:fldChar w:fldCharType="separate"/>
        </w:r>
        <w:r w:rsidR="00550286">
          <w:rPr>
            <w:noProof/>
          </w:rPr>
          <w:t>3</w:t>
        </w:r>
        <w:r>
          <w:rPr>
            <w:noProof/>
          </w:rPr>
          <w:fldChar w:fldCharType="end"/>
        </w:r>
      </w:hyperlink>
    </w:p>
    <w:p w:rsidR="000B0562" w:rsidRDefault="00AB4814" w:rsidP="00E60008">
      <w:pPr>
        <w:pStyle w:val="30"/>
        <w:tabs>
          <w:tab w:val="right" w:leader="dot" w:pos="9025"/>
        </w:tabs>
        <w:spacing w:line="360" w:lineRule="exact"/>
        <w:rPr>
          <w:noProof/>
        </w:rPr>
      </w:pPr>
      <w:hyperlink w:anchor="_Toc4955" w:history="1">
        <w:r w:rsidR="005B091D">
          <w:rPr>
            <w:rFonts w:ascii="黑体" w:eastAsia="黑体" w:hAnsi="黑体" w:hint="eastAsia"/>
            <w:noProof/>
            <w:szCs w:val="32"/>
          </w:rPr>
          <w:t>三、</w:t>
        </w:r>
        <w:r w:rsidR="005B091D">
          <w:rPr>
            <w:rFonts w:ascii="黑体" w:eastAsia="黑体" w:hAnsi="黑体"/>
            <w:noProof/>
            <w:szCs w:val="32"/>
          </w:rPr>
          <w:t>评估工作的组织实施</w:t>
        </w:r>
        <w:r w:rsidR="005B091D">
          <w:rPr>
            <w:noProof/>
          </w:rPr>
          <w:tab/>
        </w:r>
        <w:r>
          <w:rPr>
            <w:noProof/>
          </w:rPr>
          <w:fldChar w:fldCharType="begin"/>
        </w:r>
        <w:r w:rsidR="005B091D">
          <w:rPr>
            <w:noProof/>
          </w:rPr>
          <w:instrText xml:space="preserve"> PAGEREF _Toc4955 \h </w:instrText>
        </w:r>
        <w:r>
          <w:rPr>
            <w:noProof/>
          </w:rPr>
        </w:r>
        <w:r>
          <w:rPr>
            <w:noProof/>
          </w:rPr>
          <w:fldChar w:fldCharType="separate"/>
        </w:r>
        <w:r w:rsidR="00550286">
          <w:rPr>
            <w:noProof/>
          </w:rPr>
          <w:t>3</w:t>
        </w:r>
        <w:r>
          <w:rPr>
            <w:noProof/>
          </w:rPr>
          <w:fldChar w:fldCharType="end"/>
        </w:r>
      </w:hyperlink>
    </w:p>
    <w:p w:rsidR="000B0562" w:rsidRDefault="00AB4814" w:rsidP="00E60008">
      <w:pPr>
        <w:pStyle w:val="30"/>
        <w:tabs>
          <w:tab w:val="right" w:leader="dot" w:pos="9025"/>
        </w:tabs>
        <w:spacing w:line="360" w:lineRule="exact"/>
        <w:rPr>
          <w:noProof/>
        </w:rPr>
      </w:pPr>
      <w:hyperlink w:anchor="_Toc12958" w:history="1">
        <w:r w:rsidR="005B091D">
          <w:rPr>
            <w:rFonts w:ascii="黑体" w:eastAsia="黑体" w:hAnsi="黑体" w:hint="eastAsia"/>
            <w:noProof/>
            <w:szCs w:val="32"/>
          </w:rPr>
          <w:t>四、</w:t>
        </w:r>
        <w:r w:rsidR="005B091D">
          <w:rPr>
            <w:rFonts w:ascii="黑体" w:eastAsia="黑体" w:hAnsi="黑体"/>
            <w:noProof/>
            <w:szCs w:val="32"/>
          </w:rPr>
          <w:t>中期评估的评估原则</w:t>
        </w:r>
        <w:r w:rsidR="005B091D">
          <w:rPr>
            <w:noProof/>
          </w:rPr>
          <w:tab/>
        </w:r>
        <w:r>
          <w:rPr>
            <w:noProof/>
          </w:rPr>
          <w:fldChar w:fldCharType="begin"/>
        </w:r>
        <w:r w:rsidR="005B091D">
          <w:rPr>
            <w:noProof/>
          </w:rPr>
          <w:instrText xml:space="preserve"> PAGEREF _Toc12958 \h </w:instrText>
        </w:r>
        <w:r>
          <w:rPr>
            <w:noProof/>
          </w:rPr>
        </w:r>
        <w:r>
          <w:rPr>
            <w:noProof/>
          </w:rPr>
          <w:fldChar w:fldCharType="separate"/>
        </w:r>
        <w:r w:rsidR="00550286">
          <w:rPr>
            <w:noProof/>
          </w:rPr>
          <w:t>3</w:t>
        </w:r>
        <w:r>
          <w:rPr>
            <w:noProof/>
          </w:rPr>
          <w:fldChar w:fldCharType="end"/>
        </w:r>
      </w:hyperlink>
    </w:p>
    <w:p w:rsidR="000B0562" w:rsidRDefault="00AB4814" w:rsidP="00E60008">
      <w:pPr>
        <w:pStyle w:val="30"/>
        <w:tabs>
          <w:tab w:val="right" w:leader="dot" w:pos="9025"/>
        </w:tabs>
        <w:spacing w:line="360" w:lineRule="exact"/>
        <w:rPr>
          <w:noProof/>
        </w:rPr>
      </w:pPr>
      <w:hyperlink w:anchor="_Toc31574" w:history="1">
        <w:r w:rsidR="005B091D">
          <w:rPr>
            <w:rFonts w:ascii="黑体" w:eastAsia="黑体" w:hAnsi="黑体" w:hint="eastAsia"/>
            <w:noProof/>
            <w:szCs w:val="32"/>
          </w:rPr>
          <w:t>五、中期评估的评估方法</w:t>
        </w:r>
        <w:r w:rsidR="005B091D">
          <w:rPr>
            <w:noProof/>
          </w:rPr>
          <w:tab/>
        </w:r>
        <w:r>
          <w:rPr>
            <w:noProof/>
          </w:rPr>
          <w:fldChar w:fldCharType="begin"/>
        </w:r>
        <w:r w:rsidR="005B091D">
          <w:rPr>
            <w:noProof/>
          </w:rPr>
          <w:instrText xml:space="preserve"> PAGEREF _Toc31574 \h </w:instrText>
        </w:r>
        <w:r>
          <w:rPr>
            <w:noProof/>
          </w:rPr>
        </w:r>
        <w:r>
          <w:rPr>
            <w:noProof/>
          </w:rPr>
          <w:fldChar w:fldCharType="separate"/>
        </w:r>
        <w:r w:rsidR="00550286">
          <w:rPr>
            <w:noProof/>
          </w:rPr>
          <w:t>4</w:t>
        </w:r>
        <w:r>
          <w:rPr>
            <w:noProof/>
          </w:rPr>
          <w:fldChar w:fldCharType="end"/>
        </w:r>
      </w:hyperlink>
    </w:p>
    <w:p w:rsidR="000B0562" w:rsidRDefault="00AB4814" w:rsidP="00E60008">
      <w:pPr>
        <w:pStyle w:val="30"/>
        <w:tabs>
          <w:tab w:val="right" w:leader="dot" w:pos="9025"/>
        </w:tabs>
        <w:spacing w:line="360" w:lineRule="exact"/>
        <w:rPr>
          <w:noProof/>
        </w:rPr>
      </w:pPr>
      <w:hyperlink w:anchor="_Toc28440" w:history="1">
        <w:r w:rsidR="005B091D">
          <w:rPr>
            <w:rFonts w:ascii="黑体" w:eastAsia="黑体" w:hAnsi="黑体" w:hint="eastAsia"/>
            <w:noProof/>
            <w:szCs w:val="32"/>
          </w:rPr>
          <w:t>六、中期评估的主要结论</w:t>
        </w:r>
        <w:r w:rsidR="005B091D">
          <w:rPr>
            <w:noProof/>
          </w:rPr>
          <w:tab/>
        </w:r>
        <w:r>
          <w:rPr>
            <w:noProof/>
          </w:rPr>
          <w:fldChar w:fldCharType="begin"/>
        </w:r>
        <w:r w:rsidR="005B091D">
          <w:rPr>
            <w:noProof/>
          </w:rPr>
          <w:instrText xml:space="preserve"> PAGEREF _Toc28440 \h </w:instrText>
        </w:r>
        <w:r>
          <w:rPr>
            <w:noProof/>
          </w:rPr>
        </w:r>
        <w:r>
          <w:rPr>
            <w:noProof/>
          </w:rPr>
          <w:fldChar w:fldCharType="separate"/>
        </w:r>
        <w:r w:rsidR="00550286">
          <w:rPr>
            <w:noProof/>
          </w:rPr>
          <w:t>5</w:t>
        </w:r>
        <w:r>
          <w:rPr>
            <w:noProof/>
          </w:rPr>
          <w:fldChar w:fldCharType="end"/>
        </w:r>
      </w:hyperlink>
    </w:p>
    <w:p w:rsidR="000B0562" w:rsidRDefault="00AB4814" w:rsidP="00E60008">
      <w:pPr>
        <w:pStyle w:val="10"/>
        <w:tabs>
          <w:tab w:val="right" w:leader="dot" w:pos="9025"/>
        </w:tabs>
        <w:spacing w:line="360" w:lineRule="exact"/>
        <w:rPr>
          <w:noProof/>
        </w:rPr>
      </w:pPr>
      <w:hyperlink w:anchor="_Toc6382" w:history="1">
        <w:r w:rsidR="005B091D">
          <w:rPr>
            <w:rFonts w:ascii="黑体" w:eastAsia="黑体" w:hAnsi="黑体" w:hint="eastAsia"/>
            <w:bCs/>
            <w:noProof/>
            <w:szCs w:val="36"/>
          </w:rPr>
          <w:t xml:space="preserve">第二章 </w:t>
        </w:r>
        <w:r w:rsidR="005B091D">
          <w:rPr>
            <w:rFonts w:ascii="黑体" w:eastAsia="黑体" w:hAnsi="黑体"/>
            <w:noProof/>
            <w:szCs w:val="36"/>
          </w:rPr>
          <w:t>纲要主要指标的实施情况</w:t>
        </w:r>
        <w:r w:rsidR="005B091D">
          <w:rPr>
            <w:noProof/>
          </w:rPr>
          <w:tab/>
        </w:r>
        <w:r>
          <w:rPr>
            <w:noProof/>
          </w:rPr>
          <w:fldChar w:fldCharType="begin"/>
        </w:r>
        <w:r w:rsidR="005B091D">
          <w:rPr>
            <w:noProof/>
          </w:rPr>
          <w:instrText xml:space="preserve"> PAGEREF _Toc6382 \h </w:instrText>
        </w:r>
        <w:r>
          <w:rPr>
            <w:noProof/>
          </w:rPr>
        </w:r>
        <w:r>
          <w:rPr>
            <w:noProof/>
          </w:rPr>
          <w:fldChar w:fldCharType="separate"/>
        </w:r>
        <w:r w:rsidR="00550286">
          <w:rPr>
            <w:noProof/>
          </w:rPr>
          <w:t>6</w:t>
        </w:r>
        <w:r>
          <w:rPr>
            <w:noProof/>
          </w:rPr>
          <w:fldChar w:fldCharType="end"/>
        </w:r>
      </w:hyperlink>
    </w:p>
    <w:p w:rsidR="000B0562" w:rsidRDefault="00AB4814" w:rsidP="00E60008">
      <w:pPr>
        <w:pStyle w:val="30"/>
        <w:tabs>
          <w:tab w:val="right" w:leader="dot" w:pos="9025"/>
        </w:tabs>
        <w:spacing w:line="360" w:lineRule="exact"/>
        <w:rPr>
          <w:noProof/>
        </w:rPr>
      </w:pPr>
      <w:hyperlink w:anchor="_Toc21286" w:history="1">
        <w:r w:rsidR="005B091D">
          <w:rPr>
            <w:rFonts w:ascii="黑体" w:eastAsia="黑体" w:hAnsi="黑体" w:hint="eastAsia"/>
            <w:noProof/>
            <w:szCs w:val="32"/>
          </w:rPr>
          <w:t>一、总体成效超过预期</w:t>
        </w:r>
        <w:r w:rsidR="005B091D">
          <w:rPr>
            <w:noProof/>
          </w:rPr>
          <w:tab/>
        </w:r>
        <w:r>
          <w:rPr>
            <w:noProof/>
          </w:rPr>
          <w:fldChar w:fldCharType="begin"/>
        </w:r>
        <w:r w:rsidR="005B091D">
          <w:rPr>
            <w:noProof/>
          </w:rPr>
          <w:instrText xml:space="preserve"> PAGEREF _Toc21286 \h </w:instrText>
        </w:r>
        <w:r>
          <w:rPr>
            <w:noProof/>
          </w:rPr>
        </w:r>
        <w:r>
          <w:rPr>
            <w:noProof/>
          </w:rPr>
          <w:fldChar w:fldCharType="separate"/>
        </w:r>
        <w:r w:rsidR="00550286">
          <w:rPr>
            <w:noProof/>
          </w:rPr>
          <w:t>6</w:t>
        </w:r>
        <w:r>
          <w:rPr>
            <w:noProof/>
          </w:rPr>
          <w:fldChar w:fldCharType="end"/>
        </w:r>
      </w:hyperlink>
    </w:p>
    <w:p w:rsidR="000B0562" w:rsidRDefault="00AB4814" w:rsidP="00E60008">
      <w:pPr>
        <w:pStyle w:val="30"/>
        <w:tabs>
          <w:tab w:val="right" w:leader="dot" w:pos="9025"/>
        </w:tabs>
        <w:spacing w:line="360" w:lineRule="exact"/>
        <w:rPr>
          <w:noProof/>
        </w:rPr>
      </w:pPr>
      <w:hyperlink w:anchor="_Toc7590" w:history="1">
        <w:r w:rsidR="005B091D">
          <w:rPr>
            <w:rFonts w:ascii="黑体" w:eastAsia="黑体" w:hAnsi="黑体" w:hint="eastAsia"/>
            <w:noProof/>
            <w:szCs w:val="32"/>
          </w:rPr>
          <w:t>二、发展目标完成情况</w:t>
        </w:r>
        <w:r w:rsidR="005B091D">
          <w:rPr>
            <w:noProof/>
          </w:rPr>
          <w:tab/>
        </w:r>
        <w:r>
          <w:rPr>
            <w:noProof/>
          </w:rPr>
          <w:fldChar w:fldCharType="begin"/>
        </w:r>
        <w:r w:rsidR="005B091D">
          <w:rPr>
            <w:noProof/>
          </w:rPr>
          <w:instrText xml:space="preserve"> PAGEREF _Toc7590 \h </w:instrText>
        </w:r>
        <w:r>
          <w:rPr>
            <w:noProof/>
          </w:rPr>
        </w:r>
        <w:r>
          <w:rPr>
            <w:noProof/>
          </w:rPr>
          <w:fldChar w:fldCharType="separate"/>
        </w:r>
        <w:r w:rsidR="00550286">
          <w:rPr>
            <w:noProof/>
          </w:rPr>
          <w:t>7</w:t>
        </w:r>
        <w:r>
          <w:rPr>
            <w:noProof/>
          </w:rPr>
          <w:fldChar w:fldCharType="end"/>
        </w:r>
      </w:hyperlink>
    </w:p>
    <w:p w:rsidR="000B0562" w:rsidRDefault="00AB4814" w:rsidP="00E60008">
      <w:pPr>
        <w:pStyle w:val="30"/>
        <w:tabs>
          <w:tab w:val="right" w:leader="dot" w:pos="9025"/>
        </w:tabs>
        <w:spacing w:line="360" w:lineRule="exact"/>
        <w:rPr>
          <w:noProof/>
        </w:rPr>
      </w:pPr>
      <w:hyperlink w:anchor="_Toc30045" w:history="1">
        <w:r w:rsidR="005B091D">
          <w:rPr>
            <w:rFonts w:ascii="黑体" w:eastAsia="黑体" w:hAnsi="黑体" w:hint="eastAsia"/>
            <w:noProof/>
            <w:szCs w:val="32"/>
          </w:rPr>
          <w:t>三、规划指标完成情况</w:t>
        </w:r>
        <w:r w:rsidR="005B091D">
          <w:rPr>
            <w:noProof/>
          </w:rPr>
          <w:tab/>
        </w:r>
        <w:r>
          <w:rPr>
            <w:noProof/>
          </w:rPr>
          <w:fldChar w:fldCharType="begin"/>
        </w:r>
        <w:r w:rsidR="005B091D">
          <w:rPr>
            <w:noProof/>
          </w:rPr>
          <w:instrText xml:space="preserve"> PAGEREF _Toc30045 \h </w:instrText>
        </w:r>
        <w:r>
          <w:rPr>
            <w:noProof/>
          </w:rPr>
        </w:r>
        <w:r>
          <w:rPr>
            <w:noProof/>
          </w:rPr>
          <w:fldChar w:fldCharType="separate"/>
        </w:r>
        <w:r w:rsidR="00550286">
          <w:rPr>
            <w:noProof/>
          </w:rPr>
          <w:t>13</w:t>
        </w:r>
        <w:r>
          <w:rPr>
            <w:noProof/>
          </w:rPr>
          <w:fldChar w:fldCharType="end"/>
        </w:r>
      </w:hyperlink>
    </w:p>
    <w:p w:rsidR="000B0562" w:rsidRDefault="00AB4814" w:rsidP="00E60008">
      <w:pPr>
        <w:pStyle w:val="30"/>
        <w:tabs>
          <w:tab w:val="right" w:leader="dot" w:pos="9025"/>
        </w:tabs>
        <w:spacing w:line="360" w:lineRule="exact"/>
        <w:rPr>
          <w:noProof/>
        </w:rPr>
      </w:pPr>
      <w:hyperlink w:anchor="_Toc8328" w:history="1">
        <w:r w:rsidR="005B091D">
          <w:rPr>
            <w:rFonts w:ascii="黑体" w:eastAsia="黑体" w:hAnsi="黑体" w:hint="eastAsia"/>
            <w:noProof/>
            <w:szCs w:val="32"/>
          </w:rPr>
          <w:t>四、重点项目实施情况</w:t>
        </w:r>
        <w:r w:rsidR="005B091D">
          <w:rPr>
            <w:noProof/>
          </w:rPr>
          <w:tab/>
        </w:r>
        <w:r>
          <w:rPr>
            <w:noProof/>
          </w:rPr>
          <w:fldChar w:fldCharType="begin"/>
        </w:r>
        <w:r w:rsidR="005B091D">
          <w:rPr>
            <w:noProof/>
          </w:rPr>
          <w:instrText xml:space="preserve"> PAGEREF _Toc8328 \h </w:instrText>
        </w:r>
        <w:r>
          <w:rPr>
            <w:noProof/>
          </w:rPr>
        </w:r>
        <w:r>
          <w:rPr>
            <w:noProof/>
          </w:rPr>
          <w:fldChar w:fldCharType="separate"/>
        </w:r>
        <w:r w:rsidR="00550286">
          <w:rPr>
            <w:noProof/>
          </w:rPr>
          <w:t>25</w:t>
        </w:r>
        <w:r>
          <w:rPr>
            <w:noProof/>
          </w:rPr>
          <w:fldChar w:fldCharType="end"/>
        </w:r>
      </w:hyperlink>
    </w:p>
    <w:p w:rsidR="000B0562" w:rsidRDefault="00AB4814" w:rsidP="00E60008">
      <w:pPr>
        <w:pStyle w:val="10"/>
        <w:tabs>
          <w:tab w:val="right" w:leader="dot" w:pos="9025"/>
        </w:tabs>
        <w:spacing w:line="360" w:lineRule="exact"/>
        <w:rPr>
          <w:noProof/>
        </w:rPr>
      </w:pPr>
      <w:hyperlink w:anchor="_Toc16452" w:history="1">
        <w:r w:rsidR="005B091D">
          <w:rPr>
            <w:rFonts w:ascii="黑体" w:eastAsia="黑体" w:hAnsi="黑体" w:hint="eastAsia"/>
            <w:bCs/>
            <w:noProof/>
            <w:szCs w:val="36"/>
          </w:rPr>
          <w:t xml:space="preserve">第三章 </w:t>
        </w:r>
        <w:r w:rsidR="005B091D">
          <w:rPr>
            <w:rFonts w:ascii="黑体" w:eastAsia="黑体" w:hAnsi="黑体"/>
            <w:noProof/>
            <w:szCs w:val="36"/>
          </w:rPr>
          <w:t>纲要重点任务的完成情况</w:t>
        </w:r>
        <w:r w:rsidR="005B091D">
          <w:rPr>
            <w:noProof/>
          </w:rPr>
          <w:tab/>
        </w:r>
        <w:r>
          <w:rPr>
            <w:noProof/>
          </w:rPr>
          <w:fldChar w:fldCharType="begin"/>
        </w:r>
        <w:r w:rsidR="005B091D">
          <w:rPr>
            <w:noProof/>
          </w:rPr>
          <w:instrText xml:space="preserve"> PAGEREF _Toc16452 \h </w:instrText>
        </w:r>
        <w:r>
          <w:rPr>
            <w:noProof/>
          </w:rPr>
        </w:r>
        <w:r>
          <w:rPr>
            <w:noProof/>
          </w:rPr>
          <w:fldChar w:fldCharType="separate"/>
        </w:r>
        <w:r w:rsidR="00550286">
          <w:rPr>
            <w:noProof/>
          </w:rPr>
          <w:t>27</w:t>
        </w:r>
        <w:r>
          <w:rPr>
            <w:noProof/>
          </w:rPr>
          <w:fldChar w:fldCharType="end"/>
        </w:r>
      </w:hyperlink>
    </w:p>
    <w:p w:rsidR="000B0562" w:rsidRDefault="00AB4814" w:rsidP="00E60008">
      <w:pPr>
        <w:pStyle w:val="30"/>
        <w:tabs>
          <w:tab w:val="right" w:leader="dot" w:pos="9025"/>
        </w:tabs>
        <w:spacing w:line="360" w:lineRule="exact"/>
        <w:rPr>
          <w:noProof/>
        </w:rPr>
      </w:pPr>
      <w:hyperlink w:anchor="_Toc5315" w:history="1">
        <w:r w:rsidR="005B091D">
          <w:rPr>
            <w:rFonts w:ascii="黑体" w:eastAsia="黑体" w:hAnsi="黑体" w:hint="eastAsia"/>
            <w:noProof/>
            <w:szCs w:val="32"/>
          </w:rPr>
          <w:t>一、产业转型提质增速，现代产业体系加速构建</w:t>
        </w:r>
        <w:r w:rsidR="005B091D">
          <w:rPr>
            <w:noProof/>
          </w:rPr>
          <w:tab/>
        </w:r>
        <w:r>
          <w:rPr>
            <w:noProof/>
          </w:rPr>
          <w:fldChar w:fldCharType="begin"/>
        </w:r>
        <w:r w:rsidR="005B091D">
          <w:rPr>
            <w:noProof/>
          </w:rPr>
          <w:instrText xml:space="preserve"> PAGEREF _Toc5315 \h </w:instrText>
        </w:r>
        <w:r>
          <w:rPr>
            <w:noProof/>
          </w:rPr>
        </w:r>
        <w:r>
          <w:rPr>
            <w:noProof/>
          </w:rPr>
          <w:fldChar w:fldCharType="separate"/>
        </w:r>
        <w:r w:rsidR="00550286">
          <w:rPr>
            <w:noProof/>
          </w:rPr>
          <w:t>27</w:t>
        </w:r>
        <w:r>
          <w:rPr>
            <w:noProof/>
          </w:rPr>
          <w:fldChar w:fldCharType="end"/>
        </w:r>
      </w:hyperlink>
    </w:p>
    <w:p w:rsidR="000B0562" w:rsidRDefault="00AB4814" w:rsidP="00E60008">
      <w:pPr>
        <w:pStyle w:val="30"/>
        <w:tabs>
          <w:tab w:val="right" w:leader="dot" w:pos="9025"/>
        </w:tabs>
        <w:spacing w:line="360" w:lineRule="exact"/>
        <w:rPr>
          <w:noProof/>
        </w:rPr>
      </w:pPr>
      <w:hyperlink w:anchor="_Toc30175" w:history="1">
        <w:r w:rsidR="005B091D">
          <w:rPr>
            <w:rFonts w:ascii="黑体" w:eastAsia="黑体" w:hAnsi="黑体" w:hint="eastAsia"/>
            <w:noProof/>
            <w:szCs w:val="32"/>
          </w:rPr>
          <w:t>二、城乡品质不断提升，城乡建设颜值持续美化</w:t>
        </w:r>
        <w:r w:rsidR="005B091D">
          <w:rPr>
            <w:noProof/>
          </w:rPr>
          <w:tab/>
        </w:r>
        <w:r>
          <w:rPr>
            <w:noProof/>
          </w:rPr>
          <w:fldChar w:fldCharType="begin"/>
        </w:r>
        <w:r w:rsidR="005B091D">
          <w:rPr>
            <w:noProof/>
          </w:rPr>
          <w:instrText xml:space="preserve"> PAGEREF _Toc30175 \h </w:instrText>
        </w:r>
        <w:r>
          <w:rPr>
            <w:noProof/>
          </w:rPr>
        </w:r>
        <w:r>
          <w:rPr>
            <w:noProof/>
          </w:rPr>
          <w:fldChar w:fldCharType="separate"/>
        </w:r>
        <w:r w:rsidR="00550286">
          <w:rPr>
            <w:noProof/>
          </w:rPr>
          <w:t>29</w:t>
        </w:r>
        <w:r>
          <w:rPr>
            <w:noProof/>
          </w:rPr>
          <w:fldChar w:fldCharType="end"/>
        </w:r>
      </w:hyperlink>
    </w:p>
    <w:p w:rsidR="000B0562" w:rsidRDefault="00AB4814" w:rsidP="00E60008">
      <w:pPr>
        <w:pStyle w:val="30"/>
        <w:tabs>
          <w:tab w:val="right" w:leader="dot" w:pos="9025"/>
        </w:tabs>
        <w:spacing w:line="360" w:lineRule="exact"/>
        <w:rPr>
          <w:noProof/>
        </w:rPr>
      </w:pPr>
      <w:hyperlink w:anchor="_Toc2481" w:history="1">
        <w:r w:rsidR="005B091D">
          <w:rPr>
            <w:rFonts w:ascii="黑体" w:eastAsia="黑体" w:hAnsi="黑体" w:hint="eastAsia"/>
            <w:noProof/>
            <w:szCs w:val="32"/>
          </w:rPr>
          <w:t>三、生态环境日益改善，绿色经济发展成效初显</w:t>
        </w:r>
        <w:r w:rsidR="005B091D">
          <w:rPr>
            <w:noProof/>
          </w:rPr>
          <w:tab/>
        </w:r>
        <w:r>
          <w:rPr>
            <w:noProof/>
          </w:rPr>
          <w:fldChar w:fldCharType="begin"/>
        </w:r>
        <w:r w:rsidR="005B091D">
          <w:rPr>
            <w:noProof/>
          </w:rPr>
          <w:instrText xml:space="preserve"> PAGEREF _Toc2481 \h </w:instrText>
        </w:r>
        <w:r>
          <w:rPr>
            <w:noProof/>
          </w:rPr>
        </w:r>
        <w:r>
          <w:rPr>
            <w:noProof/>
          </w:rPr>
          <w:fldChar w:fldCharType="separate"/>
        </w:r>
        <w:r w:rsidR="00550286">
          <w:rPr>
            <w:noProof/>
          </w:rPr>
          <w:t>30</w:t>
        </w:r>
        <w:r>
          <w:rPr>
            <w:noProof/>
          </w:rPr>
          <w:fldChar w:fldCharType="end"/>
        </w:r>
      </w:hyperlink>
    </w:p>
    <w:p w:rsidR="000B0562" w:rsidRDefault="00AB4814" w:rsidP="00E60008">
      <w:pPr>
        <w:pStyle w:val="30"/>
        <w:tabs>
          <w:tab w:val="right" w:leader="dot" w:pos="9025"/>
        </w:tabs>
        <w:spacing w:line="360" w:lineRule="exact"/>
        <w:rPr>
          <w:noProof/>
        </w:rPr>
      </w:pPr>
      <w:hyperlink w:anchor="_Toc28659" w:history="1">
        <w:r w:rsidR="005B091D">
          <w:rPr>
            <w:rFonts w:ascii="黑体" w:eastAsia="黑体" w:hAnsi="黑体" w:hint="eastAsia"/>
            <w:noProof/>
            <w:szCs w:val="32"/>
          </w:rPr>
          <w:t>四、社会事业全面推进，居民幸福指数显著提高</w:t>
        </w:r>
        <w:r w:rsidR="005B091D">
          <w:rPr>
            <w:noProof/>
          </w:rPr>
          <w:tab/>
        </w:r>
        <w:r>
          <w:rPr>
            <w:noProof/>
          </w:rPr>
          <w:fldChar w:fldCharType="begin"/>
        </w:r>
        <w:r w:rsidR="005B091D">
          <w:rPr>
            <w:noProof/>
          </w:rPr>
          <w:instrText xml:space="preserve"> PAGEREF _Toc28659 \h </w:instrText>
        </w:r>
        <w:r>
          <w:rPr>
            <w:noProof/>
          </w:rPr>
        </w:r>
        <w:r>
          <w:rPr>
            <w:noProof/>
          </w:rPr>
          <w:fldChar w:fldCharType="separate"/>
        </w:r>
        <w:r w:rsidR="00550286">
          <w:rPr>
            <w:noProof/>
          </w:rPr>
          <w:t>30</w:t>
        </w:r>
        <w:r>
          <w:rPr>
            <w:noProof/>
          </w:rPr>
          <w:fldChar w:fldCharType="end"/>
        </w:r>
      </w:hyperlink>
    </w:p>
    <w:p w:rsidR="000B0562" w:rsidRDefault="00AB4814" w:rsidP="00E60008">
      <w:pPr>
        <w:pStyle w:val="30"/>
        <w:tabs>
          <w:tab w:val="right" w:leader="dot" w:pos="9025"/>
        </w:tabs>
        <w:spacing w:line="360" w:lineRule="exact"/>
        <w:rPr>
          <w:noProof/>
        </w:rPr>
      </w:pPr>
      <w:hyperlink w:anchor="_Toc17014" w:history="1">
        <w:r w:rsidR="005B091D">
          <w:rPr>
            <w:rFonts w:ascii="黑体" w:eastAsia="黑体" w:hAnsi="黑体" w:hint="eastAsia"/>
            <w:noProof/>
            <w:szCs w:val="32"/>
          </w:rPr>
          <w:t>五、对外合作不断深化，区域合作格局初步形成</w:t>
        </w:r>
        <w:r w:rsidR="005B091D">
          <w:rPr>
            <w:noProof/>
          </w:rPr>
          <w:tab/>
        </w:r>
        <w:r>
          <w:rPr>
            <w:noProof/>
          </w:rPr>
          <w:fldChar w:fldCharType="begin"/>
        </w:r>
        <w:r w:rsidR="005B091D">
          <w:rPr>
            <w:noProof/>
          </w:rPr>
          <w:instrText xml:space="preserve"> PAGEREF _Toc17014 \h </w:instrText>
        </w:r>
        <w:r>
          <w:rPr>
            <w:noProof/>
          </w:rPr>
        </w:r>
        <w:r>
          <w:rPr>
            <w:noProof/>
          </w:rPr>
          <w:fldChar w:fldCharType="separate"/>
        </w:r>
        <w:r w:rsidR="00550286">
          <w:rPr>
            <w:noProof/>
          </w:rPr>
          <w:t>32</w:t>
        </w:r>
        <w:r>
          <w:rPr>
            <w:noProof/>
          </w:rPr>
          <w:fldChar w:fldCharType="end"/>
        </w:r>
      </w:hyperlink>
    </w:p>
    <w:p w:rsidR="000B0562" w:rsidRDefault="00AB4814" w:rsidP="00E60008">
      <w:pPr>
        <w:pStyle w:val="10"/>
        <w:tabs>
          <w:tab w:val="right" w:leader="dot" w:pos="9025"/>
        </w:tabs>
        <w:spacing w:line="360" w:lineRule="exact"/>
        <w:rPr>
          <w:noProof/>
        </w:rPr>
      </w:pPr>
      <w:hyperlink w:anchor="_Toc15301" w:history="1">
        <w:r w:rsidR="005B091D">
          <w:rPr>
            <w:rFonts w:ascii="黑体" w:eastAsia="黑体" w:hAnsi="黑体" w:hint="eastAsia"/>
            <w:bCs/>
            <w:noProof/>
            <w:szCs w:val="36"/>
          </w:rPr>
          <w:t xml:space="preserve">第四章 </w:t>
        </w:r>
        <w:r w:rsidR="005B091D">
          <w:rPr>
            <w:rFonts w:ascii="黑体" w:eastAsia="黑体" w:hAnsi="黑体"/>
            <w:noProof/>
            <w:szCs w:val="36"/>
          </w:rPr>
          <w:t>存在的问题和面临的形势</w:t>
        </w:r>
        <w:r w:rsidR="005B091D">
          <w:rPr>
            <w:noProof/>
          </w:rPr>
          <w:tab/>
        </w:r>
        <w:r>
          <w:rPr>
            <w:noProof/>
          </w:rPr>
          <w:fldChar w:fldCharType="begin"/>
        </w:r>
        <w:r w:rsidR="005B091D">
          <w:rPr>
            <w:noProof/>
          </w:rPr>
          <w:instrText xml:space="preserve"> PAGEREF _Toc15301 \h </w:instrText>
        </w:r>
        <w:r>
          <w:rPr>
            <w:noProof/>
          </w:rPr>
        </w:r>
        <w:r>
          <w:rPr>
            <w:noProof/>
          </w:rPr>
          <w:fldChar w:fldCharType="separate"/>
        </w:r>
        <w:r w:rsidR="00550286">
          <w:rPr>
            <w:noProof/>
          </w:rPr>
          <w:t>33</w:t>
        </w:r>
        <w:r>
          <w:rPr>
            <w:noProof/>
          </w:rPr>
          <w:fldChar w:fldCharType="end"/>
        </w:r>
      </w:hyperlink>
    </w:p>
    <w:p w:rsidR="000B0562" w:rsidRDefault="00AB4814" w:rsidP="00E60008">
      <w:pPr>
        <w:pStyle w:val="30"/>
        <w:tabs>
          <w:tab w:val="right" w:leader="dot" w:pos="9025"/>
        </w:tabs>
        <w:spacing w:line="360" w:lineRule="exact"/>
        <w:rPr>
          <w:noProof/>
        </w:rPr>
      </w:pPr>
      <w:hyperlink w:anchor="_Toc15171" w:history="1">
        <w:r w:rsidR="005B091D">
          <w:rPr>
            <w:rFonts w:ascii="黑体" w:eastAsia="黑体" w:hAnsi="黑体" w:hint="eastAsia"/>
            <w:noProof/>
            <w:szCs w:val="30"/>
          </w:rPr>
          <w:t>一、</w:t>
        </w:r>
        <w:r w:rsidR="005B091D">
          <w:rPr>
            <w:rFonts w:ascii="黑体" w:eastAsia="黑体" w:hAnsi="黑体"/>
            <w:noProof/>
            <w:szCs w:val="30"/>
          </w:rPr>
          <w:t>纲要实施过程中存在的问题</w:t>
        </w:r>
        <w:r w:rsidR="005B091D">
          <w:rPr>
            <w:noProof/>
          </w:rPr>
          <w:tab/>
        </w:r>
        <w:r>
          <w:rPr>
            <w:noProof/>
          </w:rPr>
          <w:fldChar w:fldCharType="begin"/>
        </w:r>
        <w:r w:rsidR="005B091D">
          <w:rPr>
            <w:noProof/>
          </w:rPr>
          <w:instrText xml:space="preserve"> PAGEREF _Toc15171 \h </w:instrText>
        </w:r>
        <w:r>
          <w:rPr>
            <w:noProof/>
          </w:rPr>
        </w:r>
        <w:r>
          <w:rPr>
            <w:noProof/>
          </w:rPr>
          <w:fldChar w:fldCharType="separate"/>
        </w:r>
        <w:r w:rsidR="00550286">
          <w:rPr>
            <w:noProof/>
          </w:rPr>
          <w:t>33</w:t>
        </w:r>
        <w:r>
          <w:rPr>
            <w:noProof/>
          </w:rPr>
          <w:fldChar w:fldCharType="end"/>
        </w:r>
      </w:hyperlink>
    </w:p>
    <w:p w:rsidR="000B0562" w:rsidRDefault="00AB4814" w:rsidP="00E60008">
      <w:pPr>
        <w:pStyle w:val="30"/>
        <w:tabs>
          <w:tab w:val="right" w:leader="dot" w:pos="9025"/>
        </w:tabs>
        <w:spacing w:line="360" w:lineRule="exact"/>
        <w:rPr>
          <w:noProof/>
        </w:rPr>
      </w:pPr>
      <w:hyperlink w:anchor="_Toc183" w:history="1">
        <w:r w:rsidR="005B091D">
          <w:rPr>
            <w:rFonts w:ascii="黑体" w:eastAsia="黑体" w:hAnsi="黑体" w:hint="eastAsia"/>
            <w:noProof/>
            <w:szCs w:val="30"/>
          </w:rPr>
          <w:t>二、纲要实施过程中面临新形势</w:t>
        </w:r>
        <w:r w:rsidR="005B091D">
          <w:rPr>
            <w:noProof/>
          </w:rPr>
          <w:tab/>
        </w:r>
        <w:r>
          <w:rPr>
            <w:noProof/>
          </w:rPr>
          <w:fldChar w:fldCharType="begin"/>
        </w:r>
        <w:r w:rsidR="005B091D">
          <w:rPr>
            <w:noProof/>
          </w:rPr>
          <w:instrText xml:space="preserve"> PAGEREF _Toc183 \h </w:instrText>
        </w:r>
        <w:r>
          <w:rPr>
            <w:noProof/>
          </w:rPr>
        </w:r>
        <w:r>
          <w:rPr>
            <w:noProof/>
          </w:rPr>
          <w:fldChar w:fldCharType="separate"/>
        </w:r>
        <w:r w:rsidR="00550286">
          <w:rPr>
            <w:noProof/>
          </w:rPr>
          <w:t>36</w:t>
        </w:r>
        <w:r>
          <w:rPr>
            <w:noProof/>
          </w:rPr>
          <w:fldChar w:fldCharType="end"/>
        </w:r>
      </w:hyperlink>
    </w:p>
    <w:p w:rsidR="000B0562" w:rsidRDefault="00AB4814" w:rsidP="00E60008">
      <w:pPr>
        <w:pStyle w:val="10"/>
        <w:tabs>
          <w:tab w:val="right" w:leader="dot" w:pos="9025"/>
        </w:tabs>
        <w:spacing w:line="360" w:lineRule="exact"/>
        <w:rPr>
          <w:noProof/>
        </w:rPr>
      </w:pPr>
      <w:hyperlink w:anchor="_Toc28877" w:history="1">
        <w:r w:rsidR="005B091D">
          <w:rPr>
            <w:rFonts w:ascii="黑体" w:eastAsia="黑体" w:hAnsi="黑体" w:hint="eastAsia"/>
            <w:bCs/>
            <w:noProof/>
            <w:szCs w:val="36"/>
          </w:rPr>
          <w:t xml:space="preserve">第五章 </w:t>
        </w:r>
        <w:r w:rsidR="005B091D">
          <w:rPr>
            <w:rFonts w:ascii="黑体" w:eastAsia="黑体" w:hAnsi="黑体"/>
            <w:noProof/>
            <w:szCs w:val="36"/>
          </w:rPr>
          <w:t>高质量推进纲要的新举措</w:t>
        </w:r>
        <w:r w:rsidR="005B091D">
          <w:rPr>
            <w:noProof/>
          </w:rPr>
          <w:tab/>
        </w:r>
        <w:r>
          <w:rPr>
            <w:noProof/>
          </w:rPr>
          <w:fldChar w:fldCharType="begin"/>
        </w:r>
        <w:r w:rsidR="005B091D">
          <w:rPr>
            <w:noProof/>
          </w:rPr>
          <w:instrText xml:space="preserve"> PAGEREF _Toc28877 \h </w:instrText>
        </w:r>
        <w:r>
          <w:rPr>
            <w:noProof/>
          </w:rPr>
        </w:r>
        <w:r>
          <w:rPr>
            <w:noProof/>
          </w:rPr>
          <w:fldChar w:fldCharType="separate"/>
        </w:r>
        <w:r w:rsidR="00550286">
          <w:rPr>
            <w:noProof/>
          </w:rPr>
          <w:t>42</w:t>
        </w:r>
        <w:r>
          <w:rPr>
            <w:noProof/>
          </w:rPr>
          <w:fldChar w:fldCharType="end"/>
        </w:r>
      </w:hyperlink>
    </w:p>
    <w:p w:rsidR="000B0562" w:rsidRDefault="00AB4814" w:rsidP="00E60008">
      <w:pPr>
        <w:pStyle w:val="30"/>
        <w:tabs>
          <w:tab w:val="right" w:leader="dot" w:pos="9025"/>
        </w:tabs>
        <w:spacing w:line="360" w:lineRule="exact"/>
        <w:rPr>
          <w:noProof/>
        </w:rPr>
      </w:pPr>
      <w:hyperlink w:anchor="_Toc13647" w:history="1">
        <w:r w:rsidR="005B091D">
          <w:rPr>
            <w:rFonts w:ascii="黑体" w:eastAsia="黑体" w:hAnsi="黑体" w:hint="eastAsia"/>
            <w:noProof/>
            <w:szCs w:val="30"/>
          </w:rPr>
          <w:t>一、</w:t>
        </w:r>
        <w:r w:rsidR="005B091D">
          <w:rPr>
            <w:rFonts w:ascii="黑体" w:eastAsia="黑体" w:hAnsi="黑体"/>
            <w:noProof/>
            <w:szCs w:val="30"/>
          </w:rPr>
          <w:t>注重工业产业智造，赋能经济高质量新发展</w:t>
        </w:r>
        <w:r w:rsidR="005B091D">
          <w:rPr>
            <w:noProof/>
          </w:rPr>
          <w:tab/>
        </w:r>
        <w:r>
          <w:rPr>
            <w:noProof/>
          </w:rPr>
          <w:fldChar w:fldCharType="begin"/>
        </w:r>
        <w:r w:rsidR="005B091D">
          <w:rPr>
            <w:noProof/>
          </w:rPr>
          <w:instrText xml:space="preserve"> PAGEREF _Toc13647 \h </w:instrText>
        </w:r>
        <w:r>
          <w:rPr>
            <w:noProof/>
          </w:rPr>
        </w:r>
        <w:r>
          <w:rPr>
            <w:noProof/>
          </w:rPr>
          <w:fldChar w:fldCharType="separate"/>
        </w:r>
        <w:r w:rsidR="00550286">
          <w:rPr>
            <w:noProof/>
          </w:rPr>
          <w:t>44</w:t>
        </w:r>
        <w:r>
          <w:rPr>
            <w:noProof/>
          </w:rPr>
          <w:fldChar w:fldCharType="end"/>
        </w:r>
      </w:hyperlink>
    </w:p>
    <w:p w:rsidR="000B0562" w:rsidRDefault="00AB4814" w:rsidP="00E60008">
      <w:pPr>
        <w:pStyle w:val="30"/>
        <w:tabs>
          <w:tab w:val="right" w:leader="dot" w:pos="9025"/>
        </w:tabs>
        <w:spacing w:line="360" w:lineRule="exact"/>
        <w:rPr>
          <w:noProof/>
        </w:rPr>
      </w:pPr>
      <w:hyperlink w:anchor="_Toc14951" w:history="1">
        <w:r w:rsidR="005B091D">
          <w:rPr>
            <w:rFonts w:ascii="黑体" w:eastAsia="黑体" w:hAnsi="黑体" w:hint="eastAsia"/>
            <w:noProof/>
            <w:szCs w:val="30"/>
          </w:rPr>
          <w:t>二、</w:t>
        </w:r>
        <w:r w:rsidR="005B091D">
          <w:rPr>
            <w:rFonts w:ascii="黑体" w:eastAsia="黑体" w:hAnsi="黑体"/>
            <w:noProof/>
            <w:szCs w:val="30"/>
          </w:rPr>
          <w:t>推动区域联动发展，全面深入推进改革开放</w:t>
        </w:r>
        <w:r w:rsidR="005B091D">
          <w:rPr>
            <w:noProof/>
          </w:rPr>
          <w:tab/>
        </w:r>
        <w:r>
          <w:rPr>
            <w:noProof/>
          </w:rPr>
          <w:fldChar w:fldCharType="begin"/>
        </w:r>
        <w:r w:rsidR="005B091D">
          <w:rPr>
            <w:noProof/>
          </w:rPr>
          <w:instrText xml:space="preserve"> PAGEREF _Toc14951 \h </w:instrText>
        </w:r>
        <w:r>
          <w:rPr>
            <w:noProof/>
          </w:rPr>
        </w:r>
        <w:r>
          <w:rPr>
            <w:noProof/>
          </w:rPr>
          <w:fldChar w:fldCharType="separate"/>
        </w:r>
        <w:r w:rsidR="00550286">
          <w:rPr>
            <w:noProof/>
          </w:rPr>
          <w:t>46</w:t>
        </w:r>
        <w:r>
          <w:rPr>
            <w:noProof/>
          </w:rPr>
          <w:fldChar w:fldCharType="end"/>
        </w:r>
      </w:hyperlink>
    </w:p>
    <w:p w:rsidR="000B0562" w:rsidRDefault="00AB4814" w:rsidP="00E60008">
      <w:pPr>
        <w:pStyle w:val="30"/>
        <w:tabs>
          <w:tab w:val="right" w:leader="dot" w:pos="9025"/>
        </w:tabs>
        <w:spacing w:line="360" w:lineRule="exact"/>
        <w:rPr>
          <w:noProof/>
        </w:rPr>
      </w:pPr>
      <w:hyperlink w:anchor="_Toc5048" w:history="1">
        <w:r w:rsidR="005B091D">
          <w:rPr>
            <w:rFonts w:ascii="黑体" w:eastAsia="黑体" w:hAnsi="黑体" w:hint="eastAsia"/>
            <w:noProof/>
            <w:szCs w:val="30"/>
          </w:rPr>
          <w:t>三、营造良好营商环境，助力民营经济创新发展</w:t>
        </w:r>
        <w:r w:rsidR="005B091D">
          <w:rPr>
            <w:noProof/>
          </w:rPr>
          <w:tab/>
        </w:r>
        <w:r>
          <w:rPr>
            <w:noProof/>
          </w:rPr>
          <w:fldChar w:fldCharType="begin"/>
        </w:r>
        <w:r w:rsidR="005B091D">
          <w:rPr>
            <w:noProof/>
          </w:rPr>
          <w:instrText xml:space="preserve"> PAGEREF _Toc5048 \h </w:instrText>
        </w:r>
        <w:r>
          <w:rPr>
            <w:noProof/>
          </w:rPr>
        </w:r>
        <w:r>
          <w:rPr>
            <w:noProof/>
          </w:rPr>
          <w:fldChar w:fldCharType="separate"/>
        </w:r>
        <w:r w:rsidR="00550286">
          <w:rPr>
            <w:noProof/>
          </w:rPr>
          <w:t>48</w:t>
        </w:r>
        <w:r>
          <w:rPr>
            <w:noProof/>
          </w:rPr>
          <w:fldChar w:fldCharType="end"/>
        </w:r>
      </w:hyperlink>
    </w:p>
    <w:p w:rsidR="000B0562" w:rsidRDefault="00AB4814" w:rsidP="00E60008">
      <w:pPr>
        <w:pStyle w:val="30"/>
        <w:tabs>
          <w:tab w:val="right" w:leader="dot" w:pos="9025"/>
        </w:tabs>
        <w:spacing w:line="360" w:lineRule="exact"/>
        <w:rPr>
          <w:noProof/>
        </w:rPr>
      </w:pPr>
      <w:hyperlink w:anchor="_Toc27820" w:history="1">
        <w:r w:rsidR="005B091D">
          <w:rPr>
            <w:rFonts w:ascii="黑体" w:eastAsia="黑体" w:hAnsi="黑体" w:hint="eastAsia"/>
            <w:noProof/>
            <w:szCs w:val="30"/>
          </w:rPr>
          <w:t>四、实施乡村振兴战略，构建城乡融合发展局面</w:t>
        </w:r>
        <w:r w:rsidR="005B091D">
          <w:rPr>
            <w:noProof/>
          </w:rPr>
          <w:tab/>
        </w:r>
        <w:r>
          <w:rPr>
            <w:noProof/>
          </w:rPr>
          <w:fldChar w:fldCharType="begin"/>
        </w:r>
        <w:r w:rsidR="005B091D">
          <w:rPr>
            <w:noProof/>
          </w:rPr>
          <w:instrText xml:space="preserve"> PAGEREF _Toc27820 \h </w:instrText>
        </w:r>
        <w:r>
          <w:rPr>
            <w:noProof/>
          </w:rPr>
        </w:r>
        <w:r>
          <w:rPr>
            <w:noProof/>
          </w:rPr>
          <w:fldChar w:fldCharType="separate"/>
        </w:r>
        <w:r w:rsidR="00550286">
          <w:rPr>
            <w:noProof/>
          </w:rPr>
          <w:t>50</w:t>
        </w:r>
        <w:r>
          <w:rPr>
            <w:noProof/>
          </w:rPr>
          <w:fldChar w:fldCharType="end"/>
        </w:r>
      </w:hyperlink>
    </w:p>
    <w:p w:rsidR="000B0562" w:rsidRDefault="00AB4814" w:rsidP="00E60008">
      <w:pPr>
        <w:pStyle w:val="30"/>
        <w:tabs>
          <w:tab w:val="right" w:leader="dot" w:pos="9025"/>
        </w:tabs>
        <w:spacing w:line="360" w:lineRule="exact"/>
        <w:rPr>
          <w:noProof/>
        </w:rPr>
      </w:pPr>
      <w:hyperlink w:anchor="_Toc5894" w:history="1">
        <w:r w:rsidR="005B091D">
          <w:rPr>
            <w:rFonts w:ascii="黑体" w:eastAsia="黑体" w:hAnsi="黑体" w:hint="eastAsia"/>
            <w:noProof/>
            <w:szCs w:val="30"/>
          </w:rPr>
          <w:t>五、</w:t>
        </w:r>
        <w:r w:rsidR="005B091D">
          <w:rPr>
            <w:rFonts w:ascii="黑体" w:eastAsia="黑体" w:hAnsi="黑体"/>
            <w:noProof/>
            <w:szCs w:val="30"/>
          </w:rPr>
          <w:t>践行绿色发展理念，</w:t>
        </w:r>
        <w:r w:rsidR="00581FE3">
          <w:rPr>
            <w:rFonts w:ascii="黑体" w:eastAsia="黑体" w:hAnsi="黑体" w:hint="eastAsia"/>
            <w:noProof/>
            <w:szCs w:val="30"/>
          </w:rPr>
          <w:t>提升</w:t>
        </w:r>
        <w:r w:rsidR="005B091D">
          <w:rPr>
            <w:rFonts w:ascii="黑体" w:eastAsia="黑体" w:hAnsi="黑体"/>
            <w:noProof/>
            <w:szCs w:val="30"/>
          </w:rPr>
          <w:t>县域生态格局</w:t>
        </w:r>
        <w:r w:rsidR="005B091D">
          <w:rPr>
            <w:noProof/>
          </w:rPr>
          <w:tab/>
        </w:r>
        <w:r>
          <w:rPr>
            <w:noProof/>
          </w:rPr>
          <w:fldChar w:fldCharType="begin"/>
        </w:r>
        <w:r w:rsidR="005B091D">
          <w:rPr>
            <w:noProof/>
          </w:rPr>
          <w:instrText xml:space="preserve"> PAGEREF _Toc5894 \h </w:instrText>
        </w:r>
        <w:r>
          <w:rPr>
            <w:noProof/>
          </w:rPr>
        </w:r>
        <w:r>
          <w:rPr>
            <w:noProof/>
          </w:rPr>
          <w:fldChar w:fldCharType="separate"/>
        </w:r>
        <w:r w:rsidR="00550286">
          <w:rPr>
            <w:noProof/>
          </w:rPr>
          <w:t>53</w:t>
        </w:r>
        <w:r>
          <w:rPr>
            <w:noProof/>
          </w:rPr>
          <w:fldChar w:fldCharType="end"/>
        </w:r>
      </w:hyperlink>
    </w:p>
    <w:p w:rsidR="000B0562" w:rsidRDefault="00AB4814" w:rsidP="00E60008">
      <w:pPr>
        <w:pStyle w:val="30"/>
        <w:tabs>
          <w:tab w:val="right" w:leader="dot" w:pos="9025"/>
        </w:tabs>
        <w:spacing w:line="360" w:lineRule="exact"/>
        <w:rPr>
          <w:noProof/>
        </w:rPr>
      </w:pPr>
      <w:hyperlink w:anchor="_Toc3202" w:history="1">
        <w:r w:rsidR="005B091D">
          <w:rPr>
            <w:rFonts w:ascii="黑体" w:eastAsia="黑体" w:hAnsi="黑体" w:hint="eastAsia"/>
            <w:noProof/>
            <w:szCs w:val="30"/>
          </w:rPr>
          <w:t>六、补齐民生领域短板，切实促进社会公平公正</w:t>
        </w:r>
        <w:r w:rsidR="005B091D">
          <w:rPr>
            <w:noProof/>
          </w:rPr>
          <w:tab/>
        </w:r>
        <w:r>
          <w:rPr>
            <w:noProof/>
          </w:rPr>
          <w:fldChar w:fldCharType="begin"/>
        </w:r>
        <w:r w:rsidR="005B091D">
          <w:rPr>
            <w:noProof/>
          </w:rPr>
          <w:instrText xml:space="preserve"> PAGEREF _Toc3202 \h </w:instrText>
        </w:r>
        <w:r>
          <w:rPr>
            <w:noProof/>
          </w:rPr>
        </w:r>
        <w:r>
          <w:rPr>
            <w:noProof/>
          </w:rPr>
          <w:fldChar w:fldCharType="separate"/>
        </w:r>
        <w:r w:rsidR="00550286">
          <w:rPr>
            <w:noProof/>
          </w:rPr>
          <w:t>54</w:t>
        </w:r>
        <w:r>
          <w:rPr>
            <w:noProof/>
          </w:rPr>
          <w:fldChar w:fldCharType="end"/>
        </w:r>
      </w:hyperlink>
    </w:p>
    <w:p w:rsidR="000B0562" w:rsidRDefault="00AB4814" w:rsidP="00E60008">
      <w:pPr>
        <w:pStyle w:val="30"/>
        <w:tabs>
          <w:tab w:val="right" w:leader="dot" w:pos="9025"/>
        </w:tabs>
        <w:spacing w:line="360" w:lineRule="exact"/>
        <w:rPr>
          <w:noProof/>
        </w:rPr>
      </w:pPr>
      <w:hyperlink w:anchor="_Toc20960" w:history="1">
        <w:r w:rsidR="005B091D">
          <w:rPr>
            <w:rFonts w:ascii="黑体" w:eastAsia="黑体" w:hAnsi="黑体" w:hint="eastAsia"/>
            <w:noProof/>
            <w:szCs w:val="30"/>
          </w:rPr>
          <w:t>七、</w:t>
        </w:r>
        <w:r w:rsidR="005B091D">
          <w:rPr>
            <w:rFonts w:ascii="黑体" w:eastAsia="黑体" w:hAnsi="黑体"/>
            <w:noProof/>
            <w:szCs w:val="30"/>
          </w:rPr>
          <w:t>做好规划总结研究，备战下一个五年规划</w:t>
        </w:r>
        <w:r w:rsidR="005B091D">
          <w:rPr>
            <w:noProof/>
          </w:rPr>
          <w:tab/>
        </w:r>
        <w:r>
          <w:rPr>
            <w:noProof/>
          </w:rPr>
          <w:fldChar w:fldCharType="begin"/>
        </w:r>
        <w:r w:rsidR="005B091D">
          <w:rPr>
            <w:noProof/>
          </w:rPr>
          <w:instrText xml:space="preserve"> PAGEREF _Toc20960 \h </w:instrText>
        </w:r>
        <w:r>
          <w:rPr>
            <w:noProof/>
          </w:rPr>
        </w:r>
        <w:r>
          <w:rPr>
            <w:noProof/>
          </w:rPr>
          <w:fldChar w:fldCharType="separate"/>
        </w:r>
        <w:r w:rsidR="00550286">
          <w:rPr>
            <w:noProof/>
          </w:rPr>
          <w:t>56</w:t>
        </w:r>
        <w:r>
          <w:rPr>
            <w:noProof/>
          </w:rPr>
          <w:fldChar w:fldCharType="end"/>
        </w:r>
      </w:hyperlink>
    </w:p>
    <w:p w:rsidR="000B0562" w:rsidRDefault="00AB4814" w:rsidP="00E60008">
      <w:pPr>
        <w:pStyle w:val="10"/>
        <w:tabs>
          <w:tab w:val="right" w:leader="dot" w:pos="9025"/>
        </w:tabs>
        <w:spacing w:line="360" w:lineRule="exact"/>
        <w:rPr>
          <w:noProof/>
        </w:rPr>
      </w:pPr>
      <w:hyperlink w:anchor="_Toc17922" w:history="1">
        <w:r w:rsidR="005B091D">
          <w:rPr>
            <w:rFonts w:ascii="黑体" w:eastAsia="黑体" w:hAnsi="黑体" w:hint="eastAsia"/>
            <w:bCs/>
            <w:noProof/>
            <w:szCs w:val="36"/>
          </w:rPr>
          <w:t xml:space="preserve">第六章 </w:t>
        </w:r>
        <w:r w:rsidR="005B091D">
          <w:rPr>
            <w:rFonts w:ascii="黑体" w:eastAsia="黑体" w:hAnsi="黑体"/>
            <w:noProof/>
            <w:szCs w:val="36"/>
          </w:rPr>
          <w:t>部分滞后指标的情况说明</w:t>
        </w:r>
        <w:r w:rsidR="005B091D">
          <w:rPr>
            <w:noProof/>
          </w:rPr>
          <w:tab/>
        </w:r>
        <w:r>
          <w:rPr>
            <w:noProof/>
          </w:rPr>
          <w:fldChar w:fldCharType="begin"/>
        </w:r>
        <w:r w:rsidR="005B091D">
          <w:rPr>
            <w:noProof/>
          </w:rPr>
          <w:instrText xml:space="preserve"> PAGEREF _Toc17922 \h </w:instrText>
        </w:r>
        <w:r>
          <w:rPr>
            <w:noProof/>
          </w:rPr>
        </w:r>
        <w:r>
          <w:rPr>
            <w:noProof/>
          </w:rPr>
          <w:fldChar w:fldCharType="separate"/>
        </w:r>
        <w:r w:rsidR="00550286">
          <w:rPr>
            <w:noProof/>
          </w:rPr>
          <w:t>58</w:t>
        </w:r>
        <w:r>
          <w:rPr>
            <w:noProof/>
          </w:rPr>
          <w:fldChar w:fldCharType="end"/>
        </w:r>
      </w:hyperlink>
    </w:p>
    <w:p w:rsidR="000B0562" w:rsidRDefault="00AB4814" w:rsidP="00E60008">
      <w:pPr>
        <w:pStyle w:val="30"/>
        <w:tabs>
          <w:tab w:val="right" w:leader="dot" w:pos="9025"/>
        </w:tabs>
        <w:spacing w:line="360" w:lineRule="exact"/>
        <w:rPr>
          <w:noProof/>
        </w:rPr>
      </w:pPr>
      <w:hyperlink w:anchor="_Toc15322" w:history="1">
        <w:r w:rsidR="005B091D">
          <w:rPr>
            <w:rFonts w:ascii="黑体" w:eastAsia="黑体" w:hAnsi="黑体" w:hint="eastAsia"/>
            <w:noProof/>
            <w:szCs w:val="32"/>
          </w:rPr>
          <w:t>一、预期性指标难以实现的情况说明</w:t>
        </w:r>
        <w:r w:rsidR="005B091D">
          <w:rPr>
            <w:noProof/>
          </w:rPr>
          <w:tab/>
        </w:r>
        <w:r>
          <w:rPr>
            <w:noProof/>
          </w:rPr>
          <w:fldChar w:fldCharType="begin"/>
        </w:r>
        <w:r w:rsidR="005B091D">
          <w:rPr>
            <w:noProof/>
          </w:rPr>
          <w:instrText xml:space="preserve"> PAGEREF _Toc15322 \h </w:instrText>
        </w:r>
        <w:r>
          <w:rPr>
            <w:noProof/>
          </w:rPr>
        </w:r>
        <w:r>
          <w:rPr>
            <w:noProof/>
          </w:rPr>
          <w:fldChar w:fldCharType="separate"/>
        </w:r>
        <w:r w:rsidR="00550286">
          <w:rPr>
            <w:noProof/>
          </w:rPr>
          <w:t>58</w:t>
        </w:r>
        <w:r>
          <w:rPr>
            <w:noProof/>
          </w:rPr>
          <w:fldChar w:fldCharType="end"/>
        </w:r>
      </w:hyperlink>
    </w:p>
    <w:p w:rsidR="000B0562" w:rsidRDefault="00AB4814" w:rsidP="00E60008">
      <w:pPr>
        <w:pStyle w:val="30"/>
        <w:tabs>
          <w:tab w:val="right" w:leader="dot" w:pos="9025"/>
        </w:tabs>
        <w:spacing w:line="360" w:lineRule="exact"/>
        <w:rPr>
          <w:noProof/>
        </w:rPr>
      </w:pPr>
      <w:hyperlink w:anchor="_Toc18118" w:history="1">
        <w:r w:rsidR="005B091D">
          <w:rPr>
            <w:rFonts w:ascii="黑体" w:eastAsia="黑体" w:hAnsi="黑体" w:hint="eastAsia"/>
            <w:noProof/>
            <w:szCs w:val="32"/>
          </w:rPr>
          <w:t>二、约束性指标难以实现的情况说明</w:t>
        </w:r>
        <w:r w:rsidR="005B091D">
          <w:rPr>
            <w:noProof/>
          </w:rPr>
          <w:tab/>
        </w:r>
        <w:r>
          <w:rPr>
            <w:noProof/>
          </w:rPr>
          <w:fldChar w:fldCharType="begin"/>
        </w:r>
        <w:r w:rsidR="005B091D">
          <w:rPr>
            <w:noProof/>
          </w:rPr>
          <w:instrText xml:space="preserve"> PAGEREF _Toc18118 \h </w:instrText>
        </w:r>
        <w:r>
          <w:rPr>
            <w:noProof/>
          </w:rPr>
        </w:r>
        <w:r>
          <w:rPr>
            <w:noProof/>
          </w:rPr>
          <w:fldChar w:fldCharType="separate"/>
        </w:r>
        <w:r w:rsidR="00550286">
          <w:rPr>
            <w:noProof/>
          </w:rPr>
          <w:t>59</w:t>
        </w:r>
        <w:r>
          <w:rPr>
            <w:noProof/>
          </w:rPr>
          <w:fldChar w:fldCharType="end"/>
        </w:r>
      </w:hyperlink>
    </w:p>
    <w:p w:rsidR="000B0562" w:rsidRDefault="00AB4814" w:rsidP="00E60008">
      <w:pPr>
        <w:pStyle w:val="30"/>
        <w:tabs>
          <w:tab w:val="right" w:leader="dot" w:pos="9025"/>
        </w:tabs>
        <w:spacing w:line="360" w:lineRule="exact"/>
        <w:rPr>
          <w:noProof/>
        </w:rPr>
      </w:pPr>
      <w:hyperlink w:anchor="_Toc30488" w:history="1">
        <w:r w:rsidR="005B091D">
          <w:rPr>
            <w:rFonts w:ascii="黑体" w:eastAsia="黑体" w:hAnsi="黑体" w:hint="eastAsia"/>
            <w:noProof/>
            <w:szCs w:val="32"/>
          </w:rPr>
          <w:t>三、约束性指标预计可实现预期目标</w:t>
        </w:r>
        <w:r w:rsidR="005B091D">
          <w:rPr>
            <w:noProof/>
          </w:rPr>
          <w:tab/>
        </w:r>
        <w:r>
          <w:rPr>
            <w:noProof/>
          </w:rPr>
          <w:fldChar w:fldCharType="begin"/>
        </w:r>
        <w:r w:rsidR="005B091D">
          <w:rPr>
            <w:noProof/>
          </w:rPr>
          <w:instrText xml:space="preserve"> PAGEREF _Toc30488 \h </w:instrText>
        </w:r>
        <w:r>
          <w:rPr>
            <w:noProof/>
          </w:rPr>
        </w:r>
        <w:r>
          <w:rPr>
            <w:noProof/>
          </w:rPr>
          <w:fldChar w:fldCharType="separate"/>
        </w:r>
        <w:r w:rsidR="00550286">
          <w:rPr>
            <w:noProof/>
          </w:rPr>
          <w:t>61</w:t>
        </w:r>
        <w:r>
          <w:rPr>
            <w:noProof/>
          </w:rPr>
          <w:fldChar w:fldCharType="end"/>
        </w:r>
      </w:hyperlink>
    </w:p>
    <w:p w:rsidR="000B0562" w:rsidRDefault="00AB4814" w:rsidP="00E60008">
      <w:pPr>
        <w:pStyle w:val="30"/>
        <w:tabs>
          <w:tab w:val="right" w:leader="dot" w:pos="9025"/>
        </w:tabs>
        <w:spacing w:line="360" w:lineRule="exact"/>
        <w:rPr>
          <w:noProof/>
        </w:rPr>
      </w:pPr>
      <w:hyperlink w:anchor="_Toc28557" w:history="1">
        <w:r w:rsidR="005B091D">
          <w:rPr>
            <w:rFonts w:ascii="黑体" w:eastAsia="黑体" w:hAnsi="黑体" w:hint="eastAsia"/>
            <w:noProof/>
            <w:szCs w:val="32"/>
          </w:rPr>
          <w:t>四、</w:t>
        </w:r>
        <w:r w:rsidR="005B091D">
          <w:rPr>
            <w:rFonts w:ascii="黑体" w:eastAsia="黑体" w:hAnsi="黑体"/>
            <w:noProof/>
            <w:szCs w:val="32"/>
          </w:rPr>
          <w:t>预期性指标预计可实现预期目标</w:t>
        </w:r>
        <w:r w:rsidR="005B091D">
          <w:rPr>
            <w:noProof/>
          </w:rPr>
          <w:tab/>
        </w:r>
        <w:r>
          <w:rPr>
            <w:noProof/>
          </w:rPr>
          <w:fldChar w:fldCharType="begin"/>
        </w:r>
        <w:r w:rsidR="005B091D">
          <w:rPr>
            <w:noProof/>
          </w:rPr>
          <w:instrText xml:space="preserve"> PAGEREF _Toc28557 \h </w:instrText>
        </w:r>
        <w:r>
          <w:rPr>
            <w:noProof/>
          </w:rPr>
        </w:r>
        <w:r>
          <w:rPr>
            <w:noProof/>
          </w:rPr>
          <w:fldChar w:fldCharType="separate"/>
        </w:r>
        <w:r w:rsidR="00550286">
          <w:rPr>
            <w:noProof/>
          </w:rPr>
          <w:t>61</w:t>
        </w:r>
        <w:r>
          <w:rPr>
            <w:noProof/>
          </w:rPr>
          <w:fldChar w:fldCharType="end"/>
        </w:r>
      </w:hyperlink>
    </w:p>
    <w:p w:rsidR="000B0562" w:rsidRDefault="00AB4814" w:rsidP="00E60008">
      <w:pPr>
        <w:pStyle w:val="10"/>
        <w:tabs>
          <w:tab w:val="right" w:leader="dot" w:pos="9025"/>
        </w:tabs>
        <w:spacing w:line="360" w:lineRule="exact"/>
        <w:rPr>
          <w:noProof/>
        </w:rPr>
      </w:pPr>
      <w:hyperlink w:anchor="_Toc16383" w:history="1">
        <w:r w:rsidR="005B091D">
          <w:rPr>
            <w:rFonts w:ascii="黑体" w:eastAsia="黑体" w:hAnsi="黑体" w:hint="eastAsia"/>
            <w:bCs/>
            <w:noProof/>
            <w:szCs w:val="36"/>
          </w:rPr>
          <w:t xml:space="preserve">第七章 </w:t>
        </w:r>
        <w:r w:rsidR="005B091D">
          <w:rPr>
            <w:rFonts w:ascii="黑体" w:eastAsia="黑体" w:hAnsi="黑体"/>
            <w:noProof/>
            <w:szCs w:val="36"/>
          </w:rPr>
          <w:t>纲要局部修改的内容建议</w:t>
        </w:r>
        <w:r w:rsidR="005B091D">
          <w:rPr>
            <w:noProof/>
          </w:rPr>
          <w:tab/>
        </w:r>
        <w:r>
          <w:rPr>
            <w:noProof/>
          </w:rPr>
          <w:fldChar w:fldCharType="begin"/>
        </w:r>
        <w:r w:rsidR="005B091D">
          <w:rPr>
            <w:noProof/>
          </w:rPr>
          <w:instrText xml:space="preserve"> PAGEREF _Toc16383 \h </w:instrText>
        </w:r>
        <w:r>
          <w:rPr>
            <w:noProof/>
          </w:rPr>
        </w:r>
        <w:r>
          <w:rPr>
            <w:noProof/>
          </w:rPr>
          <w:fldChar w:fldCharType="separate"/>
        </w:r>
        <w:r w:rsidR="00550286">
          <w:rPr>
            <w:noProof/>
          </w:rPr>
          <w:t>63</w:t>
        </w:r>
        <w:r>
          <w:rPr>
            <w:noProof/>
          </w:rPr>
          <w:fldChar w:fldCharType="end"/>
        </w:r>
      </w:hyperlink>
    </w:p>
    <w:p w:rsidR="000B0562" w:rsidRDefault="00AB4814" w:rsidP="00E60008">
      <w:pPr>
        <w:pStyle w:val="30"/>
        <w:tabs>
          <w:tab w:val="right" w:leader="dot" w:pos="9025"/>
        </w:tabs>
        <w:spacing w:line="360" w:lineRule="exact"/>
        <w:rPr>
          <w:noProof/>
        </w:rPr>
      </w:pPr>
      <w:hyperlink w:anchor="_Toc10699" w:history="1">
        <w:r w:rsidR="005B091D">
          <w:rPr>
            <w:rFonts w:ascii="黑体" w:eastAsia="黑体" w:hAnsi="黑体" w:hint="eastAsia"/>
            <w:noProof/>
            <w:szCs w:val="30"/>
          </w:rPr>
          <w:t>一、</w:t>
        </w:r>
        <w:r w:rsidR="005B091D">
          <w:rPr>
            <w:rFonts w:ascii="黑体" w:eastAsia="黑体" w:hAnsi="黑体"/>
            <w:noProof/>
            <w:szCs w:val="30"/>
          </w:rPr>
          <w:t>纲要修改的缘由</w:t>
        </w:r>
        <w:r w:rsidR="005B091D">
          <w:rPr>
            <w:noProof/>
          </w:rPr>
          <w:tab/>
        </w:r>
        <w:r>
          <w:rPr>
            <w:noProof/>
          </w:rPr>
          <w:fldChar w:fldCharType="begin"/>
        </w:r>
        <w:r w:rsidR="005B091D">
          <w:rPr>
            <w:noProof/>
          </w:rPr>
          <w:instrText xml:space="preserve"> PAGEREF _Toc10699 \h </w:instrText>
        </w:r>
        <w:r>
          <w:rPr>
            <w:noProof/>
          </w:rPr>
        </w:r>
        <w:r>
          <w:rPr>
            <w:noProof/>
          </w:rPr>
          <w:fldChar w:fldCharType="separate"/>
        </w:r>
        <w:r w:rsidR="00550286">
          <w:rPr>
            <w:noProof/>
          </w:rPr>
          <w:t>63</w:t>
        </w:r>
        <w:r>
          <w:rPr>
            <w:noProof/>
          </w:rPr>
          <w:fldChar w:fldCharType="end"/>
        </w:r>
      </w:hyperlink>
    </w:p>
    <w:p w:rsidR="000B0562" w:rsidRDefault="00AB4814" w:rsidP="00E60008">
      <w:pPr>
        <w:pStyle w:val="30"/>
        <w:tabs>
          <w:tab w:val="right" w:leader="dot" w:pos="9025"/>
        </w:tabs>
        <w:spacing w:line="360" w:lineRule="exact"/>
        <w:rPr>
          <w:noProof/>
        </w:rPr>
      </w:pPr>
      <w:hyperlink w:anchor="_Toc13725" w:history="1">
        <w:r w:rsidR="005B091D">
          <w:rPr>
            <w:rFonts w:ascii="黑体" w:eastAsia="黑体" w:hAnsi="黑体" w:hint="eastAsia"/>
            <w:noProof/>
            <w:szCs w:val="30"/>
          </w:rPr>
          <w:t>二、</w:t>
        </w:r>
        <w:r w:rsidR="005B091D">
          <w:rPr>
            <w:rFonts w:ascii="黑体" w:eastAsia="黑体" w:hAnsi="黑体"/>
            <w:noProof/>
            <w:szCs w:val="30"/>
          </w:rPr>
          <w:t>纲要修改的原则</w:t>
        </w:r>
        <w:r w:rsidR="005B091D">
          <w:rPr>
            <w:noProof/>
          </w:rPr>
          <w:tab/>
        </w:r>
        <w:r>
          <w:rPr>
            <w:noProof/>
          </w:rPr>
          <w:fldChar w:fldCharType="begin"/>
        </w:r>
        <w:r w:rsidR="005B091D">
          <w:rPr>
            <w:noProof/>
          </w:rPr>
          <w:instrText xml:space="preserve"> PAGEREF _Toc13725 \h </w:instrText>
        </w:r>
        <w:r>
          <w:rPr>
            <w:noProof/>
          </w:rPr>
        </w:r>
        <w:r>
          <w:rPr>
            <w:noProof/>
          </w:rPr>
          <w:fldChar w:fldCharType="separate"/>
        </w:r>
        <w:r w:rsidR="00550286">
          <w:rPr>
            <w:noProof/>
          </w:rPr>
          <w:t>64</w:t>
        </w:r>
        <w:r>
          <w:rPr>
            <w:noProof/>
          </w:rPr>
          <w:fldChar w:fldCharType="end"/>
        </w:r>
      </w:hyperlink>
    </w:p>
    <w:p w:rsidR="000B0562" w:rsidRDefault="00AB4814" w:rsidP="00E60008">
      <w:pPr>
        <w:pStyle w:val="30"/>
        <w:tabs>
          <w:tab w:val="right" w:leader="dot" w:pos="9025"/>
        </w:tabs>
        <w:spacing w:line="360" w:lineRule="exact"/>
        <w:rPr>
          <w:noProof/>
        </w:rPr>
      </w:pPr>
      <w:hyperlink w:anchor="_Toc7033" w:history="1">
        <w:r w:rsidR="005B091D">
          <w:rPr>
            <w:rFonts w:ascii="黑体" w:eastAsia="黑体" w:hAnsi="黑体" w:hint="eastAsia"/>
            <w:noProof/>
            <w:szCs w:val="30"/>
          </w:rPr>
          <w:t>三、纲要修改的建议</w:t>
        </w:r>
        <w:r w:rsidR="005B091D">
          <w:rPr>
            <w:noProof/>
          </w:rPr>
          <w:tab/>
        </w:r>
        <w:r>
          <w:rPr>
            <w:noProof/>
          </w:rPr>
          <w:fldChar w:fldCharType="begin"/>
        </w:r>
        <w:r w:rsidR="005B091D">
          <w:rPr>
            <w:noProof/>
          </w:rPr>
          <w:instrText xml:space="preserve"> PAGEREF _Toc7033 \h </w:instrText>
        </w:r>
        <w:r>
          <w:rPr>
            <w:noProof/>
          </w:rPr>
        </w:r>
        <w:r>
          <w:rPr>
            <w:noProof/>
          </w:rPr>
          <w:fldChar w:fldCharType="separate"/>
        </w:r>
        <w:r w:rsidR="00550286">
          <w:rPr>
            <w:noProof/>
          </w:rPr>
          <w:t>65</w:t>
        </w:r>
        <w:r>
          <w:rPr>
            <w:noProof/>
          </w:rPr>
          <w:fldChar w:fldCharType="end"/>
        </w:r>
      </w:hyperlink>
    </w:p>
    <w:p w:rsidR="000B0562" w:rsidRDefault="00AB4814">
      <w:pPr>
        <w:pStyle w:val="30"/>
        <w:tabs>
          <w:tab w:val="right" w:leader="dot" w:pos="9015"/>
        </w:tabs>
        <w:spacing w:line="360" w:lineRule="exact"/>
        <w:rPr>
          <w:rFonts w:ascii="黑体" w:eastAsia="黑体" w:hAnsi="黑体"/>
          <w:color w:val="000000" w:themeColor="text1"/>
          <w:sz w:val="36"/>
          <w:szCs w:val="36"/>
        </w:rPr>
        <w:sectPr w:rsidR="000B0562">
          <w:footerReference w:type="default" r:id="rId9"/>
          <w:pgSz w:w="11906" w:h="16838"/>
          <w:pgMar w:top="1157" w:right="1157" w:bottom="1157" w:left="1157" w:header="822" w:footer="822" w:gutter="567"/>
          <w:pgNumType w:start="1"/>
          <w:cols w:space="425"/>
          <w:docGrid w:type="lines" w:linePitch="312"/>
        </w:sectPr>
      </w:pPr>
      <w:r>
        <w:rPr>
          <w:rFonts w:ascii="黑体" w:eastAsia="黑体" w:hAnsi="黑体"/>
          <w:color w:val="000000" w:themeColor="text1"/>
        </w:rPr>
        <w:fldChar w:fldCharType="end"/>
      </w:r>
    </w:p>
    <w:p w:rsidR="000B0562" w:rsidRPr="009978E1" w:rsidRDefault="005B091D" w:rsidP="009978E1">
      <w:pPr>
        <w:pStyle w:val="1"/>
        <w:spacing w:before="360" w:after="240" w:line="360" w:lineRule="auto"/>
        <w:jc w:val="center"/>
        <w:rPr>
          <w:rFonts w:ascii="黑体" w:eastAsia="黑体" w:hAnsi="黑体"/>
          <w:b w:val="0"/>
          <w:bCs w:val="0"/>
          <w:color w:val="000000" w:themeColor="text1"/>
          <w:sz w:val="36"/>
          <w:szCs w:val="36"/>
        </w:rPr>
      </w:pPr>
      <w:bookmarkStart w:id="0" w:name="_Toc12421"/>
      <w:r w:rsidRPr="009978E1">
        <w:rPr>
          <w:rFonts w:ascii="黑体" w:eastAsia="黑体" w:hAnsi="黑体" w:hint="eastAsia"/>
          <w:b w:val="0"/>
          <w:bCs w:val="0"/>
          <w:color w:val="000000" w:themeColor="text1"/>
          <w:sz w:val="36"/>
          <w:szCs w:val="36"/>
        </w:rPr>
        <w:lastRenderedPageBreak/>
        <w:t>纲要实施的中期评估总则</w:t>
      </w:r>
      <w:bookmarkEnd w:id="0"/>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2021年1月，溆浦县第十七届人民代表大会第七次会议批准的《溆浦县国民经济和社会发展第十四个五年规划和二〇三五年远景目标纲要》(以下简称：纲要)是全面建设社会主义现代化新溆浦开局起步的首个五年规划。截至2023年6月30日，《纲要》已实施两年半，这是溆浦转型发展最为重要和关键的阶段，特别是，党的二十大报告提出了一系列治国理政新理念新思想新战略，为溆浦发展提供了根本遵循。开展规划中期评估是深入学习贯彻习近平新时代中国特色社会主义思想和党的二十大精神、省第十二次党代会精神，完整、准确、全面贯彻新发展理念，服务和融入新发展格局，着力推动高水平开放高质量发展，聚焦现代化新溆浦建设开局起步的重要举措。</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1" w:name="_Toc22269"/>
      <w:r>
        <w:rPr>
          <w:rFonts w:ascii="黑体" w:eastAsia="黑体" w:hAnsi="黑体" w:hint="eastAsia"/>
          <w:b w:val="0"/>
          <w:bCs w:val="0"/>
          <w:color w:val="000000" w:themeColor="text1"/>
        </w:rPr>
        <w:t>一、</w:t>
      </w:r>
      <w:r>
        <w:rPr>
          <w:rFonts w:ascii="黑体" w:eastAsia="黑体" w:hAnsi="黑体"/>
          <w:b w:val="0"/>
          <w:bCs w:val="0"/>
          <w:color w:val="000000" w:themeColor="text1"/>
        </w:rPr>
        <w:t>前言</w:t>
      </w:r>
      <w:bookmarkEnd w:id="1"/>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从2021年1月1日到2023年6月30日，《溆浦县国民经济和社会发展第十四个五年规划和二〇三五年远景目标纲要》已经实施两年半。这两年多时间是溆浦经济社会发展非常重要和关键的时期，特别是，党的二十大报告提出建设有中国特色的社会主义的重大命题，确定了新时代的指导思想，提出了新时代的战略举措，为溆浦发展提供了根本遵</w:t>
      </w:r>
      <w:r>
        <w:rPr>
          <w:rFonts w:ascii="仿宋_GB2312" w:eastAsia="仿宋_GB2312" w:hAnsi="仿宋_GB2312" w:cs="仿宋_GB2312" w:hint="eastAsia"/>
          <w:color w:val="000000" w:themeColor="text1"/>
          <w:sz w:val="32"/>
          <w:szCs w:val="32"/>
        </w:rPr>
        <w:lastRenderedPageBreak/>
        <w:t>循；总书记在湖南考察调研时强调，在推动高质量发展上闯出新路子，在构建新发展格局中展现新作为，在推动中部地区崛起和长江经济带发展中彰显新担当，奋力谱写新时代坚持和发展中国特色社会主义的湖南新篇章；省委书记沈晓明来怀调研提出怀化要为打造内陆地区改革开放高地作出新贡献，为怀化发展指明了路径和方向，省委、省政府大力支持怀化国际陆港建设，赋予怀化建设湖南融入共建“一带一路”的重要门户和全省唯一的东盟货运集结中心的重大历史使命，对怀化发挥辐射带动作用提出了更高要求。市委、市政府提出了着力建设对接西部陆海新通道战略门户城市、五省边区生态文明中心城市、武陵山片区高质量发展示范区的新定位，明确怀化新时代新征程。因此，结合新形势、新变化、新要求，按照《中华人民共和国各级人民代表大会常务委员会监督法》、《国家发展改革委关于开展“十四五”规划实施中期评估工作的通知》、《湖南省人民代表大会常务委员会关于加强经济工作监督的决定》、《湖南省发展和改革委员会关于开展全省“十四五”规划实施情况中期评估工作的通知》（湘发改规划[2023]166号）和《怀化市发展和改革委员会关于开展全市“十四五”规划实施情况中期评估工作的通知》（怀发改规划[2023]1号）的要求，本报告对《纲要》实施情况进行系统评估，并在深入分析存在的主要问题和挑战基础上，提出对《纲要》修编和调整的建议，以及推进《纲要》落实的</w:t>
      </w:r>
      <w:r>
        <w:rPr>
          <w:rFonts w:ascii="仿宋_GB2312" w:eastAsia="仿宋_GB2312" w:hAnsi="仿宋_GB2312" w:cs="仿宋_GB2312" w:hint="eastAsia"/>
          <w:color w:val="000000" w:themeColor="text1"/>
          <w:sz w:val="32"/>
          <w:szCs w:val="32"/>
        </w:rPr>
        <w:lastRenderedPageBreak/>
        <w:t>对策建议，从而更好地完成各项目标任务。</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2" w:name="_Toc14799"/>
      <w:r>
        <w:rPr>
          <w:rFonts w:ascii="黑体" w:eastAsia="黑体" w:hAnsi="黑体" w:hint="eastAsia"/>
          <w:b w:val="0"/>
          <w:bCs w:val="0"/>
          <w:color w:val="000000" w:themeColor="text1"/>
        </w:rPr>
        <w:t>二、</w:t>
      </w:r>
      <w:r>
        <w:rPr>
          <w:rFonts w:ascii="黑体" w:eastAsia="黑体" w:hAnsi="黑体"/>
          <w:b w:val="0"/>
          <w:bCs w:val="0"/>
          <w:color w:val="000000" w:themeColor="text1"/>
        </w:rPr>
        <w:t>纲要中期评估的目的</w:t>
      </w:r>
      <w:bookmarkEnd w:id="2"/>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四五”规划时期是我县转型发展最为关键的阶段，为了更好地落实《溆浦县国民经济和社会发展第十四个五年规划和二〇三五年远景目标纲要》，在“十四五”规划实施中期的重要时间节点，全面评估“十四五”规划实施情况，客观评价规划实施取得的进展成效，深入剖析实施中出现的问题，提出改进规划实施的对策建议，以评估促发展，从而更好地完成“十四五”发展规划提出的各项目标。</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3" w:name="_Toc4955"/>
      <w:r>
        <w:rPr>
          <w:rFonts w:ascii="黑体" w:eastAsia="黑体" w:hAnsi="黑体" w:hint="eastAsia"/>
          <w:b w:val="0"/>
          <w:bCs w:val="0"/>
          <w:color w:val="000000" w:themeColor="text1"/>
        </w:rPr>
        <w:t>三、</w:t>
      </w:r>
      <w:r>
        <w:rPr>
          <w:rFonts w:ascii="黑体" w:eastAsia="黑体" w:hAnsi="黑体"/>
          <w:b w:val="0"/>
          <w:bCs w:val="0"/>
          <w:color w:val="000000" w:themeColor="text1"/>
        </w:rPr>
        <w:t>评估工作的组织实施</w:t>
      </w:r>
      <w:bookmarkEnd w:id="3"/>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全面贯彻落实党的二十大精神的基础上，坚持问题导向和系统观念，立足更好发挥发展规划的战略导向作用，聚焦重点、难点和关键点，总结成绩、查找短板、分析原因、提出对策，注重挖掘深层次矛盾和风险隐患，及时发现新情况新问题，明确规划实施后半程的重点任务和要求。溆浦县按照《怀化市发展和改革委员会关于开展全市“十四五规划实施情况中期评估工作的通知》的责任分工，对“十四五”规划纲要的主要指标、重点任务及重大项目进展情况进行评估。规划中期评估采用的数据中，年度数据截止时点为2022年12月31日，月度数据截止时点为2023年6月30日，中期评估涉及的任务进展情况截止时点为2023年6月30日。</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4" w:name="_Toc12958"/>
      <w:r>
        <w:rPr>
          <w:rFonts w:ascii="黑体" w:eastAsia="黑体" w:hAnsi="黑体" w:hint="eastAsia"/>
          <w:b w:val="0"/>
          <w:bCs w:val="0"/>
          <w:color w:val="000000" w:themeColor="text1"/>
        </w:rPr>
        <w:lastRenderedPageBreak/>
        <w:t>四、</w:t>
      </w:r>
      <w:r>
        <w:rPr>
          <w:rFonts w:ascii="黑体" w:eastAsia="黑体" w:hAnsi="黑体"/>
          <w:b w:val="0"/>
          <w:bCs w:val="0"/>
          <w:color w:val="000000" w:themeColor="text1"/>
        </w:rPr>
        <w:t>中期评估的评估原则</w:t>
      </w:r>
      <w:bookmarkEnd w:id="4"/>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纲要》中期评估过程中，力求把握三个方面的原则：一是客观评价，肯定成绩。评估报告对“十四五”规划实施情况进行全面客观的评价，充分肯定《纲要》实施过程中取得的成绩；二是实事求是，找准问题。在评估报告中，不回避问题，以实事求是的态度，对《纲要》实施过程中存在的问题进行逐一分析，找准原因；三是突出重点，明确措施。针对存在的问题，提出切实可行的具体对策建议。</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5" w:name="_Toc31574"/>
      <w:r>
        <w:rPr>
          <w:rFonts w:ascii="黑体" w:eastAsia="黑体" w:hAnsi="黑体" w:hint="eastAsia"/>
          <w:b w:val="0"/>
          <w:bCs w:val="0"/>
          <w:color w:val="000000" w:themeColor="text1"/>
        </w:rPr>
        <w:t>五、中期评估的评估方法</w:t>
      </w:r>
      <w:bookmarkEnd w:id="5"/>
    </w:p>
    <w:p w:rsidR="000B0562" w:rsidRDefault="005B091D" w:rsidP="00A769A6">
      <w:pPr>
        <w:pStyle w:val="a8"/>
        <w:numPr>
          <w:ilvl w:val="0"/>
          <w:numId w:val="2"/>
        </w:numPr>
        <w:spacing w:line="616" w:lineRule="exact"/>
        <w:ind w:left="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定性评估与定量评估相结合</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在发展目标、重点任务等宏观层面评估上，以定性分析为主，力求得出发展形势和前景的准确判断。在主要指标和重大项目评估上，以定量评估为主，运用科学评价方法，对规划实施情况进行定量监测分析，客观反映规划落实情况。</w:t>
      </w:r>
    </w:p>
    <w:p w:rsidR="000B0562" w:rsidRDefault="005B091D" w:rsidP="00A769A6">
      <w:pPr>
        <w:pStyle w:val="a8"/>
        <w:numPr>
          <w:ilvl w:val="0"/>
          <w:numId w:val="2"/>
        </w:numPr>
        <w:spacing w:line="616" w:lineRule="exact"/>
        <w:ind w:left="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理论与实际相结合。</w:t>
      </w:r>
      <w:r>
        <w:rPr>
          <w:rFonts w:ascii="仿宋_GB2312" w:eastAsia="仿宋_GB2312" w:hAnsi="仿宋_GB2312" w:cs="仿宋_GB2312" w:hint="eastAsia"/>
          <w:color w:val="000000" w:themeColor="text1"/>
          <w:sz w:val="32"/>
          <w:szCs w:val="32"/>
        </w:rPr>
        <w:t>本中期评估报告紧密结合我县发展的实际，结合新时代国家战略，以及新的外部环境，对规划指标作进度测算和预测，同时对重点任务的推进情况、重大项目的建设情况进行评价，尽可能地根据所掌握的资料进行分析、对比和评估，充分肯定成绩、直面问题、寻找差距、预测未来，提出具有高可行性和高操作性的对策建议。</w:t>
      </w:r>
    </w:p>
    <w:p w:rsidR="000B0562" w:rsidRDefault="005B091D" w:rsidP="00A769A6">
      <w:pPr>
        <w:pStyle w:val="a8"/>
        <w:numPr>
          <w:ilvl w:val="0"/>
          <w:numId w:val="2"/>
        </w:numPr>
        <w:spacing w:line="616" w:lineRule="exact"/>
        <w:ind w:left="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案头分析与实地调研相结合。</w:t>
      </w:r>
      <w:r>
        <w:rPr>
          <w:rFonts w:ascii="仿宋_GB2312" w:eastAsia="仿宋_GB2312" w:hAnsi="仿宋_GB2312" w:cs="仿宋_GB2312" w:hint="eastAsia"/>
          <w:color w:val="000000" w:themeColor="text1"/>
          <w:sz w:val="32"/>
          <w:szCs w:val="32"/>
        </w:rPr>
        <w:t>本中期评估报告所采用的资料和数据部分来自《怀化市统计年鉴》、《溆浦县政府</w:t>
      </w:r>
      <w:r>
        <w:rPr>
          <w:rFonts w:ascii="仿宋_GB2312" w:eastAsia="仿宋_GB2312" w:hAnsi="仿宋_GB2312" w:cs="仿宋_GB2312" w:hint="eastAsia"/>
          <w:color w:val="000000" w:themeColor="text1"/>
          <w:sz w:val="32"/>
          <w:szCs w:val="32"/>
        </w:rPr>
        <w:lastRenderedPageBreak/>
        <w:t>统计公报》、《溆浦县政府工作报告》等权威资料，以及溆浦县职能部门对当地经济和社会发展所出的实地调查报告、研究和分析报告及内部汇报材料。</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6" w:name="_Toc28440"/>
      <w:r>
        <w:rPr>
          <w:rFonts w:ascii="黑体" w:eastAsia="黑体" w:hAnsi="黑体" w:hint="eastAsia"/>
          <w:b w:val="0"/>
          <w:bCs w:val="0"/>
          <w:color w:val="000000" w:themeColor="text1"/>
        </w:rPr>
        <w:t>六、中期评估的主要结论</w:t>
      </w:r>
      <w:bookmarkEnd w:id="6"/>
    </w:p>
    <w:p w:rsidR="000B0562" w:rsidRPr="009B3B15" w:rsidRDefault="005B091D">
      <w:pPr>
        <w:pStyle w:val="a8"/>
        <w:spacing w:line="616" w:lineRule="exact"/>
        <w:ind w:firstLine="640"/>
        <w:rPr>
          <w:rFonts w:ascii="仿宋_GB2312" w:eastAsia="仿宋_GB2312" w:hAnsi="仿宋_GB2312" w:cs="仿宋_GB2312"/>
          <w:color w:val="000000" w:themeColor="text1"/>
          <w:sz w:val="32"/>
          <w:szCs w:val="32"/>
        </w:rPr>
      </w:pPr>
      <w:r w:rsidRPr="009B3B15">
        <w:rPr>
          <w:rFonts w:ascii="仿宋_GB2312" w:eastAsia="仿宋_GB2312" w:hAnsi="仿宋_GB2312" w:cs="仿宋_GB2312" w:hint="eastAsia"/>
          <w:color w:val="000000" w:themeColor="text1"/>
          <w:sz w:val="32"/>
          <w:szCs w:val="32"/>
        </w:rPr>
        <w:t>纲要确定的主要指标25项，包括经济发展、创新驱动、民生福祉、绿色转型和安全保障5大类，其中预期性指标17项，约束性指标8项。经评估，1</w:t>
      </w:r>
      <w:r w:rsidR="006903CD" w:rsidRPr="009B3B15">
        <w:rPr>
          <w:rFonts w:ascii="仿宋_GB2312" w:eastAsia="仿宋_GB2312" w:hAnsi="仿宋_GB2312" w:cs="仿宋_GB2312"/>
          <w:color w:val="000000" w:themeColor="text1"/>
          <w:sz w:val="32"/>
          <w:szCs w:val="32"/>
        </w:rPr>
        <w:t>7</w:t>
      </w:r>
      <w:r w:rsidRPr="009B3B15">
        <w:rPr>
          <w:rFonts w:ascii="仿宋_GB2312" w:eastAsia="仿宋_GB2312" w:hAnsi="仿宋_GB2312" w:cs="仿宋_GB2312" w:hint="eastAsia"/>
          <w:color w:val="000000" w:themeColor="text1"/>
          <w:sz w:val="32"/>
          <w:szCs w:val="32"/>
        </w:rPr>
        <w:t>项指标将按序时进度完成（占</w:t>
      </w:r>
      <w:r w:rsidR="006903CD" w:rsidRPr="009B3B15">
        <w:rPr>
          <w:rFonts w:ascii="仿宋_GB2312" w:eastAsia="仿宋_GB2312" w:hAnsi="仿宋_GB2312" w:cs="仿宋_GB2312"/>
          <w:color w:val="000000" w:themeColor="text1"/>
          <w:sz w:val="32"/>
          <w:szCs w:val="32"/>
        </w:rPr>
        <w:t>68</w:t>
      </w:r>
      <w:r w:rsidRPr="009B3B15">
        <w:rPr>
          <w:rFonts w:ascii="仿宋_GB2312" w:eastAsia="仿宋_GB2312" w:hAnsi="仿宋_GB2312" w:cs="仿宋_GB2312" w:hint="eastAsia"/>
          <w:color w:val="000000" w:themeColor="text1"/>
          <w:sz w:val="32"/>
          <w:szCs w:val="32"/>
        </w:rPr>
        <w:t>.00%），5项指标不能按序时进度完成（占20.00%），</w:t>
      </w:r>
      <w:r w:rsidR="006903CD" w:rsidRPr="009B3B15">
        <w:rPr>
          <w:rFonts w:ascii="仿宋_GB2312" w:eastAsia="仿宋_GB2312" w:hAnsi="仿宋_GB2312" w:cs="仿宋_GB2312" w:hint="eastAsia"/>
          <w:color w:val="000000" w:themeColor="text1"/>
          <w:sz w:val="32"/>
          <w:szCs w:val="32"/>
        </w:rPr>
        <w:t>3</w:t>
      </w:r>
      <w:r w:rsidRPr="009B3B15">
        <w:rPr>
          <w:rFonts w:ascii="仿宋_GB2312" w:eastAsia="仿宋_GB2312" w:hAnsi="仿宋_GB2312" w:cs="仿宋_GB2312" w:hint="eastAsia"/>
          <w:color w:val="000000" w:themeColor="text1"/>
          <w:sz w:val="32"/>
          <w:szCs w:val="32"/>
        </w:rPr>
        <w:t>项指标缺乏相关统计数据暂无法比较（占</w:t>
      </w:r>
      <w:r w:rsidR="006903CD" w:rsidRPr="009B3B15">
        <w:rPr>
          <w:rFonts w:ascii="仿宋_GB2312" w:eastAsia="仿宋_GB2312" w:hAnsi="仿宋_GB2312" w:cs="仿宋_GB2312"/>
          <w:color w:val="000000" w:themeColor="text1"/>
          <w:sz w:val="32"/>
          <w:szCs w:val="32"/>
        </w:rPr>
        <w:t>12</w:t>
      </w:r>
      <w:r w:rsidRPr="009B3B15">
        <w:rPr>
          <w:rFonts w:ascii="仿宋_GB2312" w:eastAsia="仿宋_GB2312" w:hAnsi="仿宋_GB2312" w:cs="仿宋_GB2312" w:hint="eastAsia"/>
          <w:color w:val="000000" w:themeColor="text1"/>
          <w:sz w:val="32"/>
          <w:szCs w:val="32"/>
        </w:rPr>
        <w:t>.00%）。约束性指标(5项)将按序时进度完成率达62.50%、约束性指标(3项)不能按序时进度完成(占比37.5%)；预期性指标(1</w:t>
      </w:r>
      <w:r w:rsidR="006903CD" w:rsidRPr="009B3B15">
        <w:rPr>
          <w:rFonts w:ascii="仿宋_GB2312" w:eastAsia="仿宋_GB2312" w:hAnsi="仿宋_GB2312" w:cs="仿宋_GB2312"/>
          <w:color w:val="000000" w:themeColor="text1"/>
          <w:sz w:val="32"/>
          <w:szCs w:val="32"/>
        </w:rPr>
        <w:t>2</w:t>
      </w:r>
      <w:r w:rsidRPr="009B3B15">
        <w:rPr>
          <w:rFonts w:ascii="仿宋_GB2312" w:eastAsia="仿宋_GB2312" w:hAnsi="仿宋_GB2312" w:cs="仿宋_GB2312" w:hint="eastAsia"/>
          <w:color w:val="000000" w:themeColor="text1"/>
          <w:sz w:val="32"/>
          <w:szCs w:val="32"/>
        </w:rPr>
        <w:t>项)将按序时进度完成率达7</w:t>
      </w:r>
      <w:r w:rsidR="006903CD" w:rsidRPr="009B3B15">
        <w:rPr>
          <w:rFonts w:ascii="仿宋_GB2312" w:eastAsia="仿宋_GB2312" w:hAnsi="仿宋_GB2312" w:cs="仿宋_GB2312"/>
          <w:color w:val="000000" w:themeColor="text1"/>
          <w:sz w:val="32"/>
          <w:szCs w:val="32"/>
        </w:rPr>
        <w:t>0.59</w:t>
      </w:r>
      <w:r w:rsidRPr="009B3B15">
        <w:rPr>
          <w:rFonts w:ascii="仿宋_GB2312" w:eastAsia="仿宋_GB2312" w:hAnsi="仿宋_GB2312" w:cs="仿宋_GB2312" w:hint="eastAsia"/>
          <w:color w:val="000000" w:themeColor="text1"/>
          <w:sz w:val="32"/>
          <w:szCs w:val="32"/>
        </w:rPr>
        <w:t>%、预期性指标(2项)无法按序时进度完成率达11.76%、预期性指标(</w:t>
      </w:r>
      <w:r w:rsidR="006903CD" w:rsidRPr="009B3B15">
        <w:rPr>
          <w:rFonts w:ascii="仿宋_GB2312" w:eastAsia="仿宋_GB2312" w:hAnsi="仿宋_GB2312" w:cs="仿宋_GB2312"/>
          <w:color w:val="000000" w:themeColor="text1"/>
          <w:sz w:val="32"/>
          <w:szCs w:val="32"/>
        </w:rPr>
        <w:t>3</w:t>
      </w:r>
      <w:r w:rsidRPr="009B3B15">
        <w:rPr>
          <w:rFonts w:ascii="仿宋_GB2312" w:eastAsia="仿宋_GB2312" w:hAnsi="仿宋_GB2312" w:cs="仿宋_GB2312" w:hint="eastAsia"/>
          <w:color w:val="000000" w:themeColor="text1"/>
          <w:sz w:val="32"/>
          <w:szCs w:val="32"/>
        </w:rPr>
        <w:t>项)由于暂无统计数据暂无法比较(占比</w:t>
      </w:r>
      <w:r w:rsidR="006903CD" w:rsidRPr="009B3B15">
        <w:rPr>
          <w:rFonts w:ascii="仿宋_GB2312" w:eastAsia="仿宋_GB2312" w:hAnsi="仿宋_GB2312" w:cs="仿宋_GB2312"/>
          <w:color w:val="000000" w:themeColor="text1"/>
          <w:sz w:val="32"/>
          <w:szCs w:val="32"/>
        </w:rPr>
        <w:t>17.65</w:t>
      </w:r>
      <w:r w:rsidRPr="009B3B15">
        <w:rPr>
          <w:rFonts w:ascii="仿宋_GB2312" w:eastAsia="仿宋_GB2312" w:hAnsi="仿宋_GB2312" w:cs="仿宋_GB2312" w:hint="eastAsia"/>
          <w:color w:val="000000" w:themeColor="text1"/>
          <w:sz w:val="32"/>
          <w:szCs w:val="32"/>
        </w:rPr>
        <w:t>%)。</w:t>
      </w:r>
    </w:p>
    <w:p w:rsidR="000B0562" w:rsidRDefault="000B0562" w:rsidP="00A769A6">
      <w:pPr>
        <w:pStyle w:val="1"/>
        <w:spacing w:before="0" w:after="0" w:line="616" w:lineRule="exact"/>
        <w:ind w:firstLineChars="200" w:firstLine="640"/>
        <w:rPr>
          <w:rFonts w:ascii="仿宋_GB2312" w:eastAsia="仿宋_GB2312" w:hAnsi="仿宋_GB2312" w:cs="仿宋_GB2312"/>
          <w:color w:val="000000" w:themeColor="text1"/>
          <w:sz w:val="32"/>
          <w:szCs w:val="32"/>
        </w:rPr>
        <w:sectPr w:rsidR="000B0562">
          <w:footerReference w:type="default" r:id="rId10"/>
          <w:pgSz w:w="11906" w:h="16838"/>
          <w:pgMar w:top="1701" w:right="1531" w:bottom="1531" w:left="1531" w:header="850" w:footer="1247" w:gutter="567"/>
          <w:pgNumType w:start="1"/>
          <w:cols w:space="0"/>
          <w:docGrid w:type="lines" w:linePitch="312"/>
        </w:sectPr>
      </w:pPr>
    </w:p>
    <w:p w:rsidR="000B0562" w:rsidRPr="009978E1" w:rsidRDefault="005B091D" w:rsidP="009978E1">
      <w:pPr>
        <w:pStyle w:val="1"/>
        <w:spacing w:before="360" w:after="240" w:line="360" w:lineRule="auto"/>
        <w:jc w:val="center"/>
        <w:rPr>
          <w:rFonts w:ascii="黑体" w:eastAsia="黑体" w:hAnsi="黑体"/>
          <w:b w:val="0"/>
          <w:bCs w:val="0"/>
          <w:color w:val="000000" w:themeColor="text1"/>
          <w:sz w:val="36"/>
          <w:szCs w:val="36"/>
        </w:rPr>
      </w:pPr>
      <w:bookmarkStart w:id="7" w:name="_Toc6382"/>
      <w:r>
        <w:rPr>
          <w:rFonts w:ascii="黑体" w:eastAsia="黑体" w:hAnsi="黑体"/>
          <w:b w:val="0"/>
          <w:bCs w:val="0"/>
          <w:color w:val="000000" w:themeColor="text1"/>
          <w:sz w:val="36"/>
          <w:szCs w:val="36"/>
        </w:rPr>
        <w:lastRenderedPageBreak/>
        <w:t>纲要主要指标的实施情况</w:t>
      </w:r>
      <w:bookmarkEnd w:id="7"/>
    </w:p>
    <w:p w:rsidR="000B0562" w:rsidRDefault="005B091D">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color w:val="000000" w:themeColor="text1"/>
          <w:sz w:val="32"/>
        </w:rPr>
        <w:t>“十四五”以来，我县上下坚持以习近平新时代中国特色社会主义思想为指导,深入贯彻党的十九大、二十大精神和习近平总书记对湖南重要讲话重要指示批示精神，全面落实省、市党代会和各次全会重大战略部署，围绕全面建设社会主义现代化新溆浦目标，抢抓历史机遇、奋起二次创业，全力实施十大发展行动计划，扎实推进经济社会高质量发展，统筹推进稳增长、调转促、去降补、全创改、放管服、惠民生、防风险各项工作，我县经济社会保持了平稳健康发展的良好态势，为推动新时代溆浦高质量发展奠定了更加坚实的基础。</w:t>
      </w:r>
      <w:r>
        <w:rPr>
          <w:rFonts w:ascii="仿宋_GB2312" w:eastAsia="仿宋_GB2312" w:hAnsi="仿宋_GB2312" w:cs="仿宋_GB2312" w:hint="eastAsia"/>
          <w:b/>
          <w:color w:val="000000" w:themeColor="text1"/>
          <w:sz w:val="32"/>
        </w:rPr>
        <w:t>从本次评估结果来看，《纲要》确定的各项目标、重点任务均有序推进，人民群众对《纲要》实施以来取得的成效满意度较高，总体上取得了良好的进展和成效，为全面完成“十四五”规划目标奠定了坚实基础。</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8" w:name="_Toc21286"/>
      <w:r>
        <w:rPr>
          <w:rFonts w:ascii="黑体" w:eastAsia="黑体" w:hAnsi="黑体" w:hint="eastAsia"/>
          <w:b w:val="0"/>
          <w:bCs w:val="0"/>
          <w:color w:val="000000" w:themeColor="text1"/>
        </w:rPr>
        <w:t>一、总体成效超过预期</w:t>
      </w:r>
      <w:bookmarkEnd w:id="8"/>
    </w:p>
    <w:p w:rsidR="000B0562" w:rsidRPr="009B3B15" w:rsidRDefault="00037C78">
      <w:pPr>
        <w:pStyle w:val="a8"/>
        <w:spacing w:line="616" w:lineRule="exact"/>
        <w:ind w:firstLine="640"/>
        <w:rPr>
          <w:rFonts w:ascii="仿宋_GB2312" w:eastAsia="仿宋_GB2312" w:hAnsi="仿宋_GB2312" w:cs="仿宋_GB2312"/>
          <w:color w:val="000000" w:themeColor="text1"/>
          <w:sz w:val="32"/>
        </w:rPr>
      </w:pPr>
      <w:r w:rsidRPr="009B3B15">
        <w:rPr>
          <w:rFonts w:ascii="仿宋_GB2312" w:eastAsia="仿宋_GB2312" w:hAnsi="仿宋_GB2312" w:cs="仿宋_GB2312" w:hint="eastAsia"/>
          <w:color w:val="000000" w:themeColor="text1"/>
          <w:sz w:val="32"/>
        </w:rPr>
        <w:t>纲要确定的主要指标25项，包括经济发展、创新驱动、民生福祉、绿色转型和安全保障5大类，其中预期性指标17项，约束性指标8项。经评估，1</w:t>
      </w:r>
      <w:r w:rsidRPr="009B3B15">
        <w:rPr>
          <w:rFonts w:ascii="仿宋_GB2312" w:eastAsia="仿宋_GB2312" w:hAnsi="仿宋_GB2312" w:cs="仿宋_GB2312"/>
          <w:color w:val="000000" w:themeColor="text1"/>
          <w:sz w:val="32"/>
        </w:rPr>
        <w:t>7</w:t>
      </w:r>
      <w:r w:rsidRPr="009B3B15">
        <w:rPr>
          <w:rFonts w:ascii="仿宋_GB2312" w:eastAsia="仿宋_GB2312" w:hAnsi="仿宋_GB2312" w:cs="仿宋_GB2312" w:hint="eastAsia"/>
          <w:color w:val="000000" w:themeColor="text1"/>
          <w:sz w:val="32"/>
        </w:rPr>
        <w:t>项指标将按序时进度完成（占</w:t>
      </w:r>
      <w:r w:rsidRPr="009B3B15">
        <w:rPr>
          <w:rFonts w:ascii="仿宋_GB2312" w:eastAsia="仿宋_GB2312" w:hAnsi="仿宋_GB2312" w:cs="仿宋_GB2312"/>
          <w:color w:val="000000" w:themeColor="text1"/>
          <w:sz w:val="32"/>
        </w:rPr>
        <w:t>68</w:t>
      </w:r>
      <w:r w:rsidRPr="009B3B15">
        <w:rPr>
          <w:rFonts w:ascii="仿宋_GB2312" w:eastAsia="仿宋_GB2312" w:hAnsi="仿宋_GB2312" w:cs="仿宋_GB2312" w:hint="eastAsia"/>
          <w:color w:val="000000" w:themeColor="text1"/>
          <w:sz w:val="32"/>
        </w:rPr>
        <w:t>.00%），5项指标不能按序时进度完成（占20.00%），3项指标缺乏相关统计数据暂无法比较（占</w:t>
      </w:r>
      <w:r w:rsidRPr="009B3B15">
        <w:rPr>
          <w:rFonts w:ascii="仿宋_GB2312" w:eastAsia="仿宋_GB2312" w:hAnsi="仿宋_GB2312" w:cs="仿宋_GB2312"/>
          <w:color w:val="000000" w:themeColor="text1"/>
          <w:sz w:val="32"/>
        </w:rPr>
        <w:t>12</w:t>
      </w:r>
      <w:r w:rsidRPr="009B3B15">
        <w:rPr>
          <w:rFonts w:ascii="仿宋_GB2312" w:eastAsia="仿宋_GB2312" w:hAnsi="仿宋_GB2312" w:cs="仿宋_GB2312" w:hint="eastAsia"/>
          <w:color w:val="000000" w:themeColor="text1"/>
          <w:sz w:val="32"/>
        </w:rPr>
        <w:t>.00%）。约束</w:t>
      </w:r>
      <w:r w:rsidRPr="009B3B15">
        <w:rPr>
          <w:rFonts w:ascii="仿宋_GB2312" w:eastAsia="仿宋_GB2312" w:hAnsi="仿宋_GB2312" w:cs="仿宋_GB2312" w:hint="eastAsia"/>
          <w:color w:val="000000" w:themeColor="text1"/>
          <w:sz w:val="32"/>
        </w:rPr>
        <w:lastRenderedPageBreak/>
        <w:t>性指标(5项)将按序时进度完成率达62.50%、约束性指标(3项)不能按序时进度完成(占比37.5%)；预期性指标(1</w:t>
      </w:r>
      <w:r w:rsidRPr="009B3B15">
        <w:rPr>
          <w:rFonts w:ascii="仿宋_GB2312" w:eastAsia="仿宋_GB2312" w:hAnsi="仿宋_GB2312" w:cs="仿宋_GB2312"/>
          <w:color w:val="000000" w:themeColor="text1"/>
          <w:sz w:val="32"/>
        </w:rPr>
        <w:t>2</w:t>
      </w:r>
      <w:r w:rsidRPr="009B3B15">
        <w:rPr>
          <w:rFonts w:ascii="仿宋_GB2312" w:eastAsia="仿宋_GB2312" w:hAnsi="仿宋_GB2312" w:cs="仿宋_GB2312" w:hint="eastAsia"/>
          <w:color w:val="000000" w:themeColor="text1"/>
          <w:sz w:val="32"/>
        </w:rPr>
        <w:t>项)将按序时进度完成率达7</w:t>
      </w:r>
      <w:r w:rsidRPr="009B3B15">
        <w:rPr>
          <w:rFonts w:ascii="仿宋_GB2312" w:eastAsia="仿宋_GB2312" w:hAnsi="仿宋_GB2312" w:cs="仿宋_GB2312"/>
          <w:color w:val="000000" w:themeColor="text1"/>
          <w:sz w:val="32"/>
        </w:rPr>
        <w:t>0.59</w:t>
      </w:r>
      <w:r w:rsidRPr="009B3B15">
        <w:rPr>
          <w:rFonts w:ascii="仿宋_GB2312" w:eastAsia="仿宋_GB2312" w:hAnsi="仿宋_GB2312" w:cs="仿宋_GB2312" w:hint="eastAsia"/>
          <w:color w:val="000000" w:themeColor="text1"/>
          <w:sz w:val="32"/>
        </w:rPr>
        <w:t>%、预期性指标(2项)无法按序时进度完成率达11.76%、预期性指标(</w:t>
      </w:r>
      <w:r w:rsidRPr="009B3B15">
        <w:rPr>
          <w:rFonts w:ascii="仿宋_GB2312" w:eastAsia="仿宋_GB2312" w:hAnsi="仿宋_GB2312" w:cs="仿宋_GB2312"/>
          <w:color w:val="000000" w:themeColor="text1"/>
          <w:sz w:val="32"/>
        </w:rPr>
        <w:t>3</w:t>
      </w:r>
      <w:r w:rsidRPr="009B3B15">
        <w:rPr>
          <w:rFonts w:ascii="仿宋_GB2312" w:eastAsia="仿宋_GB2312" w:hAnsi="仿宋_GB2312" w:cs="仿宋_GB2312" w:hint="eastAsia"/>
          <w:color w:val="000000" w:themeColor="text1"/>
          <w:sz w:val="32"/>
        </w:rPr>
        <w:t>项)由于暂无统计数据暂无法比较(占比</w:t>
      </w:r>
      <w:r w:rsidRPr="009B3B15">
        <w:rPr>
          <w:rFonts w:ascii="仿宋_GB2312" w:eastAsia="仿宋_GB2312" w:hAnsi="仿宋_GB2312" w:cs="仿宋_GB2312"/>
          <w:color w:val="000000" w:themeColor="text1"/>
          <w:sz w:val="32"/>
        </w:rPr>
        <w:t>17.65</w:t>
      </w:r>
      <w:r w:rsidRPr="009B3B15">
        <w:rPr>
          <w:rFonts w:ascii="仿宋_GB2312" w:eastAsia="仿宋_GB2312" w:hAnsi="仿宋_GB2312" w:cs="仿宋_GB2312" w:hint="eastAsia"/>
          <w:color w:val="000000" w:themeColor="text1"/>
          <w:sz w:val="32"/>
        </w:rPr>
        <w:t>%)</w:t>
      </w:r>
      <w:r w:rsidR="005B091D" w:rsidRPr="009B3B15">
        <w:rPr>
          <w:rFonts w:ascii="仿宋_GB2312" w:eastAsia="仿宋_GB2312" w:hAnsi="仿宋_GB2312" w:cs="仿宋_GB2312" w:hint="eastAsia"/>
          <w:color w:val="000000" w:themeColor="text1"/>
          <w:sz w:val="32"/>
        </w:rPr>
        <w:t>。</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9" w:name="_Toc7590"/>
      <w:r>
        <w:rPr>
          <w:rFonts w:ascii="黑体" w:eastAsia="黑体" w:hAnsi="黑体" w:hint="eastAsia"/>
          <w:b w:val="0"/>
          <w:bCs w:val="0"/>
          <w:color w:val="000000" w:themeColor="text1"/>
        </w:rPr>
        <w:t>二、发展目标完成情况</w:t>
      </w:r>
      <w:bookmarkEnd w:id="9"/>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纲要提出：经济发展取得新成效</w:t>
      </w:r>
      <w:r>
        <w:rPr>
          <w:rFonts w:ascii="楷体_GB2312" w:eastAsia="楷体_GB2312" w:hAnsi="楷体_GB2312" w:cs="楷体_GB2312" w:hint="eastAsia"/>
          <w:color w:val="000000" w:themeColor="text1"/>
          <w:sz w:val="32"/>
        </w:rPr>
        <w:t>。</w:t>
      </w:r>
      <w:r>
        <w:rPr>
          <w:rFonts w:ascii="仿宋_GB2312" w:eastAsia="仿宋_GB2312" w:hAnsi="仿宋_GB2312" w:cs="仿宋_GB2312" w:hint="eastAsia"/>
          <w:color w:val="000000" w:themeColor="text1"/>
          <w:sz w:val="32"/>
        </w:rPr>
        <w:t>加快培育新的增长点，在保持经济平稳增长、质量效益明显提升的基础上实现经济持续健康发展，溆浦县GDP年均增长6.7%，增长潜力充分发挥，实体经济不断壮大，经济结构更加优化，产业迈向中高端水平，农业基础更加稳固，城乡区域发展协调性明显增强，现代化经济体系建设取得重大进展。纲要实施两年半以来，具体实施效果如下：</w:t>
      </w:r>
      <w:r>
        <w:rPr>
          <w:rFonts w:ascii="仿宋_GB2312" w:eastAsia="仿宋_GB2312" w:hAnsi="仿宋_GB2312" w:cs="仿宋_GB2312" w:hint="eastAsia"/>
          <w:b/>
          <w:color w:val="000000" w:themeColor="text1"/>
          <w:sz w:val="32"/>
        </w:rPr>
        <w:t>综合经济实力明显提高</w:t>
      </w:r>
      <w:r>
        <w:rPr>
          <w:rFonts w:ascii="仿宋_GB2312" w:eastAsia="仿宋_GB2312" w:hAnsi="仿宋_GB2312" w:cs="仿宋_GB2312" w:hint="eastAsia"/>
          <w:color w:val="000000" w:themeColor="text1"/>
          <w:sz w:val="32"/>
        </w:rPr>
        <w:t>，</w:t>
      </w:r>
      <w:r w:rsidR="0033053F" w:rsidRPr="009B3B15">
        <w:rPr>
          <w:rFonts w:ascii="仿宋_GB2312" w:eastAsia="仿宋_GB2312" w:hAnsi="仿宋_GB2312" w:cs="仿宋_GB2312" w:hint="eastAsia"/>
          <w:color w:val="000000" w:themeColor="text1"/>
          <w:sz w:val="32"/>
        </w:rPr>
        <w:t>2021年地区生产总值突破200亿元；</w:t>
      </w:r>
      <w:r>
        <w:rPr>
          <w:rFonts w:ascii="仿宋_GB2312" w:eastAsia="仿宋_GB2312" w:hAnsi="仿宋_GB2312" w:cs="仿宋_GB2312" w:hint="eastAsia"/>
          <w:color w:val="000000" w:themeColor="text1"/>
          <w:sz w:val="32"/>
        </w:rPr>
        <w:t>2022年地区生产总值达213.41亿元，同比增长5.0%，比“十三五”末(2020年183.67亿元)增加了29.74亿元，总量在怀化市所有区县市中位列第</w:t>
      </w:r>
      <w:r w:rsidR="00B11362" w:rsidRPr="009B3B15">
        <w:rPr>
          <w:rFonts w:ascii="仿宋_GB2312" w:eastAsia="仿宋_GB2312" w:hAnsi="仿宋_GB2312" w:cs="仿宋_GB2312" w:hint="eastAsia"/>
          <w:color w:val="000000" w:themeColor="text1"/>
          <w:sz w:val="32"/>
        </w:rPr>
        <w:t>二</w:t>
      </w:r>
      <w:r>
        <w:rPr>
          <w:rFonts w:ascii="仿宋_GB2312" w:eastAsia="仿宋_GB2312" w:hAnsi="仿宋_GB2312" w:cs="仿宋_GB2312" w:hint="eastAsia"/>
          <w:color w:val="000000" w:themeColor="text1"/>
          <w:sz w:val="32"/>
        </w:rPr>
        <w:t>，占怀化市地区生产总值11.37%；</w:t>
      </w:r>
      <w:r w:rsidR="00327651" w:rsidRPr="009B3B15">
        <w:rPr>
          <w:rFonts w:ascii="仿宋_GB2312" w:eastAsia="仿宋_GB2312" w:hAnsi="仿宋_GB2312" w:cs="仿宋_GB2312" w:hint="eastAsia"/>
          <w:color w:val="000000" w:themeColor="text1"/>
          <w:sz w:val="32"/>
        </w:rPr>
        <w:t>获评全省县域经济发展先进县。</w:t>
      </w:r>
      <w:r>
        <w:rPr>
          <w:rFonts w:ascii="仿宋_GB2312" w:eastAsia="仿宋_GB2312" w:hAnsi="仿宋_GB2312" w:cs="仿宋_GB2312" w:hint="eastAsia"/>
          <w:b/>
          <w:color w:val="000000" w:themeColor="text1"/>
          <w:sz w:val="32"/>
        </w:rPr>
        <w:t>制造业发展进入“快车道”</w:t>
      </w:r>
      <w:r>
        <w:rPr>
          <w:rFonts w:ascii="仿宋_GB2312" w:eastAsia="仿宋_GB2312" w:hAnsi="仿宋_GB2312" w:cs="仿宋_GB2312" w:hint="eastAsia"/>
          <w:color w:val="000000" w:themeColor="text1"/>
          <w:sz w:val="32"/>
        </w:rPr>
        <w:t>，健乐美体育、大和矿业、福龙石材申报制造强省重大项目；</w:t>
      </w:r>
      <w:r w:rsidR="002F623D" w:rsidRPr="009B3B15">
        <w:rPr>
          <w:rFonts w:ascii="仿宋_GB2312" w:eastAsia="仿宋_GB2312" w:hAnsi="仿宋_GB2312" w:cs="仿宋_GB2312" w:hint="eastAsia"/>
          <w:color w:val="000000" w:themeColor="text1"/>
          <w:sz w:val="32"/>
        </w:rPr>
        <w:t>投资32亿元的硅砂提纯项目正式投产。</w:t>
      </w:r>
      <w:r>
        <w:rPr>
          <w:rFonts w:ascii="仿宋_GB2312" w:eastAsia="仿宋_GB2312" w:hAnsi="仿宋_GB2312" w:cs="仿宋_GB2312" w:hint="eastAsia"/>
          <w:b/>
          <w:color w:val="000000" w:themeColor="text1"/>
          <w:sz w:val="32"/>
        </w:rPr>
        <w:t>园区建设按下“快进键”</w:t>
      </w:r>
      <w:r>
        <w:rPr>
          <w:rFonts w:ascii="仿宋_GB2312" w:eastAsia="仿宋_GB2312" w:hAnsi="仿宋_GB2312" w:cs="仿宋_GB2312" w:hint="eastAsia"/>
          <w:color w:val="000000" w:themeColor="text1"/>
          <w:sz w:val="32"/>
        </w:rPr>
        <w:t>，</w:t>
      </w:r>
      <w:r w:rsidR="002F623D">
        <w:rPr>
          <w:rFonts w:ascii="仿宋_GB2312" w:eastAsia="仿宋_GB2312" w:hAnsi="仿宋_GB2312" w:cs="仿宋_GB2312" w:hint="eastAsia"/>
          <w:color w:val="000000" w:themeColor="text1"/>
          <w:sz w:val="32"/>
        </w:rPr>
        <w:t>入园</w:t>
      </w:r>
      <w:r>
        <w:rPr>
          <w:rFonts w:ascii="仿宋_GB2312" w:eastAsia="仿宋_GB2312" w:hAnsi="仿宋_GB2312" w:cs="仿宋_GB2312" w:hint="eastAsia"/>
          <w:color w:val="000000" w:themeColor="text1"/>
          <w:sz w:val="32"/>
        </w:rPr>
        <w:t>企业</w:t>
      </w:r>
      <w:r w:rsidR="002F623D">
        <w:rPr>
          <w:rFonts w:ascii="仿宋_GB2312" w:eastAsia="仿宋_GB2312" w:hAnsi="仿宋_GB2312" w:cs="仿宋_GB2312" w:hint="eastAsia"/>
          <w:color w:val="000000" w:themeColor="text1"/>
          <w:sz w:val="32"/>
        </w:rPr>
        <w:t>达97</w:t>
      </w:r>
      <w:r>
        <w:rPr>
          <w:rFonts w:ascii="仿宋_GB2312" w:eastAsia="仿宋_GB2312" w:hAnsi="仿宋_GB2312" w:cs="仿宋_GB2312" w:hint="eastAsia"/>
          <w:color w:val="000000" w:themeColor="text1"/>
          <w:sz w:val="32"/>
        </w:rPr>
        <w:t>家，技工贸收入</w:t>
      </w:r>
      <w:r w:rsidR="002F623D">
        <w:rPr>
          <w:rFonts w:ascii="仿宋_GB2312" w:eastAsia="仿宋_GB2312" w:hAnsi="仿宋_GB2312" w:cs="仿宋_GB2312" w:hint="eastAsia"/>
          <w:color w:val="000000" w:themeColor="text1"/>
          <w:sz w:val="32"/>
        </w:rPr>
        <w:t>达63.31</w:t>
      </w:r>
      <w:r>
        <w:rPr>
          <w:rFonts w:ascii="仿宋_GB2312" w:eastAsia="仿宋_GB2312" w:hAnsi="仿宋_GB2312" w:cs="仿宋_GB2312" w:hint="eastAsia"/>
          <w:color w:val="000000" w:themeColor="text1"/>
          <w:sz w:val="32"/>
        </w:rPr>
        <w:t>亿元，上缴税金</w:t>
      </w:r>
      <w:r w:rsidR="002F623D">
        <w:rPr>
          <w:rFonts w:ascii="仿宋_GB2312" w:eastAsia="仿宋_GB2312" w:hAnsi="仿宋_GB2312" w:cs="仿宋_GB2312" w:hint="eastAsia"/>
          <w:color w:val="000000" w:themeColor="text1"/>
          <w:sz w:val="32"/>
        </w:rPr>
        <w:t>突破3</w:t>
      </w:r>
      <w:r>
        <w:rPr>
          <w:rFonts w:ascii="仿宋_GB2312" w:eastAsia="仿宋_GB2312" w:hAnsi="仿宋_GB2312" w:cs="仿宋_GB2312" w:hint="eastAsia"/>
          <w:color w:val="000000" w:themeColor="text1"/>
          <w:sz w:val="32"/>
        </w:rPr>
        <w:t>亿元；</w:t>
      </w:r>
      <w:r w:rsidR="00F33244" w:rsidRPr="009B3B15">
        <w:rPr>
          <w:rFonts w:ascii="仿宋_GB2312" w:eastAsia="仿宋_GB2312" w:hAnsi="仿宋_GB2312" w:cs="仿宋_GB2312" w:hint="eastAsia"/>
          <w:color w:val="000000" w:themeColor="text1"/>
          <w:sz w:val="32"/>
        </w:rPr>
        <w:t>“雨溆浦工业园”</w:t>
      </w:r>
      <w:r w:rsidR="006A77C3" w:rsidRPr="009B3B15">
        <w:rPr>
          <w:rFonts w:ascii="仿宋_GB2312" w:eastAsia="仿宋_GB2312" w:hAnsi="仿宋_GB2312" w:cs="仿宋_GB2312" w:hint="eastAsia"/>
          <w:color w:val="000000" w:themeColor="text1"/>
          <w:sz w:val="32"/>
        </w:rPr>
        <w:t>30万平方米标准厂房全部建成，已入驻企业24家，投</w:t>
      </w:r>
      <w:r w:rsidR="006A77C3" w:rsidRPr="009B3B15">
        <w:rPr>
          <w:rFonts w:ascii="仿宋_GB2312" w:eastAsia="仿宋_GB2312" w:hAnsi="仿宋_GB2312" w:cs="仿宋_GB2312" w:hint="eastAsia"/>
          <w:color w:val="000000" w:themeColor="text1"/>
          <w:sz w:val="32"/>
        </w:rPr>
        <w:lastRenderedPageBreak/>
        <w:t>产10家。</w:t>
      </w:r>
      <w:r>
        <w:rPr>
          <w:rFonts w:ascii="仿宋_GB2312" w:eastAsia="仿宋_GB2312" w:hAnsi="仿宋_GB2312" w:cs="仿宋_GB2312" w:hint="eastAsia"/>
          <w:b/>
          <w:color w:val="000000" w:themeColor="text1"/>
          <w:sz w:val="32"/>
        </w:rPr>
        <w:t>招商引资跑出“加速度”</w:t>
      </w:r>
      <w:r>
        <w:rPr>
          <w:rFonts w:ascii="仿宋_GB2312" w:eastAsia="仿宋_GB2312" w:hAnsi="仿宋_GB2312" w:cs="仿宋_GB2312" w:hint="eastAsia"/>
          <w:color w:val="000000" w:themeColor="text1"/>
          <w:sz w:val="32"/>
        </w:rPr>
        <w:t>，新引进重大项目21个，到位资金56.65亿元，其中“三类500强”项目5个，10亿元以上项目4个；新经济高点起步，</w:t>
      </w:r>
      <w:r>
        <w:rPr>
          <w:rFonts w:ascii="仿宋_GB2312" w:eastAsia="仿宋_GB2312" w:hAnsi="仿宋_GB2312" w:cs="仿宋_GB2312" w:hint="eastAsia"/>
          <w:b/>
          <w:color w:val="000000" w:themeColor="text1"/>
          <w:sz w:val="32"/>
        </w:rPr>
        <w:t>产业结构持续优化</w:t>
      </w:r>
      <w:r>
        <w:rPr>
          <w:rFonts w:ascii="仿宋_GB2312" w:eastAsia="仿宋_GB2312" w:hAnsi="仿宋_GB2312" w:cs="仿宋_GB2312" w:hint="eastAsia"/>
          <w:color w:val="000000" w:themeColor="text1"/>
          <w:sz w:val="32"/>
        </w:rPr>
        <w:t>，三次产业比例由2020年的23.1：24.4：52.5调整为2022年的22.26：28.63：49.11，城市辐射作用不断增强。</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纲要提出：创新能力实现新突破。</w:t>
      </w:r>
      <w:r>
        <w:rPr>
          <w:rFonts w:ascii="仿宋_GB2312" w:eastAsia="仿宋_GB2312" w:hAnsi="仿宋_GB2312" w:cs="仿宋_GB2312" w:hint="eastAsia"/>
          <w:color w:val="000000" w:themeColor="text1"/>
          <w:sz w:val="32"/>
        </w:rPr>
        <w:t>研发投入大幅提升，创新制度不断完善，创新人才加快聚集，创新载体不断夯实，创新生态更加优化，自主创新能力显著提升，科技成果转化与应用取得明显成效。纲要实施两年半以来，具体实施效果如下：出台新一轮《溆浦县“十四五”加大全社会研发经费投入行动计划》，以实实在在的奖补举措，引导全社会不断加大研发经费投入；以创新链引领产业链走向价值链高端，加速科技成果培育与转化，科技型中小企业入库量达88家，入库总量在怀化市排名第一；新入统高新领域企业9家，推荐两批共19家企业申报国家高新技术企业，第一批已认定6家，第二批已公示11家。</w:t>
      </w:r>
    </w:p>
    <w:p w:rsidR="000B0562" w:rsidRPr="00550286"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纲要提出：改革开放迈出新步伐。</w:t>
      </w:r>
      <w:r>
        <w:rPr>
          <w:rFonts w:ascii="仿宋_GB2312" w:eastAsia="仿宋_GB2312" w:hAnsi="仿宋_GB2312" w:cs="仿宋_GB2312" w:hint="eastAsia"/>
          <w:color w:val="000000" w:themeColor="text1"/>
          <w:sz w:val="32"/>
        </w:rPr>
        <w:t>社会主义市场经济体制更加完善，高标准市场体系基本形成，市场主体更加充满活力，产权制度改革和要素市场化配置改革取得重大进展，更高水平开放型经济新体制基本形成。纲要实施两年半以来，具体实施效果如下：</w:t>
      </w:r>
      <w:r>
        <w:rPr>
          <w:rFonts w:ascii="仿宋_GB2312" w:eastAsia="仿宋_GB2312" w:hAnsi="仿宋_GB2312" w:cs="仿宋_GB2312" w:hint="eastAsia"/>
          <w:b/>
          <w:color w:val="000000" w:themeColor="text1"/>
          <w:sz w:val="32"/>
        </w:rPr>
        <w:t>重点改革深入推进</w:t>
      </w:r>
      <w:r>
        <w:rPr>
          <w:rFonts w:ascii="仿宋_GB2312" w:eastAsia="仿宋_GB2312" w:hAnsi="仿宋_GB2312" w:cs="仿宋_GB2312" w:hint="eastAsia"/>
          <w:color w:val="000000" w:themeColor="text1"/>
          <w:sz w:val="32"/>
        </w:rPr>
        <w:t>。“放管服”、“三集”审批、国防动员等重点改革事项有序推进。县农村产权交易中心在</w:t>
      </w:r>
      <w:r>
        <w:rPr>
          <w:rFonts w:ascii="仿宋_GB2312" w:eastAsia="仿宋_GB2312" w:hAnsi="仿宋_GB2312" w:cs="仿宋_GB2312" w:hint="eastAsia"/>
          <w:color w:val="000000" w:themeColor="text1"/>
          <w:sz w:val="32"/>
        </w:rPr>
        <w:lastRenderedPageBreak/>
        <w:t>全市率先挂牌，成交额104万元。</w:t>
      </w:r>
      <w:r>
        <w:rPr>
          <w:rFonts w:ascii="仿宋_GB2312" w:eastAsia="仿宋_GB2312" w:hAnsi="仿宋_GB2312" w:cs="仿宋_GB2312" w:hint="eastAsia"/>
          <w:b/>
          <w:color w:val="000000" w:themeColor="text1"/>
          <w:sz w:val="32"/>
        </w:rPr>
        <w:t>科技创新步伐加快</w:t>
      </w:r>
      <w:r>
        <w:rPr>
          <w:rFonts w:ascii="仿宋_GB2312" w:eastAsia="仿宋_GB2312" w:hAnsi="仿宋_GB2312" w:cs="仿宋_GB2312" w:hint="eastAsia"/>
          <w:color w:val="000000" w:themeColor="text1"/>
          <w:sz w:val="32"/>
        </w:rPr>
        <w:t>，成功创建全国科普示范县。</w:t>
      </w:r>
      <w:r>
        <w:rPr>
          <w:rFonts w:ascii="仿宋_GB2312" w:eastAsia="仿宋_GB2312" w:hAnsi="仿宋_GB2312" w:cs="仿宋_GB2312" w:hint="eastAsia"/>
          <w:b/>
          <w:color w:val="000000" w:themeColor="text1"/>
          <w:sz w:val="32"/>
        </w:rPr>
        <w:t>营商环境持续优化</w:t>
      </w:r>
      <w:r>
        <w:rPr>
          <w:rFonts w:ascii="仿宋_GB2312" w:eastAsia="仿宋_GB2312" w:hAnsi="仿宋_GB2312" w:cs="仿宋_GB2312" w:hint="eastAsia"/>
          <w:color w:val="000000" w:themeColor="text1"/>
          <w:sz w:val="32"/>
        </w:rPr>
        <w:t>。扎实开展百名干部联百企“送、解、优”行动，收集解决联企问题221个，为小微企业发放贷款金额5.3亿元，落实退税减税1.35亿元。举办《民生在线》线上互动栏目4期，优化营商环境典型经验在全国、全省推介。</w:t>
      </w:r>
      <w:r>
        <w:rPr>
          <w:rFonts w:ascii="仿宋_GB2312" w:eastAsia="仿宋_GB2312" w:hAnsi="仿宋_GB2312" w:cs="仿宋_GB2312" w:hint="eastAsia"/>
          <w:b/>
          <w:color w:val="000000" w:themeColor="text1"/>
          <w:sz w:val="32"/>
        </w:rPr>
        <w:t>对外开放大步向前</w:t>
      </w:r>
      <w:r>
        <w:rPr>
          <w:rFonts w:ascii="仿宋_GB2312" w:eastAsia="仿宋_GB2312" w:hAnsi="仿宋_GB2312" w:cs="仿宋_GB2312" w:hint="eastAsia"/>
          <w:color w:val="000000" w:themeColor="text1"/>
          <w:sz w:val="32"/>
        </w:rPr>
        <w:t>。引进外贸实体企业3家、贸易型企业2家，成立全市首个县级外贸综合服务中心——溆化进出口贸易公司，高桥大市场溆浦专区揭牌运营。</w:t>
      </w:r>
      <w:r w:rsidR="000961B7" w:rsidRPr="00550286">
        <w:rPr>
          <w:rFonts w:ascii="仿宋_GB2312" w:eastAsia="仿宋_GB2312" w:hAnsi="仿宋_GB2312" w:cs="仿宋_GB2312" w:hint="eastAsia"/>
          <w:color w:val="000000" w:themeColor="text1"/>
          <w:sz w:val="32"/>
        </w:rPr>
        <w:t>积极融入怀化国际陆港，</w:t>
      </w:r>
      <w:r w:rsidR="009B2689" w:rsidRPr="00550286">
        <w:rPr>
          <w:rFonts w:ascii="仿宋_GB2312" w:eastAsia="仿宋_GB2312" w:hAnsi="仿宋_GB2312" w:cs="仿宋_GB2312" w:hint="eastAsia"/>
          <w:color w:val="000000" w:themeColor="text1"/>
          <w:sz w:val="32"/>
        </w:rPr>
        <w:t>溆浦产业开发区纳入湖南自由贸易协同联动区。</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纲要提出：社会文明程度得到新提高。</w:t>
      </w:r>
      <w:r>
        <w:rPr>
          <w:rFonts w:ascii="仿宋_GB2312" w:eastAsia="仿宋_GB2312" w:hAnsi="仿宋_GB2312" w:cs="仿宋_GB2312" w:hint="eastAsia"/>
          <w:color w:val="000000" w:themeColor="text1"/>
          <w:sz w:val="32"/>
        </w:rPr>
        <w:t>社会主义核心价值观深入人心，人民思想道德素质、科学文化素质和身心健康素质明显提高，公共文化服务体系和文化产业体系更加健全，人民精神文化生活日益丰富，文化软实力和影响力明显提升，力争成功创建全国文明县城。纲要实施两年半以来，具体实施效果如下：2021年，</w:t>
      </w:r>
      <w:r w:rsidR="005E3B82" w:rsidRPr="00550286">
        <w:rPr>
          <w:rFonts w:ascii="仿宋_GB2312" w:eastAsia="仿宋_GB2312" w:hAnsi="仿宋_GB2312" w:cs="仿宋_GB2312" w:hint="eastAsia"/>
          <w:color w:val="000000" w:themeColor="text1"/>
          <w:sz w:val="32"/>
        </w:rPr>
        <w:t>4</w:t>
      </w:r>
      <w:r w:rsidRPr="00550286">
        <w:rPr>
          <w:rFonts w:ascii="仿宋_GB2312" w:eastAsia="仿宋_GB2312" w:hAnsi="仿宋_GB2312" w:cs="仿宋_GB2312" w:hint="eastAsia"/>
          <w:color w:val="000000" w:themeColor="text1"/>
          <w:sz w:val="32"/>
        </w:rPr>
        <w:t>项</w:t>
      </w:r>
      <w:r>
        <w:rPr>
          <w:rFonts w:ascii="仿宋_GB2312" w:eastAsia="仿宋_GB2312" w:hAnsi="仿宋_GB2312" w:cs="仿宋_GB2312" w:hint="eastAsia"/>
          <w:color w:val="000000" w:themeColor="text1"/>
          <w:sz w:val="32"/>
        </w:rPr>
        <w:t>工作获省政府真抓实干激励</w:t>
      </w:r>
      <w:r w:rsidR="00CF4D6E">
        <w:rPr>
          <w:rFonts w:ascii="仿宋_GB2312" w:eastAsia="仿宋_GB2312" w:hAnsi="仿宋_GB2312" w:cs="仿宋_GB2312" w:hint="eastAsia"/>
          <w:color w:val="000000" w:themeColor="text1"/>
          <w:sz w:val="32"/>
        </w:rPr>
        <w:t>表彰</w:t>
      </w:r>
      <w:r>
        <w:rPr>
          <w:rFonts w:ascii="仿宋_GB2312" w:eastAsia="仿宋_GB2312" w:hAnsi="仿宋_GB2312" w:cs="仿宋_GB2312" w:hint="eastAsia"/>
          <w:color w:val="000000" w:themeColor="text1"/>
          <w:sz w:val="32"/>
        </w:rPr>
        <w:t>，文旅工作获省政府大督查通报表扬；2022年</w:t>
      </w:r>
      <w:r w:rsidR="005E3B82" w:rsidRPr="00550286">
        <w:rPr>
          <w:rFonts w:ascii="仿宋_GB2312" w:eastAsia="仿宋_GB2312" w:hAnsi="仿宋_GB2312" w:cs="仿宋_GB2312" w:hint="eastAsia"/>
          <w:color w:val="000000" w:themeColor="text1"/>
          <w:sz w:val="32"/>
        </w:rPr>
        <w:t>7</w:t>
      </w:r>
      <w:r w:rsidRPr="00550286">
        <w:rPr>
          <w:rFonts w:ascii="仿宋_GB2312" w:eastAsia="仿宋_GB2312" w:hAnsi="仿宋_GB2312" w:cs="仿宋_GB2312" w:hint="eastAsia"/>
          <w:color w:val="000000" w:themeColor="text1"/>
          <w:sz w:val="32"/>
        </w:rPr>
        <w:t>项</w:t>
      </w:r>
      <w:r w:rsidR="00CF4D6E" w:rsidRPr="00550286">
        <w:rPr>
          <w:rFonts w:ascii="仿宋_GB2312" w:eastAsia="仿宋_GB2312" w:hAnsi="仿宋_GB2312" w:cs="仿宋_GB2312" w:hint="eastAsia"/>
          <w:color w:val="000000" w:themeColor="text1"/>
          <w:sz w:val="32"/>
        </w:rPr>
        <w:t>工作获省政府真抓实干激励表彰</w:t>
      </w:r>
      <w:r w:rsidRPr="00550286">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绩效考核连续6年全市优秀，获评全省实施乡村振兴战略先进县、全省乡村振兴重点帮扶先进县，被授予“平安湖南建设重点推进县”称号，捧回首届湖南“平安杯”。</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纲要提出：生态文明建设实现新进步。</w:t>
      </w:r>
      <w:r>
        <w:rPr>
          <w:rFonts w:ascii="仿宋_GB2312" w:eastAsia="仿宋_GB2312" w:hAnsi="仿宋_GB2312" w:cs="仿宋_GB2312" w:hint="eastAsia"/>
          <w:color w:val="000000" w:themeColor="text1"/>
          <w:sz w:val="32"/>
        </w:rPr>
        <w:t>国土空间开发保</w:t>
      </w:r>
      <w:r>
        <w:rPr>
          <w:rFonts w:ascii="仿宋_GB2312" w:eastAsia="仿宋_GB2312" w:hAnsi="仿宋_GB2312" w:cs="仿宋_GB2312" w:hint="eastAsia"/>
          <w:color w:val="000000" w:themeColor="text1"/>
          <w:sz w:val="32"/>
        </w:rPr>
        <w:lastRenderedPageBreak/>
        <w:t>护格局得到优化，生产生活方式绿色转型成效显著，能源资源利用效率大幅提高，单位GDP能源消耗持续降低。主要污染物排放总量持续减少，重点环境问题得到有效整治，生态环境持续改善，加快形成绿色生产方式和生活方式，城乡人居环境得到明显改善，森林覆盖率保持在67.58%。积极创建国家园林城市、国家森林城市。纲要实施两年半以来，具体实施效果如下：</w:t>
      </w:r>
      <w:r>
        <w:rPr>
          <w:rFonts w:ascii="仿宋_GB2312" w:eastAsia="仿宋_GB2312" w:hAnsi="仿宋_GB2312" w:cs="仿宋_GB2312" w:hint="eastAsia"/>
          <w:b/>
          <w:color w:val="000000" w:themeColor="text1"/>
          <w:sz w:val="32"/>
        </w:rPr>
        <w:t>污染防治有力推进</w:t>
      </w:r>
      <w:r>
        <w:rPr>
          <w:rFonts w:ascii="仿宋_GB2312" w:eastAsia="仿宋_GB2312" w:hAnsi="仿宋_GB2312" w:cs="仿宋_GB2312" w:hint="eastAsia"/>
          <w:color w:val="000000" w:themeColor="text1"/>
          <w:sz w:val="32"/>
        </w:rPr>
        <w:t>。中央环保督察反馈问题整改、“洞庭清波”专项行动、污染防治攻坚战“夏季攻势”年度任务全面清零，江龙锰业环保问题整改入选全省“十大典型案例”，深入开展“利剑行动”，立案</w:t>
      </w:r>
      <w:r w:rsidR="00C00128" w:rsidRPr="00460557">
        <w:rPr>
          <w:rFonts w:ascii="仿宋_GB2312" w:eastAsia="仿宋_GB2312" w:hAnsi="仿宋_GB2312" w:cs="仿宋_GB2312" w:hint="eastAsia"/>
          <w:color w:val="000000" w:themeColor="text1"/>
          <w:sz w:val="32"/>
        </w:rPr>
        <w:t>71</w:t>
      </w:r>
      <w:r>
        <w:rPr>
          <w:rFonts w:ascii="仿宋_GB2312" w:eastAsia="仿宋_GB2312" w:hAnsi="仿宋_GB2312" w:cs="仿宋_GB2312" w:hint="eastAsia"/>
          <w:color w:val="000000" w:themeColor="text1"/>
          <w:sz w:val="32"/>
        </w:rPr>
        <w:t>件，行政处罚</w:t>
      </w:r>
      <w:r w:rsidR="00C00128" w:rsidRPr="00460557">
        <w:rPr>
          <w:rFonts w:ascii="仿宋_GB2312" w:eastAsia="仿宋_GB2312" w:hAnsi="仿宋_GB2312" w:cs="仿宋_GB2312" w:hint="eastAsia"/>
          <w:color w:val="000000" w:themeColor="text1"/>
          <w:sz w:val="32"/>
        </w:rPr>
        <w:t>304</w:t>
      </w:r>
      <w:r>
        <w:rPr>
          <w:rFonts w:ascii="仿宋_GB2312" w:eastAsia="仿宋_GB2312" w:hAnsi="仿宋_GB2312" w:cs="仿宋_GB2312" w:hint="eastAsia"/>
          <w:color w:val="000000" w:themeColor="text1"/>
          <w:sz w:val="32"/>
        </w:rPr>
        <w:t>万元。</w:t>
      </w:r>
      <w:r>
        <w:rPr>
          <w:rFonts w:ascii="仿宋_GB2312" w:eastAsia="仿宋_GB2312" w:hAnsi="仿宋_GB2312" w:cs="仿宋_GB2312" w:hint="eastAsia"/>
          <w:b/>
          <w:color w:val="000000" w:themeColor="text1"/>
          <w:sz w:val="32"/>
        </w:rPr>
        <w:t>生态屏障有效构筑</w:t>
      </w:r>
      <w:r>
        <w:rPr>
          <w:rFonts w:ascii="仿宋_GB2312" w:eastAsia="仿宋_GB2312" w:hAnsi="仿宋_GB2312" w:cs="仿宋_GB2312" w:hint="eastAsia"/>
          <w:color w:val="000000" w:themeColor="text1"/>
          <w:sz w:val="32"/>
        </w:rPr>
        <w:t>。打好蓝天碧水净土保卫战，地表水质达标率100%，空气质量优良率95.4%。以“林长制”促“林长治”，建设生态廊道1500亩（其中：2021年建设建设生态廊道1500亩，2022年、2023年无建设生态廊道任务），森林抚育2.45万亩（其中：2021年森林抚育1.62万亩，2022年森林抚育0.83万亩，2023年森林质量提升0.945万亩），修复退化林6.34万亩（其中：2021年修复退化林1.8万亩，2022年修复退化林2.49万亩，2023年修复退化林2.05万亩）。</w:t>
      </w:r>
      <w:r>
        <w:rPr>
          <w:rFonts w:ascii="仿宋_GB2312" w:eastAsia="仿宋_GB2312" w:hAnsi="仿宋_GB2312" w:cs="仿宋_GB2312" w:hint="eastAsia"/>
          <w:b/>
          <w:color w:val="000000" w:themeColor="text1"/>
          <w:sz w:val="32"/>
        </w:rPr>
        <w:t>全面落实“河长制”</w:t>
      </w:r>
      <w:r>
        <w:rPr>
          <w:rFonts w:ascii="仿宋_GB2312" w:eastAsia="仿宋_GB2312" w:hAnsi="仿宋_GB2312" w:cs="仿宋_GB2312" w:hint="eastAsia"/>
          <w:color w:val="000000" w:themeColor="text1"/>
          <w:sz w:val="32"/>
        </w:rPr>
        <w:t>，溆水思蒙段获评全省美丽河湖，全省首家河小青行动中心正式揭牌，典型做法被国家水利部推介。</w:t>
      </w:r>
      <w:r>
        <w:rPr>
          <w:rFonts w:ascii="仿宋_GB2312" w:eastAsia="仿宋_GB2312" w:hAnsi="仿宋_GB2312" w:cs="仿宋_GB2312" w:hint="eastAsia"/>
          <w:b/>
          <w:color w:val="000000" w:themeColor="text1"/>
          <w:sz w:val="32"/>
        </w:rPr>
        <w:t>生态产业有序发展</w:t>
      </w:r>
      <w:r>
        <w:rPr>
          <w:rFonts w:ascii="仿宋_GB2312" w:eastAsia="仿宋_GB2312" w:hAnsi="仿宋_GB2312" w:cs="仿宋_GB2312" w:hint="eastAsia"/>
          <w:color w:val="000000" w:themeColor="text1"/>
          <w:sz w:val="32"/>
        </w:rPr>
        <w:t>。国家储备林和林业碳汇项目全面启动，15个项目纳入省“十四五”新能源项目库，大江口抽水蓄</w:t>
      </w:r>
      <w:r>
        <w:rPr>
          <w:rFonts w:ascii="仿宋_GB2312" w:eastAsia="仿宋_GB2312" w:hAnsi="仿宋_GB2312" w:cs="仿宋_GB2312" w:hint="eastAsia"/>
          <w:color w:val="000000" w:themeColor="text1"/>
          <w:sz w:val="32"/>
        </w:rPr>
        <w:lastRenderedPageBreak/>
        <w:t>能电站项目进入全省“十四五”中期调整规划，江口风电、圣人山风电二期并网发电。承办全省非遗示范点创建现场会，雪峰山文旅融合入选全国生态产品价值实现典型案例，北斗溪镇获评全省乡村旅游重点镇，茅坡村、思蒙湾村获评全省乡村旅游重点村。</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纲要提出：民生福祉达到新水平。</w:t>
      </w:r>
      <w:r>
        <w:rPr>
          <w:rFonts w:ascii="仿宋_GB2312" w:eastAsia="仿宋_GB2312" w:hAnsi="仿宋_GB2312" w:cs="仿宋_GB2312" w:hint="eastAsia"/>
          <w:color w:val="000000" w:themeColor="text1"/>
          <w:sz w:val="32"/>
        </w:rPr>
        <w:t>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纲要实施两年半以来，具体实施效果如下：</w:t>
      </w:r>
      <w:r>
        <w:rPr>
          <w:rFonts w:ascii="仿宋_GB2312" w:eastAsia="仿宋_GB2312" w:hAnsi="仿宋_GB2312" w:cs="仿宋_GB2312" w:hint="eastAsia"/>
          <w:b/>
          <w:color w:val="000000" w:themeColor="text1"/>
          <w:sz w:val="32"/>
        </w:rPr>
        <w:t>民生项目全面推进</w:t>
      </w:r>
      <w:r>
        <w:rPr>
          <w:rFonts w:ascii="仿宋_GB2312" w:eastAsia="仿宋_GB2312" w:hAnsi="仿宋_GB2312" w:cs="仿宋_GB2312" w:hint="eastAsia"/>
          <w:color w:val="000000" w:themeColor="text1"/>
          <w:sz w:val="32"/>
        </w:rPr>
        <w:t>。民生支出占比保持在80%以上，</w:t>
      </w:r>
      <w:r w:rsidR="00FB5D48">
        <w:rPr>
          <w:rFonts w:ascii="仿宋_GB2312" w:eastAsia="仿宋_GB2312" w:hAnsi="仿宋_GB2312" w:cs="仿宋_GB2312" w:hint="eastAsia"/>
          <w:color w:val="000000" w:themeColor="text1"/>
          <w:sz w:val="32"/>
        </w:rPr>
        <w:t>完成</w:t>
      </w:r>
      <w:r>
        <w:rPr>
          <w:rFonts w:ascii="仿宋_GB2312" w:eastAsia="仿宋_GB2312" w:hAnsi="仿宋_GB2312" w:cs="仿宋_GB2312" w:hint="eastAsia"/>
          <w:color w:val="000000" w:themeColor="text1"/>
          <w:sz w:val="32"/>
        </w:rPr>
        <w:t>重点民生实事</w:t>
      </w:r>
      <w:r w:rsidR="00FB5D48" w:rsidRPr="00D96AD7">
        <w:rPr>
          <w:rFonts w:ascii="仿宋_GB2312" w:eastAsia="仿宋_GB2312" w:hAnsi="仿宋_GB2312" w:cs="仿宋_GB2312" w:hint="eastAsia"/>
          <w:color w:val="000000" w:themeColor="text1"/>
          <w:sz w:val="32"/>
        </w:rPr>
        <w:t>42件</w:t>
      </w:r>
      <w:r w:rsidRPr="00D96AD7">
        <w:rPr>
          <w:rFonts w:ascii="仿宋_GB2312" w:eastAsia="仿宋_GB2312" w:hAnsi="仿宋_GB2312" w:cs="仿宋_GB2312" w:hint="eastAsia"/>
          <w:color w:val="000000" w:themeColor="text1"/>
          <w:sz w:val="32"/>
        </w:rPr>
        <w:t>。完成老旧小区改造</w:t>
      </w:r>
      <w:r w:rsidR="00555F5C" w:rsidRPr="00D96AD7">
        <w:rPr>
          <w:rFonts w:ascii="仿宋_GB2312" w:eastAsia="仿宋_GB2312" w:hAnsi="仿宋_GB2312" w:cs="仿宋_GB2312" w:hint="eastAsia"/>
          <w:color w:val="000000" w:themeColor="text1"/>
          <w:sz w:val="32"/>
        </w:rPr>
        <w:t>6</w:t>
      </w:r>
      <w:r w:rsidRPr="00D96AD7">
        <w:rPr>
          <w:rFonts w:ascii="仿宋_GB2312" w:eastAsia="仿宋_GB2312" w:hAnsi="仿宋_GB2312" w:cs="仿宋_GB2312" w:hint="eastAsia"/>
          <w:color w:val="000000" w:themeColor="text1"/>
          <w:sz w:val="32"/>
        </w:rPr>
        <w:t>个，</w:t>
      </w:r>
      <w:r w:rsidR="00555F5C" w:rsidRPr="00D96AD7">
        <w:rPr>
          <w:rFonts w:ascii="仿宋_GB2312" w:eastAsia="仿宋_GB2312" w:hAnsi="仿宋_GB2312" w:cs="仿宋_GB2312" w:hint="eastAsia"/>
          <w:color w:val="000000" w:themeColor="text1"/>
          <w:sz w:val="32"/>
        </w:rPr>
        <w:t>在建61个，</w:t>
      </w:r>
      <w:r>
        <w:rPr>
          <w:rFonts w:ascii="仿宋_GB2312" w:eastAsia="仿宋_GB2312" w:hAnsi="仿宋_GB2312" w:cs="仿宋_GB2312" w:hint="eastAsia"/>
          <w:color w:val="000000" w:themeColor="text1"/>
          <w:sz w:val="32"/>
        </w:rPr>
        <w:t>城市供水改造、水厂二期扩建全面完工，人行钢栈桥投入使用，溆浦大桥</w:t>
      </w:r>
      <w:r w:rsidR="009B3B15">
        <w:rPr>
          <w:rFonts w:ascii="仿宋_GB2312" w:eastAsia="仿宋_GB2312" w:hAnsi="仿宋_GB2312" w:cs="仿宋_GB2312" w:hint="eastAsia"/>
          <w:color w:val="000000" w:themeColor="text1"/>
          <w:sz w:val="32"/>
        </w:rPr>
        <w:t>、大江口大桥</w:t>
      </w:r>
      <w:r>
        <w:rPr>
          <w:rFonts w:ascii="仿宋_GB2312" w:eastAsia="仿宋_GB2312" w:hAnsi="仿宋_GB2312" w:cs="仿宋_GB2312" w:hint="eastAsia"/>
          <w:color w:val="000000" w:themeColor="text1"/>
          <w:sz w:val="32"/>
        </w:rPr>
        <w:t>拆除重建全力推进，承办全省人防机关“准军事化”建设现场会。</w:t>
      </w:r>
      <w:r>
        <w:rPr>
          <w:rFonts w:ascii="仿宋_GB2312" w:eastAsia="仿宋_GB2312" w:hAnsi="仿宋_GB2312" w:cs="仿宋_GB2312" w:hint="eastAsia"/>
          <w:b/>
          <w:color w:val="000000" w:themeColor="text1"/>
          <w:sz w:val="32"/>
        </w:rPr>
        <w:t>民生保障坚实稳固</w:t>
      </w:r>
      <w:r>
        <w:rPr>
          <w:rFonts w:ascii="仿宋_GB2312" w:eastAsia="仿宋_GB2312" w:hAnsi="仿宋_GB2312" w:cs="仿宋_GB2312" w:hint="eastAsia"/>
          <w:color w:val="000000" w:themeColor="text1"/>
          <w:sz w:val="32"/>
        </w:rPr>
        <w:t>。</w:t>
      </w:r>
      <w:r w:rsidR="00555F5C">
        <w:rPr>
          <w:rFonts w:ascii="仿宋_GB2312" w:eastAsia="仿宋_GB2312" w:hAnsi="仿宋_GB2312" w:cs="仿宋_GB2312" w:hint="eastAsia"/>
          <w:color w:val="000000" w:themeColor="text1"/>
          <w:sz w:val="32"/>
          <w:szCs w:val="32"/>
        </w:rPr>
        <w:t>城镇登记失业率降至1.75%，</w:t>
      </w:r>
      <w:r>
        <w:rPr>
          <w:rFonts w:ascii="仿宋_GB2312" w:eastAsia="仿宋_GB2312" w:hAnsi="仿宋_GB2312" w:cs="仿宋_GB2312" w:hint="eastAsia"/>
          <w:color w:val="000000" w:themeColor="text1"/>
          <w:sz w:val="32"/>
        </w:rPr>
        <w:t>根治欠薪经验做法在全国推介，城乡低保、残疾人“两项补贴”再度提标，发放各类社会救助资金1.39亿元，低庄军供站被评为全国重点军供站，医疗保障事业稳步发展。</w:t>
      </w:r>
      <w:r>
        <w:rPr>
          <w:rFonts w:ascii="仿宋_GB2312" w:eastAsia="仿宋_GB2312" w:hAnsi="仿宋_GB2312" w:cs="仿宋_GB2312" w:hint="eastAsia"/>
          <w:b/>
          <w:color w:val="000000" w:themeColor="text1"/>
          <w:sz w:val="32"/>
        </w:rPr>
        <w:t>民生事业提质升级</w:t>
      </w:r>
      <w:r>
        <w:rPr>
          <w:rFonts w:ascii="仿宋_GB2312" w:eastAsia="仿宋_GB2312" w:hAnsi="仿宋_GB2312" w:cs="仿宋_GB2312" w:hint="eastAsia"/>
          <w:color w:val="000000" w:themeColor="text1"/>
          <w:sz w:val="32"/>
        </w:rPr>
        <w:t>。县职中改扩建工程全面启动，玉潭学校竣工招生，“大班额”全部化解。</w:t>
      </w:r>
      <w:r>
        <w:rPr>
          <w:rFonts w:ascii="仿宋_GB2312" w:eastAsia="仿宋_GB2312" w:hAnsi="仿宋_GB2312" w:cs="仿宋_GB2312" w:hint="eastAsia"/>
          <w:color w:val="000000" w:themeColor="text1"/>
          <w:sz w:val="32"/>
          <w:szCs w:val="32"/>
        </w:rPr>
        <w:t>国家健康县建设成果进一步巩固，县中医医院搬迁项目稳步实施，县第三人民医院、县妇女儿</w:t>
      </w:r>
      <w:r>
        <w:rPr>
          <w:rFonts w:ascii="仿宋_GB2312" w:eastAsia="仿宋_GB2312" w:hAnsi="仿宋_GB2312" w:cs="仿宋_GB2312" w:hint="eastAsia"/>
          <w:color w:val="000000" w:themeColor="text1"/>
          <w:sz w:val="32"/>
          <w:szCs w:val="32"/>
        </w:rPr>
        <w:lastRenderedPageBreak/>
        <w:t>童医院投入使用，获评全省“紧密型县域医共体建设试点县”，获评“全国基层中医药工作示范县”</w:t>
      </w: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b/>
          <w:color w:val="000000" w:themeColor="text1"/>
          <w:sz w:val="32"/>
        </w:rPr>
        <w:t>风险防范有力有效</w:t>
      </w:r>
      <w:r>
        <w:rPr>
          <w:rFonts w:ascii="仿宋_GB2312" w:eastAsia="仿宋_GB2312" w:hAnsi="仿宋_GB2312" w:cs="仿宋_GB2312" w:hint="eastAsia"/>
          <w:color w:val="000000" w:themeColor="text1"/>
          <w:sz w:val="32"/>
        </w:rPr>
        <w:t>。坚决维护国家政治安全，全力做好党的二十大信访安保维稳工作，巩固拓展“溆浦经验”，中央交办的89件信访问题全部化解。坚决打好禁毒人民战争，禁毒科普教育馆正式开馆。常态化开展扫黑除恶专项斗争，打掉涉恶团伙3个。强力推进打击电信诈骗、“利剑护蕾”等专项行动，刑事案件发案率下降13.97%。扎实开展安全生产大检查和“打非治违”专项行动，对非煤矿山、危险化学品、道路交通、建筑施工、消防等重点领域进行常态化巡查，安全生产事故起数下降36.4%。自建房安全专项整治经验做法在全国、全省推介，获评全省农村住房建设质量安全监管和共同缔造示范县。积极稳妥化解政府债务，守牢金融安全底线。</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纲要提出：治理效能得到新提升。</w:t>
      </w:r>
      <w:r>
        <w:rPr>
          <w:rFonts w:ascii="仿宋_GB2312" w:eastAsia="仿宋_GB2312" w:hAnsi="仿宋_GB2312" w:cs="仿宋_GB2312" w:hint="eastAsia"/>
          <w:color w:val="000000" w:themeColor="text1"/>
          <w:sz w:val="32"/>
        </w:rPr>
        <w:t>社会主义民主法治更加健全，社会公平正义进一步彰显，政府作用更好发挥，行政效率和公信力显著提升，社会治理特别是基层治理水平明显提高，防范化解重大风险体制机制不断健全，突发公共事件应急能力显著增强，自然灾害防御水平明显提升，发展安全保障更加有力。纲要实施两年半以来，具体实施效果如下：</w:t>
      </w:r>
      <w:r>
        <w:rPr>
          <w:rFonts w:ascii="仿宋_GB2312" w:eastAsia="仿宋_GB2312" w:hAnsi="仿宋_GB2312" w:cs="仿宋_GB2312" w:hint="eastAsia"/>
          <w:b/>
          <w:color w:val="000000" w:themeColor="text1"/>
          <w:sz w:val="32"/>
        </w:rPr>
        <w:t>政治建设全面加强</w:t>
      </w:r>
      <w:r>
        <w:rPr>
          <w:rFonts w:ascii="仿宋_GB2312" w:eastAsia="仿宋_GB2312" w:hAnsi="仿宋_GB2312" w:cs="仿宋_GB2312" w:hint="eastAsia"/>
          <w:color w:val="000000" w:themeColor="text1"/>
          <w:sz w:val="32"/>
        </w:rPr>
        <w:t>。坚持把学习宣传贯彻党的二十大精神贯穿政府工作各方面、全过程，忠诚拥护“两个确立”、坚决做到“两个维护”的立场更加坚定。法治建设持续深化。</w:t>
      </w:r>
      <w:r>
        <w:rPr>
          <w:rFonts w:ascii="仿宋_GB2312" w:eastAsia="仿宋_GB2312" w:hAnsi="仿宋_GB2312" w:cs="仿宋_GB2312" w:hint="eastAsia"/>
          <w:b/>
          <w:color w:val="000000" w:themeColor="text1"/>
          <w:sz w:val="32"/>
        </w:rPr>
        <w:t>扎实开展</w:t>
      </w:r>
      <w:r>
        <w:rPr>
          <w:rFonts w:ascii="仿宋_GB2312" w:eastAsia="仿宋_GB2312" w:hAnsi="仿宋_GB2312" w:cs="仿宋_GB2312" w:hint="eastAsia"/>
          <w:b/>
          <w:color w:val="000000" w:themeColor="text1"/>
          <w:sz w:val="32"/>
        </w:rPr>
        <w:lastRenderedPageBreak/>
        <w:t>“八五”普法</w:t>
      </w:r>
      <w:r>
        <w:rPr>
          <w:rFonts w:ascii="仿宋_GB2312" w:eastAsia="仿宋_GB2312" w:hAnsi="仿宋_GB2312" w:cs="仿宋_GB2312" w:hint="eastAsia"/>
          <w:color w:val="000000" w:themeColor="text1"/>
          <w:sz w:val="32"/>
        </w:rPr>
        <w:t>，全面推进乡镇司法所规范化建设，水东镇刘家渡村创建全国民主法制示范村。依法接受人大法律监督和工作监督，主动接受政协民主监督，认真办理人大代表建议148件、政协委员提案136件。深入开展“三整顿两提升”干部作风建设专项活动，着力整治形式主义官僚主义。</w:t>
      </w:r>
      <w:r>
        <w:rPr>
          <w:rFonts w:ascii="仿宋_GB2312" w:eastAsia="仿宋_GB2312" w:hAnsi="仿宋_GB2312" w:cs="仿宋_GB2312" w:hint="eastAsia"/>
          <w:b/>
          <w:color w:val="000000" w:themeColor="text1"/>
          <w:sz w:val="32"/>
        </w:rPr>
        <w:t>突出抓好清廉政府建设</w:t>
      </w:r>
      <w:r>
        <w:rPr>
          <w:rFonts w:ascii="仿宋_GB2312" w:eastAsia="仿宋_GB2312" w:hAnsi="仿宋_GB2312" w:cs="仿宋_GB2312" w:hint="eastAsia"/>
          <w:color w:val="000000" w:themeColor="text1"/>
          <w:sz w:val="32"/>
        </w:rPr>
        <w:t>，“村务卡”“廉情监督员”等做法被中纪委推介。坚持以政府“紧日子”换取群众“好日子”，“三公”经费持续压减，审计监督项目63个。同时，气象、水文、移民、档案、史志、文联、工会、社科联、共青团、妇女儿童、老龄老干等各项事业都取得新成效。</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10" w:name="_Toc30045"/>
      <w:r>
        <w:rPr>
          <w:rFonts w:ascii="黑体" w:eastAsia="黑体" w:hAnsi="黑体" w:hint="eastAsia"/>
          <w:b w:val="0"/>
          <w:bCs w:val="0"/>
          <w:color w:val="000000" w:themeColor="text1"/>
        </w:rPr>
        <w:t>三、规划指标完成情况</w:t>
      </w:r>
      <w:bookmarkEnd w:id="10"/>
    </w:p>
    <w:p w:rsidR="000B0562" w:rsidRDefault="005B091D" w:rsidP="000F5DC7">
      <w:pPr>
        <w:pStyle w:val="4"/>
        <w:numPr>
          <w:ilvl w:val="3"/>
          <w:numId w:val="0"/>
        </w:numPr>
        <w:spacing w:before="0" w:after="0" w:line="616" w:lineRule="exact"/>
        <w:ind w:leftChars="200" w:left="420"/>
        <w:rPr>
          <w:rFonts w:ascii="楷体_GB2312" w:eastAsia="楷体_GB2312" w:hAnsi="楷体_GB2312" w:cs="楷体_GB2312"/>
          <w:bCs w:val="0"/>
          <w:color w:val="000000" w:themeColor="text1"/>
          <w:sz w:val="32"/>
          <w:szCs w:val="24"/>
        </w:rPr>
      </w:pPr>
      <w:r>
        <w:rPr>
          <w:rFonts w:ascii="楷体_GB2312" w:eastAsia="楷体_GB2312" w:hAnsi="楷体_GB2312" w:cs="楷体_GB2312" w:hint="eastAsia"/>
          <w:bCs w:val="0"/>
          <w:color w:val="000000" w:themeColor="text1"/>
          <w:sz w:val="32"/>
          <w:szCs w:val="24"/>
        </w:rPr>
        <w:t>（一）经济发展类指标稳中有喜</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1.地区生产总值(预期性)，</w:t>
      </w:r>
      <w:r>
        <w:rPr>
          <w:rFonts w:ascii="仿宋_GB2312" w:eastAsia="仿宋_GB2312" w:hAnsi="仿宋_GB2312" w:cs="仿宋_GB2312" w:hint="eastAsia"/>
          <w:color w:val="000000" w:themeColor="text1"/>
          <w:sz w:val="32"/>
        </w:rPr>
        <w:t>2021年、2022年、2023年上半年，地区生产总值分别增长8.40%、5.00%、3.90%，</w:t>
      </w:r>
      <w:r w:rsidR="00DB7747">
        <w:rPr>
          <w:rFonts w:ascii="仿宋_GB2312" w:eastAsia="仿宋_GB2312" w:hAnsi="仿宋_GB2312" w:cs="仿宋_GB2312" w:hint="eastAsia"/>
          <w:color w:val="000000" w:themeColor="text1"/>
          <w:sz w:val="32"/>
        </w:rPr>
        <w:t>预计</w:t>
      </w:r>
      <w:r>
        <w:rPr>
          <w:rFonts w:ascii="仿宋_GB2312" w:eastAsia="仿宋_GB2312" w:hAnsi="仿宋_GB2312" w:cs="仿宋_GB2312" w:hint="eastAsia"/>
          <w:color w:val="000000" w:themeColor="text1"/>
          <w:sz w:val="32"/>
        </w:rPr>
        <w:t>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2.全员劳动生产率增长(预期性)，</w:t>
      </w:r>
      <w:r>
        <w:rPr>
          <w:rFonts w:ascii="仿宋_GB2312" w:eastAsia="仿宋_GB2312" w:hAnsi="仿宋_GB2312" w:cs="仿宋_GB2312" w:hint="eastAsia"/>
          <w:color w:val="000000" w:themeColor="text1"/>
          <w:sz w:val="32"/>
        </w:rPr>
        <w:t>2021年、2022年、2023年预计，全员劳动生产率增长分别为15.86%、6.53%、7.00%，目标2025年值为7.00%，</w:t>
      </w:r>
      <w:r w:rsidR="00DB7747">
        <w:rPr>
          <w:rFonts w:ascii="仿宋_GB2312" w:eastAsia="仿宋_GB2312" w:hAnsi="仿宋_GB2312" w:cs="仿宋_GB2312" w:hint="eastAsia"/>
          <w:color w:val="000000" w:themeColor="text1"/>
          <w:sz w:val="32"/>
        </w:rPr>
        <w:t>预计</w:t>
      </w:r>
      <w:r>
        <w:rPr>
          <w:rFonts w:ascii="仿宋_GB2312" w:eastAsia="仿宋_GB2312" w:hAnsi="仿宋_GB2312" w:cs="仿宋_GB2312" w:hint="eastAsia"/>
          <w:color w:val="000000" w:themeColor="text1"/>
          <w:sz w:val="32"/>
        </w:rPr>
        <w:t>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3.制造业增加值占地区生产总值比重(预期性)，</w:t>
      </w:r>
      <w:r>
        <w:rPr>
          <w:rFonts w:ascii="仿宋_GB2312" w:eastAsia="仿宋_GB2312" w:hAnsi="仿宋_GB2312" w:cs="仿宋_GB2312" w:hint="eastAsia"/>
          <w:color w:val="000000" w:themeColor="text1"/>
          <w:sz w:val="32"/>
        </w:rPr>
        <w:t>2021年、2022年、2023年上半年，制造业增加值占地区生产总值比重分别为17.60%、19.16%、20.00%，目标2025年值为</w:t>
      </w:r>
      <w:r>
        <w:rPr>
          <w:rFonts w:ascii="仿宋_GB2312" w:eastAsia="仿宋_GB2312" w:hAnsi="仿宋_GB2312" w:cs="仿宋_GB2312" w:hint="eastAsia"/>
          <w:color w:val="000000" w:themeColor="text1"/>
          <w:sz w:val="32"/>
        </w:rPr>
        <w:lastRenderedPageBreak/>
        <w:t>19.0%，</w:t>
      </w:r>
      <w:r w:rsidR="00DB7747">
        <w:rPr>
          <w:rFonts w:ascii="仿宋_GB2312" w:eastAsia="仿宋_GB2312" w:hAnsi="仿宋_GB2312" w:cs="仿宋_GB2312" w:hint="eastAsia"/>
          <w:color w:val="000000" w:themeColor="text1"/>
          <w:sz w:val="32"/>
        </w:rPr>
        <w:t>预计</w:t>
      </w:r>
      <w:r>
        <w:rPr>
          <w:rFonts w:ascii="仿宋_GB2312" w:eastAsia="仿宋_GB2312" w:hAnsi="仿宋_GB2312" w:cs="仿宋_GB2312" w:hint="eastAsia"/>
          <w:color w:val="000000" w:themeColor="text1"/>
          <w:sz w:val="32"/>
        </w:rPr>
        <w:t>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4.产业投资占固定资产投资比重(预期性)，</w:t>
      </w:r>
      <w:r>
        <w:rPr>
          <w:rFonts w:ascii="仿宋_GB2312" w:eastAsia="仿宋_GB2312" w:hAnsi="仿宋_GB2312" w:cs="仿宋_GB2312" w:hint="eastAsia"/>
          <w:color w:val="000000" w:themeColor="text1"/>
          <w:sz w:val="32"/>
        </w:rPr>
        <w:t>2021年、2022年、2023年上半年，产业投资占固定资产投资比重分别为53.6%、63.9%、66.18%，目标2025年值60.00%，</w:t>
      </w:r>
      <w:r w:rsidR="00DB7747">
        <w:rPr>
          <w:rFonts w:ascii="仿宋_GB2312" w:eastAsia="仿宋_GB2312" w:hAnsi="仿宋_GB2312" w:cs="仿宋_GB2312" w:hint="eastAsia"/>
          <w:color w:val="000000" w:themeColor="text1"/>
          <w:sz w:val="32"/>
        </w:rPr>
        <w:t>预计</w:t>
      </w:r>
      <w:r>
        <w:rPr>
          <w:rFonts w:ascii="仿宋_GB2312" w:eastAsia="仿宋_GB2312" w:hAnsi="仿宋_GB2312" w:cs="仿宋_GB2312" w:hint="eastAsia"/>
          <w:color w:val="000000" w:themeColor="text1"/>
          <w:sz w:val="32"/>
        </w:rPr>
        <w:t>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5.最终消费支出对地区生产总值贡献率(预期性)，</w:t>
      </w:r>
      <w:r>
        <w:rPr>
          <w:rFonts w:ascii="仿宋_GB2312" w:eastAsia="仿宋_GB2312" w:hAnsi="仿宋_GB2312" w:cs="仿宋_GB2312" w:hint="eastAsia"/>
          <w:color w:val="000000" w:themeColor="text1"/>
          <w:sz w:val="32"/>
        </w:rPr>
        <w:t>2021年、2022年、2023年上半年，最终消费支出对地区生产总值贡献率分别为37.74%、36.28%、35.00%，目标2025年值60.00%，指标未达目标序时进度；</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6.对外贸易依存度(预期性)，</w:t>
      </w:r>
      <w:r>
        <w:rPr>
          <w:rFonts w:ascii="仿宋_GB2312" w:eastAsia="仿宋_GB2312" w:hAnsi="仿宋_GB2312" w:cs="仿宋_GB2312" w:hint="eastAsia"/>
          <w:color w:val="000000" w:themeColor="text1"/>
          <w:sz w:val="32"/>
        </w:rPr>
        <w:t>2021年、2022年、2023年上半年，对外贸易依存度分别为0.40%、1.22%、0.95%，目标2025年值0.98%</w:t>
      </w:r>
      <w:r w:rsidR="00DB7747">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pacing w:val="6"/>
          <w:sz w:val="32"/>
        </w:rPr>
      </w:pPr>
      <w:r>
        <w:rPr>
          <w:rFonts w:ascii="仿宋_GB2312" w:eastAsia="仿宋_GB2312" w:hAnsi="仿宋_GB2312" w:cs="仿宋_GB2312" w:hint="eastAsia"/>
          <w:b/>
          <w:bCs/>
          <w:color w:val="000000" w:themeColor="text1"/>
          <w:sz w:val="32"/>
        </w:rPr>
        <w:t>7.地方一般公共预算收入占地区生产总值比重(预期性)，</w:t>
      </w:r>
      <w:r>
        <w:rPr>
          <w:rFonts w:ascii="仿宋_GB2312" w:eastAsia="仿宋_GB2312" w:hAnsi="仿宋_GB2312" w:cs="仿宋_GB2312" w:hint="eastAsia"/>
          <w:color w:val="000000" w:themeColor="text1"/>
          <w:spacing w:val="6"/>
          <w:sz w:val="32"/>
        </w:rPr>
        <w:t>2021年、2022年、2023年上半年，地方一般公共预算收入占地区生产总值比重分别为3.70%、4.58%、6.00%，目标2025年值3.48%，</w:t>
      </w:r>
      <w:r w:rsidR="00DB7747">
        <w:rPr>
          <w:rFonts w:ascii="仿宋_GB2312" w:eastAsia="仿宋_GB2312" w:hAnsi="仿宋_GB2312" w:cs="仿宋_GB2312" w:hint="eastAsia"/>
          <w:color w:val="000000" w:themeColor="text1"/>
          <w:sz w:val="32"/>
        </w:rPr>
        <w:t>预计</w:t>
      </w:r>
      <w:r>
        <w:rPr>
          <w:rFonts w:ascii="仿宋_GB2312" w:eastAsia="仿宋_GB2312" w:hAnsi="仿宋_GB2312" w:cs="仿宋_GB2312" w:hint="eastAsia"/>
          <w:color w:val="000000" w:themeColor="text1"/>
          <w:spacing w:val="6"/>
          <w:sz w:val="32"/>
        </w:rPr>
        <w:t>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8.常住人口城镇化率(预期性)，</w:t>
      </w:r>
      <w:r w:rsidRPr="00D96AD7">
        <w:rPr>
          <w:rFonts w:ascii="仿宋_GB2312" w:eastAsia="仿宋_GB2312" w:hAnsi="仿宋_GB2312" w:cs="仿宋_GB2312" w:hint="eastAsia"/>
          <w:color w:val="000000" w:themeColor="text1"/>
          <w:spacing w:val="6"/>
          <w:sz w:val="32"/>
        </w:rPr>
        <w:t>2021年、2022年常住人口城镇化率分别为30.13%、30.75%，目标2025年值50.00%,</w:t>
      </w:r>
      <w:r>
        <w:rPr>
          <w:rFonts w:ascii="仿宋_GB2312" w:eastAsia="仿宋_GB2312" w:hAnsi="仿宋_GB2312" w:cs="仿宋_GB2312" w:hint="eastAsia"/>
          <w:color w:val="000000" w:themeColor="text1"/>
          <w:sz w:val="32"/>
        </w:rPr>
        <w:t>预计难以完成规划目标，主要由于行政区划调整在对街道、人口聚集区的确定时对村(居)委会的城镇属性划分量过少，导致常住人口统计范围过窄，城镇化率偏低。</w:t>
      </w:r>
    </w:p>
    <w:p w:rsidR="000B0562" w:rsidRDefault="005B091D" w:rsidP="000F5DC7">
      <w:pPr>
        <w:pStyle w:val="4"/>
        <w:numPr>
          <w:ilvl w:val="3"/>
          <w:numId w:val="0"/>
        </w:numPr>
        <w:spacing w:before="0" w:after="0" w:line="616" w:lineRule="exact"/>
        <w:ind w:leftChars="200" w:left="420"/>
        <w:rPr>
          <w:rFonts w:ascii="楷体_GB2312" w:eastAsia="楷体_GB2312" w:hAnsi="楷体_GB2312" w:cs="楷体_GB2312"/>
          <w:bCs w:val="0"/>
          <w:color w:val="000000" w:themeColor="text1"/>
          <w:sz w:val="32"/>
          <w:szCs w:val="24"/>
        </w:rPr>
      </w:pPr>
      <w:r>
        <w:rPr>
          <w:rFonts w:ascii="楷体_GB2312" w:eastAsia="楷体_GB2312" w:hAnsi="楷体_GB2312" w:cs="楷体_GB2312" w:hint="eastAsia"/>
          <w:bCs w:val="0"/>
          <w:color w:val="000000" w:themeColor="text1"/>
          <w:sz w:val="32"/>
          <w:szCs w:val="24"/>
        </w:rPr>
        <w:lastRenderedPageBreak/>
        <w:t>（二）创新驱动类指标完成良好</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1.研发经费投入增长(预期性)，</w:t>
      </w:r>
      <w:r>
        <w:rPr>
          <w:rFonts w:ascii="仿宋_GB2312" w:eastAsia="仿宋_GB2312" w:hAnsi="仿宋_GB2312" w:cs="仿宋_GB2312" w:hint="eastAsia"/>
          <w:color w:val="000000" w:themeColor="text1"/>
          <w:sz w:val="32"/>
        </w:rPr>
        <w:t>2021年、2022年，研发经费投入增长分别为9.10%、91.69%，2023年认定数据暂缺，目标2025年值9.00%</w:t>
      </w:r>
      <w:r w:rsidR="00DB7747">
        <w:rPr>
          <w:rFonts w:ascii="仿宋_GB2312" w:eastAsia="仿宋_GB2312" w:hAnsi="仿宋_GB2312" w:cs="仿宋_GB2312" w:hint="eastAsia"/>
          <w:color w:val="000000" w:themeColor="text1"/>
          <w:sz w:val="32"/>
        </w:rPr>
        <w:t>，预计</w:t>
      </w:r>
      <w:r>
        <w:rPr>
          <w:rFonts w:ascii="仿宋_GB2312" w:eastAsia="仿宋_GB2312" w:hAnsi="仿宋_GB2312" w:cs="仿宋_GB2312" w:hint="eastAsia"/>
          <w:color w:val="000000" w:themeColor="text1"/>
          <w:sz w:val="32"/>
        </w:rPr>
        <w:t>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2.每万人口高价值发明专利拥有量(预期性)，</w:t>
      </w:r>
      <w:r>
        <w:rPr>
          <w:rFonts w:ascii="仿宋_GB2312" w:eastAsia="仿宋_GB2312" w:hAnsi="仿宋_GB2312" w:cs="仿宋_GB2312" w:hint="eastAsia"/>
          <w:color w:val="000000" w:themeColor="text1"/>
          <w:sz w:val="32"/>
        </w:rPr>
        <w:t>2020年、2022年、2023年我县暂缺发明专利统计数据，2021年我县成功申报的发明专利675件，每万人口高价值发明专利拥有量7.17件，目标2025年值为大于1</w:t>
      </w:r>
      <w:r w:rsidR="00DB7747">
        <w:rPr>
          <w:rFonts w:ascii="仿宋_GB2312" w:eastAsia="仿宋_GB2312" w:hAnsi="仿宋_GB2312" w:cs="仿宋_GB2312" w:hint="eastAsia"/>
          <w:color w:val="000000" w:themeColor="text1"/>
          <w:sz w:val="32"/>
        </w:rPr>
        <w:t>件，预计</w:t>
      </w:r>
      <w:r>
        <w:rPr>
          <w:rFonts w:ascii="仿宋_GB2312" w:eastAsia="仿宋_GB2312" w:hAnsi="仿宋_GB2312" w:cs="仿宋_GB2312" w:hint="eastAsia"/>
          <w:color w:val="000000" w:themeColor="text1"/>
          <w:sz w:val="32"/>
        </w:rPr>
        <w:t>能按序时进度完成规划目标。参考省市同期目标值和完成情况，我县每万人口高价值发明专利拥有量目标值大于1件是合理，但应加强历年专利申报相关数据的统计。</w:t>
      </w:r>
    </w:p>
    <w:p w:rsidR="000B0562" w:rsidRDefault="005B091D" w:rsidP="000F5DC7">
      <w:pPr>
        <w:pStyle w:val="4"/>
        <w:numPr>
          <w:ilvl w:val="3"/>
          <w:numId w:val="0"/>
        </w:numPr>
        <w:spacing w:before="0" w:after="0" w:line="616" w:lineRule="exact"/>
        <w:ind w:leftChars="200" w:left="420"/>
        <w:rPr>
          <w:rFonts w:ascii="楷体_GB2312" w:eastAsia="楷体_GB2312" w:hAnsi="楷体_GB2312" w:cs="楷体_GB2312"/>
          <w:bCs w:val="0"/>
          <w:color w:val="000000" w:themeColor="text1"/>
          <w:sz w:val="32"/>
          <w:szCs w:val="24"/>
        </w:rPr>
      </w:pPr>
      <w:r>
        <w:rPr>
          <w:rFonts w:ascii="楷体_GB2312" w:eastAsia="楷体_GB2312" w:hAnsi="楷体_GB2312" w:cs="楷体_GB2312" w:hint="eastAsia"/>
          <w:bCs w:val="0"/>
          <w:color w:val="000000" w:themeColor="text1"/>
          <w:sz w:val="32"/>
          <w:szCs w:val="24"/>
        </w:rPr>
        <w:t>（三）民生福祉类指标喜忧参半</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1.居民人均可支配收入增长(预期性)，</w:t>
      </w:r>
      <w:r>
        <w:rPr>
          <w:rFonts w:ascii="仿宋_GB2312" w:eastAsia="仿宋_GB2312" w:hAnsi="仿宋_GB2312" w:cs="仿宋_GB2312" w:hint="eastAsia"/>
          <w:color w:val="000000" w:themeColor="text1"/>
          <w:sz w:val="32"/>
        </w:rPr>
        <w:t>2021年、2022年、2023年上半年，居民人均可支配收入增长分别为9.9%、6.4%、7.2%，目标2025年值为≥7.50%</w:t>
      </w:r>
      <w:r w:rsidR="00DB7747">
        <w:rPr>
          <w:rFonts w:ascii="仿宋_GB2312" w:eastAsia="仿宋_GB2312" w:hAnsi="仿宋_GB2312" w:cs="仿宋_GB2312" w:hint="eastAsia"/>
          <w:color w:val="000000" w:themeColor="text1"/>
          <w:sz w:val="32"/>
        </w:rPr>
        <w:t>，预计</w:t>
      </w:r>
      <w:r>
        <w:rPr>
          <w:rFonts w:ascii="仿宋_GB2312" w:eastAsia="仿宋_GB2312" w:hAnsi="仿宋_GB2312" w:cs="仿宋_GB2312" w:hint="eastAsia"/>
          <w:color w:val="000000" w:themeColor="text1"/>
          <w:sz w:val="32"/>
        </w:rPr>
        <w:t>能按序时进度完成规划目标；</w:t>
      </w:r>
    </w:p>
    <w:p w:rsidR="000B0562" w:rsidRDefault="00D13CBB"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b/>
          <w:bCs/>
          <w:color w:val="000000" w:themeColor="text1"/>
          <w:sz w:val="32"/>
        </w:rPr>
        <w:t>2</w:t>
      </w:r>
      <w:r w:rsidR="005B091D">
        <w:rPr>
          <w:rFonts w:ascii="仿宋_GB2312" w:eastAsia="仿宋_GB2312" w:hAnsi="仿宋_GB2312" w:cs="仿宋_GB2312" w:hint="eastAsia"/>
          <w:b/>
          <w:bCs/>
          <w:color w:val="000000" w:themeColor="text1"/>
          <w:sz w:val="32"/>
        </w:rPr>
        <w:t>.劳动年龄人口平均受教育年限，</w:t>
      </w:r>
      <w:r w:rsidR="005B091D">
        <w:rPr>
          <w:rFonts w:ascii="仿宋_GB2312" w:eastAsia="仿宋_GB2312" w:hAnsi="仿宋_GB2312" w:cs="仿宋_GB2312" w:hint="eastAsia"/>
          <w:color w:val="000000" w:themeColor="text1"/>
          <w:sz w:val="32"/>
        </w:rPr>
        <w:t>2021年、2022年，劳动年龄人口平均受教育年限分别为9.82年、9.93年，2023年1-6月暂缺数据，指标未达目标序时进度；</w:t>
      </w:r>
    </w:p>
    <w:p w:rsidR="000B0562" w:rsidRDefault="00D13CBB"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b/>
          <w:bCs/>
          <w:color w:val="000000" w:themeColor="text1"/>
          <w:sz w:val="32"/>
        </w:rPr>
        <w:t>3</w:t>
      </w:r>
      <w:r w:rsidR="005B091D">
        <w:rPr>
          <w:rFonts w:ascii="仿宋_GB2312" w:eastAsia="仿宋_GB2312" w:hAnsi="仿宋_GB2312" w:cs="仿宋_GB2312" w:hint="eastAsia"/>
          <w:b/>
          <w:bCs/>
          <w:color w:val="000000" w:themeColor="text1"/>
          <w:sz w:val="32"/>
        </w:rPr>
        <w:t>.每千人口拥有执业（助理）医师数(预期性)，</w:t>
      </w:r>
      <w:r w:rsidR="005B091D">
        <w:rPr>
          <w:rFonts w:ascii="仿宋_GB2312" w:eastAsia="仿宋_GB2312" w:hAnsi="仿宋_GB2312" w:cs="仿宋_GB2312" w:hint="eastAsia"/>
          <w:color w:val="000000" w:themeColor="text1"/>
          <w:sz w:val="32"/>
        </w:rPr>
        <w:t>2021年、2022年、2023年上半年，每千人口拥有执业（助理）医师</w:t>
      </w:r>
      <w:r w:rsidR="005B091D">
        <w:rPr>
          <w:rFonts w:ascii="仿宋_GB2312" w:eastAsia="仿宋_GB2312" w:hAnsi="仿宋_GB2312" w:cs="仿宋_GB2312" w:hint="eastAsia"/>
          <w:color w:val="000000" w:themeColor="text1"/>
          <w:sz w:val="32"/>
        </w:rPr>
        <w:lastRenderedPageBreak/>
        <w:t>数分别为1.88人、2.23人、2.35人，目标2025年值为2.54人，预计能按序时进度完成规划目标；</w:t>
      </w:r>
    </w:p>
    <w:p w:rsidR="000B0562" w:rsidRDefault="00D13CBB"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b/>
          <w:bCs/>
          <w:color w:val="000000" w:themeColor="text1"/>
          <w:sz w:val="32"/>
        </w:rPr>
        <w:t>4</w:t>
      </w:r>
      <w:r w:rsidR="005B091D">
        <w:rPr>
          <w:rFonts w:ascii="仿宋_GB2312" w:eastAsia="仿宋_GB2312" w:hAnsi="仿宋_GB2312" w:cs="仿宋_GB2312" w:hint="eastAsia"/>
          <w:b/>
          <w:bCs/>
          <w:color w:val="000000" w:themeColor="text1"/>
          <w:sz w:val="32"/>
        </w:rPr>
        <w:t>.基本养老保险参保率(预期性)，</w:t>
      </w:r>
      <w:r w:rsidR="005B091D">
        <w:rPr>
          <w:rFonts w:ascii="仿宋_GB2312" w:eastAsia="仿宋_GB2312" w:hAnsi="仿宋_GB2312" w:cs="仿宋_GB2312" w:hint="eastAsia"/>
          <w:color w:val="000000" w:themeColor="text1"/>
          <w:sz w:val="32"/>
        </w:rPr>
        <w:t>2021年、2022年、2023年上半年，基本养老保险参保率分别为94.63%、95.18%、96.01%，目标2025年值为92%，</w:t>
      </w:r>
      <w:r w:rsidR="00DB7747">
        <w:rPr>
          <w:rFonts w:ascii="仿宋_GB2312" w:eastAsia="仿宋_GB2312" w:hAnsi="仿宋_GB2312" w:cs="仿宋_GB2312" w:hint="eastAsia"/>
          <w:color w:val="000000" w:themeColor="text1"/>
          <w:sz w:val="32"/>
        </w:rPr>
        <w:t>预计能</w:t>
      </w:r>
      <w:r w:rsidR="005B091D">
        <w:rPr>
          <w:rFonts w:ascii="仿宋_GB2312" w:eastAsia="仿宋_GB2312" w:hAnsi="仿宋_GB2312" w:cs="仿宋_GB2312" w:hint="eastAsia"/>
          <w:color w:val="000000" w:themeColor="text1"/>
          <w:sz w:val="32"/>
        </w:rPr>
        <w:t>按序时进度完成规划目标</w:t>
      </w:r>
      <w:r w:rsidR="00E60008">
        <w:rPr>
          <w:rFonts w:ascii="仿宋_GB2312" w:eastAsia="仿宋_GB2312" w:hAnsi="仿宋_GB2312" w:cs="仿宋_GB2312" w:hint="eastAsia"/>
          <w:color w:val="000000" w:themeColor="text1"/>
          <w:sz w:val="32"/>
        </w:rPr>
        <w:t>；</w:t>
      </w:r>
    </w:p>
    <w:p w:rsidR="00E60008" w:rsidRPr="00D96AD7" w:rsidRDefault="00D13CBB" w:rsidP="00A769A6">
      <w:pPr>
        <w:pStyle w:val="a8"/>
        <w:spacing w:line="616" w:lineRule="exact"/>
        <w:ind w:firstLine="640"/>
        <w:rPr>
          <w:rFonts w:ascii="仿宋_GB2312" w:eastAsia="仿宋_GB2312" w:hAnsi="仿宋_GB2312" w:cs="仿宋_GB2312"/>
          <w:color w:val="000000" w:themeColor="text1"/>
          <w:sz w:val="32"/>
        </w:rPr>
      </w:pPr>
      <w:r w:rsidRPr="00D96AD7">
        <w:rPr>
          <w:rFonts w:ascii="仿宋_GB2312" w:eastAsia="仿宋_GB2312" w:hAnsi="仿宋_GB2312" w:cs="仿宋_GB2312"/>
          <w:b/>
          <w:bCs/>
          <w:color w:val="000000" w:themeColor="text1"/>
          <w:sz w:val="32"/>
        </w:rPr>
        <w:t>5</w:t>
      </w:r>
      <w:r w:rsidR="00E60008" w:rsidRPr="00D96AD7">
        <w:rPr>
          <w:rFonts w:ascii="仿宋_GB2312" w:eastAsia="仿宋_GB2312" w:hAnsi="仿宋_GB2312" w:cs="仿宋_GB2312"/>
          <w:b/>
          <w:bCs/>
          <w:color w:val="000000" w:themeColor="text1"/>
          <w:sz w:val="32"/>
        </w:rPr>
        <w:t>.</w:t>
      </w:r>
      <w:r w:rsidR="00E60008" w:rsidRPr="00D96AD7">
        <w:rPr>
          <w:rFonts w:ascii="仿宋_GB2312" w:eastAsia="仿宋_GB2312" w:hAnsi="仿宋_GB2312" w:cs="仿宋_GB2312" w:hint="eastAsia"/>
          <w:b/>
          <w:bCs/>
          <w:color w:val="000000" w:themeColor="text1"/>
          <w:sz w:val="32"/>
        </w:rPr>
        <w:t>每千人口拥有三岁以下婴幼儿托位数(</w:t>
      </w:r>
      <w:r w:rsidR="009A276E" w:rsidRPr="00D96AD7">
        <w:rPr>
          <w:rFonts w:ascii="仿宋_GB2312" w:eastAsia="仿宋_GB2312" w:hAnsi="仿宋_GB2312" w:cs="仿宋_GB2312" w:hint="eastAsia"/>
          <w:b/>
          <w:bCs/>
          <w:color w:val="000000" w:themeColor="text1"/>
          <w:sz w:val="32"/>
        </w:rPr>
        <w:t>预期性</w:t>
      </w:r>
      <w:r w:rsidR="00E60008" w:rsidRPr="00D96AD7">
        <w:rPr>
          <w:rFonts w:ascii="仿宋_GB2312" w:eastAsia="仿宋_GB2312" w:hAnsi="仿宋_GB2312" w:cs="仿宋_GB2312" w:hint="eastAsia"/>
          <w:b/>
          <w:bCs/>
          <w:color w:val="000000" w:themeColor="text1"/>
          <w:sz w:val="32"/>
        </w:rPr>
        <w:t>)，</w:t>
      </w:r>
      <w:r w:rsidR="00E60008" w:rsidRPr="00D96AD7">
        <w:rPr>
          <w:rFonts w:ascii="仿宋_GB2312" w:eastAsia="仿宋_GB2312" w:hAnsi="仿宋_GB2312" w:cs="仿宋_GB2312" w:hint="eastAsia"/>
          <w:color w:val="000000" w:themeColor="text1"/>
          <w:sz w:val="32"/>
        </w:rPr>
        <w:t>2021年、2022年、2023年上半年，每千人口拥有三岁以下婴幼儿托位数分别为</w:t>
      </w:r>
      <w:r w:rsidR="00E60008" w:rsidRPr="00D96AD7">
        <w:rPr>
          <w:rFonts w:ascii="仿宋_GB2312" w:eastAsia="仿宋_GB2312" w:hAnsi="仿宋_GB2312" w:cs="仿宋_GB2312"/>
          <w:color w:val="000000" w:themeColor="text1"/>
          <w:sz w:val="32"/>
        </w:rPr>
        <w:t>0.34个、</w:t>
      </w:r>
      <w:r w:rsidR="00E60008" w:rsidRPr="00D96AD7">
        <w:rPr>
          <w:rFonts w:ascii="仿宋_GB2312" w:eastAsia="仿宋_GB2312" w:hAnsi="仿宋_GB2312" w:cs="仿宋_GB2312" w:hint="eastAsia"/>
          <w:color w:val="000000" w:themeColor="text1"/>
          <w:sz w:val="32"/>
        </w:rPr>
        <w:t>2</w:t>
      </w:r>
      <w:r w:rsidR="00E60008" w:rsidRPr="00D96AD7">
        <w:rPr>
          <w:rFonts w:ascii="仿宋_GB2312" w:eastAsia="仿宋_GB2312" w:hAnsi="仿宋_GB2312" w:cs="仿宋_GB2312"/>
          <w:color w:val="000000" w:themeColor="text1"/>
          <w:sz w:val="32"/>
        </w:rPr>
        <w:t>.68个、</w:t>
      </w:r>
      <w:r w:rsidR="00E60008" w:rsidRPr="00D96AD7">
        <w:rPr>
          <w:rFonts w:ascii="仿宋_GB2312" w:eastAsia="仿宋_GB2312" w:hAnsi="仿宋_GB2312" w:cs="仿宋_GB2312" w:hint="eastAsia"/>
          <w:color w:val="000000" w:themeColor="text1"/>
          <w:sz w:val="32"/>
        </w:rPr>
        <w:t>3</w:t>
      </w:r>
      <w:r w:rsidR="00E60008" w:rsidRPr="00D96AD7">
        <w:rPr>
          <w:rFonts w:ascii="仿宋_GB2312" w:eastAsia="仿宋_GB2312" w:hAnsi="仿宋_GB2312" w:cs="仿宋_GB2312"/>
          <w:color w:val="000000" w:themeColor="text1"/>
          <w:sz w:val="32"/>
        </w:rPr>
        <w:t>.30个</w:t>
      </w:r>
      <w:r w:rsidR="00E60008" w:rsidRPr="00D96AD7">
        <w:rPr>
          <w:rFonts w:ascii="仿宋_GB2312" w:eastAsia="仿宋_GB2312" w:hAnsi="仿宋_GB2312" w:cs="仿宋_GB2312" w:hint="eastAsia"/>
          <w:color w:val="000000" w:themeColor="text1"/>
          <w:sz w:val="32"/>
        </w:rPr>
        <w:t>，目标2025年值为</w:t>
      </w:r>
      <w:r w:rsidR="00E60008" w:rsidRPr="00D96AD7">
        <w:rPr>
          <w:rFonts w:ascii="仿宋_GB2312" w:eastAsia="仿宋_GB2312" w:hAnsi="仿宋_GB2312" w:cs="仿宋_GB2312"/>
          <w:color w:val="000000" w:themeColor="text1"/>
          <w:sz w:val="32"/>
        </w:rPr>
        <w:t>4个</w:t>
      </w:r>
      <w:r w:rsidR="00E60008" w:rsidRPr="00D96AD7">
        <w:rPr>
          <w:rFonts w:ascii="仿宋_GB2312" w:eastAsia="仿宋_GB2312" w:hAnsi="仿宋_GB2312" w:cs="仿宋_GB2312" w:hint="eastAsia"/>
          <w:color w:val="000000" w:themeColor="text1"/>
          <w:sz w:val="32"/>
        </w:rPr>
        <w:t>，</w:t>
      </w:r>
      <w:r w:rsidR="00DB7747">
        <w:rPr>
          <w:rFonts w:ascii="仿宋_GB2312" w:eastAsia="仿宋_GB2312" w:hAnsi="仿宋_GB2312" w:cs="仿宋_GB2312" w:hint="eastAsia"/>
          <w:color w:val="000000" w:themeColor="text1"/>
          <w:sz w:val="32"/>
        </w:rPr>
        <w:t>预计能</w:t>
      </w:r>
      <w:r w:rsidR="00E60008" w:rsidRPr="00D96AD7">
        <w:rPr>
          <w:rFonts w:ascii="仿宋_GB2312" w:eastAsia="仿宋_GB2312" w:hAnsi="仿宋_GB2312" w:cs="仿宋_GB2312" w:hint="eastAsia"/>
          <w:color w:val="000000" w:themeColor="text1"/>
          <w:sz w:val="32"/>
        </w:rPr>
        <w:t>按序时进度完成规划目标。</w:t>
      </w:r>
    </w:p>
    <w:p w:rsidR="000B0562" w:rsidRDefault="005B091D" w:rsidP="000F5DC7">
      <w:pPr>
        <w:pStyle w:val="4"/>
        <w:numPr>
          <w:ilvl w:val="3"/>
          <w:numId w:val="0"/>
        </w:numPr>
        <w:spacing w:before="0" w:after="0" w:line="616" w:lineRule="exact"/>
        <w:ind w:leftChars="200" w:left="420"/>
        <w:rPr>
          <w:rFonts w:ascii="楷体_GB2312" w:eastAsia="楷体_GB2312" w:hAnsi="楷体_GB2312" w:cs="楷体_GB2312"/>
          <w:bCs w:val="0"/>
          <w:color w:val="000000" w:themeColor="text1"/>
          <w:sz w:val="32"/>
          <w:szCs w:val="24"/>
        </w:rPr>
      </w:pPr>
      <w:r>
        <w:rPr>
          <w:rFonts w:ascii="楷体_GB2312" w:eastAsia="楷体_GB2312" w:hAnsi="楷体_GB2312" w:cs="楷体_GB2312" w:hint="eastAsia"/>
          <w:bCs w:val="0"/>
          <w:color w:val="000000" w:themeColor="text1"/>
          <w:sz w:val="32"/>
          <w:szCs w:val="24"/>
        </w:rPr>
        <w:t>（四）绿色转型类指标好于预期</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1.单位地区生产总值能源消耗降幅和单位地区生产总值二氧化碳排放降幅指标(约束性)，</w:t>
      </w:r>
      <w:r>
        <w:rPr>
          <w:rFonts w:ascii="仿宋_GB2312" w:eastAsia="仿宋_GB2312" w:hAnsi="仿宋_GB2312" w:cs="仿宋_GB2312" w:hint="eastAsia"/>
          <w:color w:val="000000" w:themeColor="text1"/>
          <w:sz w:val="32"/>
        </w:rPr>
        <w:t>根据历年完成情况预估，单位地区生产总值能源消耗降幅、单位地区生产总值二氧化碳排放降幅指标预计能按序时进度完成规划目标；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2.县级及以上城市空气质量优良天数比例(约束性)，</w:t>
      </w:r>
      <w:r>
        <w:rPr>
          <w:rFonts w:ascii="仿宋_GB2312" w:eastAsia="仿宋_GB2312" w:hAnsi="仿宋_GB2312" w:cs="仿宋_GB2312" w:hint="eastAsia"/>
          <w:color w:val="000000" w:themeColor="text1"/>
          <w:sz w:val="32"/>
        </w:rPr>
        <w:t>2021年、2022年、2023年上半年，县级及以上城市空气质量优良天数比例分别为90.3%、96.24%、96.00%，目标2025年值为大于等于95%，预计能按序时进度完成规划目标；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3.地表水达到或优于Ⅲ类水体比例(约束性)，</w:t>
      </w:r>
      <w:r>
        <w:rPr>
          <w:rFonts w:ascii="仿宋_GB2312" w:eastAsia="仿宋_GB2312" w:hAnsi="仿宋_GB2312" w:cs="仿宋_GB2312" w:hint="eastAsia"/>
          <w:color w:val="000000" w:themeColor="text1"/>
          <w:sz w:val="32"/>
        </w:rPr>
        <w:t>2021年、2022年、2023年上半年，地表水达到或优于Ⅲ类水体比例</w:t>
      </w:r>
      <w:r>
        <w:rPr>
          <w:rFonts w:ascii="仿宋_GB2312" w:eastAsia="仿宋_GB2312" w:hAnsi="仿宋_GB2312" w:cs="仿宋_GB2312" w:hint="eastAsia"/>
          <w:color w:val="000000" w:themeColor="text1"/>
          <w:sz w:val="32"/>
        </w:rPr>
        <w:lastRenderedPageBreak/>
        <w:t>均为100%，目标2025年值为100%，预计能按序时进度完成规划目标；</w:t>
      </w:r>
    </w:p>
    <w:p w:rsidR="000B0562" w:rsidRDefault="005B091D" w:rsidP="00A769A6">
      <w:pPr>
        <w:pStyle w:val="a8"/>
        <w:spacing w:line="616" w:lineRule="exact"/>
        <w:ind w:firstLine="640"/>
        <w:rPr>
          <w:rFonts w:ascii="仿宋_GB2312" w:eastAsia="仿宋_GB2312" w:hAnsi="仿宋_GB2312" w:cs="仿宋_GB2312"/>
          <w:color w:val="000000" w:themeColor="text1"/>
          <w:spacing w:val="-6"/>
          <w:sz w:val="32"/>
        </w:rPr>
      </w:pPr>
      <w:r>
        <w:rPr>
          <w:rFonts w:ascii="仿宋_GB2312" w:eastAsia="仿宋_GB2312" w:hAnsi="仿宋_GB2312" w:cs="仿宋_GB2312" w:hint="eastAsia"/>
          <w:b/>
          <w:bCs/>
          <w:color w:val="000000" w:themeColor="text1"/>
          <w:sz w:val="32"/>
        </w:rPr>
        <w:t>4.森林覆盖率(约束性)，</w:t>
      </w:r>
      <w:r>
        <w:rPr>
          <w:rFonts w:ascii="仿宋_GB2312" w:eastAsia="仿宋_GB2312" w:hAnsi="仿宋_GB2312" w:cs="仿宋_GB2312" w:hint="eastAsia"/>
          <w:color w:val="000000" w:themeColor="text1"/>
          <w:spacing w:val="-6"/>
          <w:sz w:val="32"/>
        </w:rPr>
        <w:t>2021年、2022年、2023年上半年，森林覆盖率均约为67.58%，目标2025年值为67.80%，</w:t>
      </w:r>
      <w:r w:rsidR="00836D86" w:rsidRPr="00430A09">
        <w:rPr>
          <w:rFonts w:ascii="仿宋_GB2312" w:eastAsia="仿宋_GB2312" w:hAnsi="仿宋_GB2312" w:cs="仿宋_GB2312" w:hint="eastAsia"/>
          <w:color w:val="000000" w:themeColor="text1"/>
          <w:spacing w:val="-6"/>
          <w:sz w:val="32"/>
        </w:rPr>
        <w:t>按统计公报数据我县的森林覆盖率预计能按序时进度完成规划目标，但</w:t>
      </w:r>
      <w:r w:rsidRPr="00430A09">
        <w:rPr>
          <w:rFonts w:ascii="仿宋_GB2312" w:eastAsia="仿宋_GB2312" w:hAnsi="仿宋_GB2312" w:cs="仿宋_GB2312" w:hint="eastAsia"/>
          <w:color w:val="000000" w:themeColor="text1"/>
          <w:spacing w:val="-6"/>
          <w:sz w:val="32"/>
        </w:rPr>
        <w:t>由于三调</w:t>
      </w:r>
      <w:r w:rsidR="00836D86" w:rsidRPr="00430A09">
        <w:rPr>
          <w:rFonts w:ascii="仿宋_GB2312" w:eastAsia="仿宋_GB2312" w:hAnsi="仿宋_GB2312" w:cs="仿宋_GB2312" w:hint="eastAsia"/>
          <w:color w:val="000000" w:themeColor="text1"/>
          <w:spacing w:val="-6"/>
          <w:sz w:val="32"/>
        </w:rPr>
        <w:t>林地调查</w:t>
      </w:r>
      <w:r w:rsidRPr="00430A09">
        <w:rPr>
          <w:rFonts w:ascii="仿宋_GB2312" w:eastAsia="仿宋_GB2312" w:hAnsi="仿宋_GB2312" w:cs="仿宋_GB2312" w:hint="eastAsia"/>
          <w:color w:val="000000" w:themeColor="text1"/>
          <w:spacing w:val="-6"/>
          <w:sz w:val="32"/>
        </w:rPr>
        <w:t>统计口径变化的</w:t>
      </w:r>
      <w:r w:rsidR="00836D86" w:rsidRPr="00430A09">
        <w:rPr>
          <w:rFonts w:ascii="仿宋_GB2312" w:eastAsia="仿宋_GB2312" w:hAnsi="仿宋_GB2312" w:cs="仿宋_GB2312" w:hint="eastAsia"/>
          <w:color w:val="000000" w:themeColor="text1"/>
          <w:spacing w:val="-6"/>
          <w:sz w:val="32"/>
        </w:rPr>
        <w:t>原因导致林地规模减少故暂定指标未达目标序时进度</w:t>
      </w:r>
      <w:r w:rsidRPr="00430A09">
        <w:rPr>
          <w:rFonts w:ascii="仿宋_GB2312" w:eastAsia="仿宋_GB2312" w:hAnsi="仿宋_GB2312" w:cs="仿宋_GB2312" w:hint="eastAsia"/>
          <w:color w:val="000000" w:themeColor="text1"/>
          <w:spacing w:val="-6"/>
          <w:sz w:val="32"/>
        </w:rPr>
        <w:t>。</w:t>
      </w:r>
    </w:p>
    <w:p w:rsidR="000B0562" w:rsidRDefault="005B091D" w:rsidP="000F5DC7">
      <w:pPr>
        <w:pStyle w:val="4"/>
        <w:numPr>
          <w:ilvl w:val="3"/>
          <w:numId w:val="0"/>
        </w:numPr>
        <w:spacing w:before="0" w:after="0" w:line="616" w:lineRule="exact"/>
        <w:ind w:leftChars="200" w:left="420"/>
        <w:rPr>
          <w:rFonts w:ascii="楷体_GB2312" w:eastAsia="楷体_GB2312" w:hAnsi="楷体_GB2312" w:cs="楷体_GB2312"/>
          <w:bCs w:val="0"/>
          <w:color w:val="000000" w:themeColor="text1"/>
          <w:sz w:val="32"/>
          <w:szCs w:val="24"/>
        </w:rPr>
      </w:pPr>
      <w:r>
        <w:rPr>
          <w:rFonts w:ascii="楷体_GB2312" w:eastAsia="楷体_GB2312" w:hAnsi="楷体_GB2312" w:cs="楷体_GB2312" w:hint="eastAsia"/>
          <w:bCs w:val="0"/>
          <w:color w:val="000000" w:themeColor="text1"/>
          <w:sz w:val="32"/>
          <w:szCs w:val="24"/>
        </w:rPr>
        <w:t>（五）安全保障类指标总体良好</w:t>
      </w:r>
    </w:p>
    <w:p w:rsidR="000B0562" w:rsidRDefault="005B091D" w:rsidP="00A769A6">
      <w:pPr>
        <w:pStyle w:val="a8"/>
        <w:spacing w:line="616" w:lineRule="exact"/>
        <w:ind w:firstLine="616"/>
        <w:rPr>
          <w:rFonts w:ascii="仿宋_GB2312" w:eastAsia="仿宋_GB2312" w:hAnsi="仿宋_GB2312" w:cs="仿宋_GB2312"/>
          <w:color w:val="000000" w:themeColor="text1"/>
          <w:spacing w:val="-6"/>
          <w:sz w:val="32"/>
        </w:rPr>
      </w:pPr>
      <w:r>
        <w:rPr>
          <w:rFonts w:ascii="仿宋_GB2312" w:eastAsia="仿宋_GB2312" w:hAnsi="仿宋_GB2312" w:cs="仿宋_GB2312" w:hint="eastAsia"/>
          <w:b/>
          <w:bCs/>
          <w:color w:val="000000" w:themeColor="text1"/>
          <w:spacing w:val="-6"/>
          <w:sz w:val="32"/>
        </w:rPr>
        <w:t>1.粮食综合生产能力(约束性)，</w:t>
      </w:r>
      <w:r>
        <w:rPr>
          <w:rFonts w:ascii="仿宋_GB2312" w:eastAsia="仿宋_GB2312" w:hAnsi="仿宋_GB2312" w:cs="仿宋_GB2312" w:hint="eastAsia"/>
          <w:color w:val="000000" w:themeColor="text1"/>
          <w:spacing w:val="-6"/>
          <w:sz w:val="32"/>
        </w:rPr>
        <w:t>2021年、2022年、2023年上半年，粮食综合生产能力分别为36.65万吨、35.60万吨、36.00万吨，目标2025年值为大于等于36.00万吨，预计能按序时进度完成规划目标；</w:t>
      </w:r>
    </w:p>
    <w:p w:rsidR="000B0562" w:rsidRDefault="005B091D" w:rsidP="00A769A6">
      <w:pPr>
        <w:pStyle w:val="a8"/>
        <w:spacing w:line="616" w:lineRule="exact"/>
        <w:ind w:firstLine="616"/>
        <w:rPr>
          <w:rFonts w:ascii="仿宋_GB2312" w:eastAsia="仿宋_GB2312" w:hAnsi="仿宋_GB2312" w:cs="仿宋_GB2312"/>
          <w:color w:val="000000" w:themeColor="text1"/>
          <w:spacing w:val="-6"/>
          <w:sz w:val="32"/>
        </w:rPr>
      </w:pPr>
      <w:r>
        <w:rPr>
          <w:rFonts w:ascii="仿宋_GB2312" w:eastAsia="仿宋_GB2312" w:hAnsi="仿宋_GB2312" w:cs="仿宋_GB2312" w:hint="eastAsia"/>
          <w:b/>
          <w:bCs/>
          <w:color w:val="000000" w:themeColor="text1"/>
          <w:spacing w:val="-6"/>
          <w:sz w:val="32"/>
        </w:rPr>
        <w:t>2.亿元GDP生产安全事故死亡率(约束性)，</w:t>
      </w:r>
      <w:r>
        <w:rPr>
          <w:rFonts w:ascii="仿宋_GB2312" w:eastAsia="仿宋_GB2312" w:hAnsi="仿宋_GB2312" w:cs="仿宋_GB2312" w:hint="eastAsia"/>
          <w:color w:val="000000" w:themeColor="text1"/>
          <w:spacing w:val="-6"/>
          <w:sz w:val="32"/>
        </w:rPr>
        <w:t>2021年、2022年，亿元GDP生产安全事故死亡人数分别为0.049人、0.027人，2023年数据暂缺，目标2025年值为累计减少25%，2020年的亿元GDP生产安全事故死亡人数为0.033人，指标未达目标序时进度(我县年平均亿元GDP生产安全事故死亡人数总体呈下降趋势，但中期起伏极大)。</w:t>
      </w:r>
    </w:p>
    <w:p w:rsidR="000B0562" w:rsidRDefault="005B091D">
      <w:pPr>
        <w:pStyle w:val="a8"/>
        <w:spacing w:line="63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color w:val="000000" w:themeColor="text1"/>
          <w:sz w:val="32"/>
        </w:rPr>
        <w:t>从评估期内主要指标整体的完成情况来看，全县两年多来在经济发展、创新驱动、民生福祉、绿色转型和安全保障等方面取得了明显成效，具有以下一些特点：</w:t>
      </w:r>
      <w:r>
        <w:rPr>
          <w:rFonts w:ascii="仿宋_GB2312" w:eastAsia="仿宋_GB2312" w:hAnsi="仿宋_GB2312" w:cs="仿宋_GB2312" w:hint="eastAsia"/>
          <w:b/>
          <w:color w:val="000000" w:themeColor="text1"/>
          <w:sz w:val="32"/>
        </w:rPr>
        <w:t>一是经济总体</w:t>
      </w:r>
      <w:r>
        <w:rPr>
          <w:rFonts w:ascii="仿宋_GB2312" w:eastAsia="仿宋_GB2312" w:hAnsi="仿宋_GB2312" w:cs="仿宋_GB2312" w:hint="eastAsia"/>
          <w:b/>
          <w:color w:val="000000" w:themeColor="text1"/>
          <w:sz w:val="32"/>
        </w:rPr>
        <w:lastRenderedPageBreak/>
        <w:t>保持持续增长</w:t>
      </w:r>
      <w:r>
        <w:rPr>
          <w:rFonts w:ascii="仿宋_GB2312" w:eastAsia="仿宋_GB2312" w:hAnsi="仿宋_GB2312" w:cs="仿宋_GB2312" w:hint="eastAsia"/>
          <w:color w:val="000000" w:themeColor="text1"/>
          <w:sz w:val="32"/>
        </w:rPr>
        <w:t>，但经济发展后劲不足，增速距离目标增速还有一定距离，反映经济发展的地区生产总值增长、全员劳动生产率增长、制造业增加值占地区生产总值比重、产业投资占固定资产投资比重、对外贸易依存度和地方一般公共预算收入占地区生产总值比重等主要经济指标完成规划进度目标；受经济下行等多种因素影响最终消费支出对地区生产总值贡献率指标未达目标序时进度，由于统计口径的原因，常住人口城镇化率未达目标序时进度</w:t>
      </w:r>
      <w:r w:rsidR="00037C78">
        <w:rPr>
          <w:rFonts w:ascii="仿宋_GB2312" w:eastAsia="仿宋_GB2312" w:hAnsi="仿宋_GB2312" w:cs="仿宋_GB2312" w:hint="eastAsia"/>
          <w:color w:val="000000" w:themeColor="text1"/>
          <w:sz w:val="32"/>
        </w:rPr>
        <w:t>；</w:t>
      </w:r>
      <w:r w:rsidR="00037C78" w:rsidRPr="00430A09">
        <w:rPr>
          <w:rFonts w:ascii="仿宋_GB2312" w:eastAsia="仿宋_GB2312" w:hAnsi="仿宋_GB2312" w:cs="仿宋_GB2312" w:hint="eastAsia"/>
          <w:color w:val="000000" w:themeColor="text1"/>
          <w:sz w:val="32"/>
        </w:rPr>
        <w:t>数字经济核心产业增加值占地区生产总值比重数据暂缺无法统计</w:t>
      </w:r>
      <w:r w:rsidR="00037C78">
        <w:rPr>
          <w:rFonts w:ascii="仿宋_GB2312" w:eastAsia="仿宋_GB2312" w:hAnsi="仿宋_GB2312" w:cs="仿宋_GB2312" w:hint="eastAsia"/>
          <w:color w:val="000000" w:themeColor="text1"/>
          <w:sz w:val="32"/>
        </w:rPr>
        <w:t>。</w:t>
      </w:r>
      <w:r>
        <w:rPr>
          <w:rFonts w:ascii="仿宋_GB2312" w:eastAsia="仿宋_GB2312" w:hAnsi="仿宋_GB2312" w:cs="仿宋_GB2312" w:hint="eastAsia"/>
          <w:b/>
          <w:color w:val="000000" w:themeColor="text1"/>
          <w:sz w:val="32"/>
        </w:rPr>
        <w:t>二是创新驱动能力不断提高</w:t>
      </w:r>
      <w:r>
        <w:rPr>
          <w:rFonts w:ascii="仿宋_GB2312" w:eastAsia="仿宋_GB2312" w:hAnsi="仿宋_GB2312" w:cs="仿宋_GB2312" w:hint="eastAsia"/>
          <w:color w:val="000000" w:themeColor="text1"/>
          <w:sz w:val="32"/>
        </w:rPr>
        <w:t>，研发经费投入增长、每万人口高价值发明专利拥有量等主要指标均达到规划进度的要求，数字经济核心产业增加值占地区生产总值比重数据暂缺无法统计。</w:t>
      </w:r>
      <w:r>
        <w:rPr>
          <w:rFonts w:ascii="仿宋_GB2312" w:eastAsia="仿宋_GB2312" w:hAnsi="仿宋_GB2312" w:cs="仿宋_GB2312" w:hint="eastAsia"/>
          <w:b/>
          <w:color w:val="000000" w:themeColor="text1"/>
          <w:sz w:val="32"/>
        </w:rPr>
        <w:t>三是民生服务水平持续提升</w:t>
      </w:r>
      <w:r>
        <w:rPr>
          <w:rFonts w:ascii="仿宋_GB2312" w:eastAsia="仿宋_GB2312" w:hAnsi="仿宋_GB2312" w:cs="仿宋_GB2312" w:hint="eastAsia"/>
          <w:color w:val="000000" w:themeColor="text1"/>
          <w:sz w:val="32"/>
        </w:rPr>
        <w:t>，反映在社居民人均可支配收入增长、每千人口拥有执业（助理）医师数、基本养老保险参保率、每千人口拥有三岁以下婴幼儿托位数等主要指标均达到规划的进度要</w:t>
      </w:r>
      <w:r w:rsidR="00037C78">
        <w:rPr>
          <w:rFonts w:ascii="仿宋_GB2312" w:eastAsia="仿宋_GB2312" w:hAnsi="仿宋_GB2312" w:cs="仿宋_GB2312" w:hint="eastAsia"/>
          <w:color w:val="000000" w:themeColor="text1"/>
          <w:sz w:val="32"/>
        </w:rPr>
        <w:t>求；</w:t>
      </w:r>
      <w:r w:rsidR="00037C78" w:rsidRPr="00430A09">
        <w:rPr>
          <w:rFonts w:ascii="仿宋_GB2312" w:eastAsia="仿宋_GB2312" w:hAnsi="仿宋_GB2312" w:cs="仿宋_GB2312" w:hint="eastAsia"/>
          <w:color w:val="000000" w:themeColor="text1"/>
          <w:sz w:val="32"/>
        </w:rPr>
        <w:t>由于现状基数和年均增速的原因劳动年龄人口平均受教育年限未达目标序时进度；</w:t>
      </w:r>
      <w:r w:rsidR="001E4EA1" w:rsidRPr="00430A09">
        <w:rPr>
          <w:rFonts w:ascii="仿宋_GB2312" w:eastAsia="仿宋_GB2312" w:hAnsi="仿宋_GB2312" w:cs="仿宋_GB2312" w:hint="eastAsia"/>
          <w:color w:val="000000" w:themeColor="text1"/>
          <w:sz w:val="32"/>
        </w:rPr>
        <w:t>城镇调查失业率</w:t>
      </w:r>
      <w:r w:rsidR="00D13CBB" w:rsidRPr="00430A09">
        <w:rPr>
          <w:rFonts w:ascii="仿宋_GB2312" w:eastAsia="仿宋_GB2312" w:hAnsi="仿宋_GB2312" w:cs="仿宋_GB2312" w:hint="eastAsia"/>
          <w:color w:val="000000" w:themeColor="text1"/>
          <w:sz w:val="32"/>
        </w:rPr>
        <w:t>、</w:t>
      </w:r>
      <w:r w:rsidRPr="00430A09">
        <w:rPr>
          <w:rFonts w:ascii="仿宋_GB2312" w:eastAsia="仿宋_GB2312" w:hAnsi="仿宋_GB2312" w:cs="仿宋_GB2312" w:hint="eastAsia"/>
          <w:color w:val="000000" w:themeColor="text1"/>
          <w:sz w:val="32"/>
        </w:rPr>
        <w:t>人均预期寿命数据暂缺无法统计</w:t>
      </w: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b/>
          <w:color w:val="000000" w:themeColor="text1"/>
          <w:sz w:val="32"/>
        </w:rPr>
        <w:t>四是绿色转型建设成果斐然</w:t>
      </w:r>
      <w:r>
        <w:rPr>
          <w:rFonts w:ascii="仿宋_GB2312" w:eastAsia="仿宋_GB2312" w:hAnsi="仿宋_GB2312" w:cs="仿宋_GB2312" w:hint="eastAsia"/>
          <w:color w:val="000000" w:themeColor="text1"/>
          <w:sz w:val="32"/>
        </w:rPr>
        <w:t>，单位地区生产总值能源消耗降幅、单位地区生产总值二氧化碳排放降幅、县级及以上城市空气质量优良天数比例和地表水达到或优于Ⅲ类水体比例等主要指标均达到规划的进度要</w:t>
      </w:r>
      <w:r>
        <w:rPr>
          <w:rFonts w:ascii="仿宋_GB2312" w:eastAsia="仿宋_GB2312" w:hAnsi="仿宋_GB2312" w:cs="仿宋_GB2312" w:hint="eastAsia"/>
          <w:color w:val="000000" w:themeColor="text1"/>
          <w:sz w:val="32"/>
        </w:rPr>
        <w:lastRenderedPageBreak/>
        <w:t>求，森林覆盖率由于统计口径改变的原因指标未达目标序时进度。</w:t>
      </w:r>
      <w:r>
        <w:rPr>
          <w:rFonts w:ascii="仿宋_GB2312" w:eastAsia="仿宋_GB2312" w:hAnsi="仿宋_GB2312" w:cs="仿宋_GB2312" w:hint="eastAsia"/>
          <w:b/>
          <w:color w:val="000000" w:themeColor="text1"/>
          <w:sz w:val="32"/>
        </w:rPr>
        <w:t>五是安全保障能力稳步提升</w:t>
      </w:r>
      <w:r>
        <w:rPr>
          <w:rFonts w:ascii="仿宋_GB2312" w:eastAsia="仿宋_GB2312" w:hAnsi="仿宋_GB2312" w:cs="仿宋_GB2312" w:hint="eastAsia"/>
          <w:color w:val="000000" w:themeColor="text1"/>
          <w:sz w:val="32"/>
        </w:rPr>
        <w:t>，粮食综合生产能力达到规划进度要求，亿元GDP生产安全事故死亡率由于我县安全生产在当前经济发展形势和安全管理基础面临较大压力未达目标序时进度。总体上看，我县经济社会发展指标运行态势较好，为2025年全面完成《纲要》目标打下了坚实基础。</w:t>
      </w:r>
    </w:p>
    <w:p w:rsidR="000B0562" w:rsidRDefault="005B091D">
      <w:pPr>
        <w:pStyle w:val="a8"/>
        <w:spacing w:line="360" w:lineRule="auto"/>
        <w:ind w:firstLineChars="0" w:firstLine="0"/>
        <w:jc w:val="center"/>
        <w:rPr>
          <w:rFonts w:ascii="方正小标宋简体" w:eastAsia="方正小标宋简体" w:hAnsi="方正小标宋简体" w:cs="方正小标宋简体"/>
          <w:bCs/>
          <w:color w:val="000000" w:themeColor="text1"/>
          <w:sz w:val="32"/>
        </w:rPr>
      </w:pPr>
      <w:r>
        <w:rPr>
          <w:rFonts w:ascii="方正小标宋简体" w:eastAsia="方正小标宋简体" w:hAnsi="方正小标宋简体" w:cs="方正小标宋简体" w:hint="eastAsia"/>
          <w:bCs/>
          <w:color w:val="000000" w:themeColor="text1"/>
          <w:sz w:val="32"/>
        </w:rPr>
        <w:t>表2-1纲要具体指标完成情况评估一览表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4"/>
        <w:gridCol w:w="798"/>
        <w:gridCol w:w="579"/>
        <w:gridCol w:w="4001"/>
        <w:gridCol w:w="2351"/>
      </w:tblGrid>
      <w:tr w:rsidR="000B0562" w:rsidRPr="008173D3" w:rsidTr="00DB7747">
        <w:trPr>
          <w:trHeight w:hRule="exact" w:val="397"/>
          <w:tblHeader/>
          <w:jc w:val="center"/>
        </w:trPr>
        <w:tc>
          <w:tcPr>
            <w:tcW w:w="604" w:type="dxa"/>
            <w:shd w:val="clear" w:color="auto" w:fill="auto"/>
            <w:noWrap/>
            <w:vAlign w:val="center"/>
          </w:tcPr>
          <w:p w:rsidR="000B0562" w:rsidRPr="008173D3" w:rsidRDefault="005B091D">
            <w:pPr>
              <w:jc w:val="center"/>
              <w:rPr>
                <w:rFonts w:ascii="仿宋" w:eastAsia="仿宋" w:hAnsi="仿宋" w:cstheme="minorEastAsia"/>
                <w:b/>
                <w:color w:val="000000" w:themeColor="text1"/>
                <w:sz w:val="24"/>
              </w:rPr>
            </w:pPr>
            <w:r w:rsidRPr="008173D3">
              <w:rPr>
                <w:rFonts w:ascii="仿宋" w:eastAsia="仿宋" w:hAnsi="仿宋" w:cstheme="minorEastAsia" w:hint="eastAsia"/>
                <w:b/>
                <w:color w:val="000000" w:themeColor="text1"/>
                <w:sz w:val="24"/>
              </w:rPr>
              <w:t>序号</w:t>
            </w:r>
          </w:p>
        </w:tc>
        <w:tc>
          <w:tcPr>
            <w:tcW w:w="798" w:type="dxa"/>
            <w:shd w:val="clear" w:color="auto" w:fill="auto"/>
            <w:noWrap/>
            <w:vAlign w:val="center"/>
          </w:tcPr>
          <w:p w:rsidR="000B0562" w:rsidRPr="008173D3" w:rsidRDefault="005B091D">
            <w:pPr>
              <w:jc w:val="center"/>
              <w:rPr>
                <w:rFonts w:ascii="仿宋" w:eastAsia="仿宋" w:hAnsi="仿宋" w:cstheme="minorEastAsia"/>
                <w:b/>
                <w:color w:val="000000" w:themeColor="text1"/>
                <w:sz w:val="24"/>
              </w:rPr>
            </w:pPr>
            <w:r w:rsidRPr="008173D3">
              <w:rPr>
                <w:rFonts w:ascii="仿宋" w:eastAsia="仿宋" w:hAnsi="仿宋" w:cstheme="minorEastAsia" w:hint="eastAsia"/>
                <w:b/>
                <w:color w:val="000000" w:themeColor="text1"/>
                <w:sz w:val="24"/>
              </w:rPr>
              <w:t>类别</w:t>
            </w:r>
          </w:p>
        </w:tc>
        <w:tc>
          <w:tcPr>
            <w:tcW w:w="579" w:type="dxa"/>
            <w:shd w:val="clear" w:color="auto" w:fill="auto"/>
            <w:noWrap/>
            <w:vAlign w:val="center"/>
          </w:tcPr>
          <w:p w:rsidR="000B0562" w:rsidRPr="008173D3" w:rsidRDefault="005B091D">
            <w:pPr>
              <w:jc w:val="center"/>
              <w:rPr>
                <w:rFonts w:ascii="仿宋" w:eastAsia="仿宋" w:hAnsi="仿宋" w:cstheme="minorEastAsia"/>
                <w:b/>
                <w:color w:val="000000" w:themeColor="text1"/>
                <w:sz w:val="24"/>
              </w:rPr>
            </w:pPr>
            <w:r w:rsidRPr="008173D3">
              <w:rPr>
                <w:rFonts w:ascii="仿宋" w:eastAsia="仿宋" w:hAnsi="仿宋" w:cstheme="minorEastAsia" w:hint="eastAsia"/>
                <w:b/>
                <w:color w:val="000000" w:themeColor="text1"/>
                <w:sz w:val="24"/>
              </w:rPr>
              <w:t>个数</w:t>
            </w:r>
          </w:p>
        </w:tc>
        <w:tc>
          <w:tcPr>
            <w:tcW w:w="6352" w:type="dxa"/>
            <w:gridSpan w:val="2"/>
            <w:shd w:val="clear" w:color="auto" w:fill="auto"/>
            <w:noWrap/>
            <w:vAlign w:val="center"/>
          </w:tcPr>
          <w:p w:rsidR="000B0562" w:rsidRPr="008173D3" w:rsidRDefault="005B091D">
            <w:pPr>
              <w:jc w:val="center"/>
              <w:rPr>
                <w:rFonts w:ascii="仿宋" w:eastAsia="仿宋" w:hAnsi="仿宋" w:cstheme="minorEastAsia"/>
                <w:b/>
                <w:color w:val="000000" w:themeColor="text1"/>
                <w:sz w:val="24"/>
              </w:rPr>
            </w:pPr>
            <w:r w:rsidRPr="008173D3">
              <w:rPr>
                <w:rFonts w:ascii="仿宋" w:eastAsia="仿宋" w:hAnsi="仿宋" w:cstheme="minorEastAsia" w:hint="eastAsia"/>
                <w:b/>
                <w:color w:val="000000" w:themeColor="text1"/>
                <w:sz w:val="24"/>
              </w:rPr>
              <w:t>具体指标</w:t>
            </w:r>
          </w:p>
        </w:tc>
      </w:tr>
      <w:tr w:rsidR="00037C78" w:rsidRPr="008173D3" w:rsidTr="00DB7747">
        <w:trPr>
          <w:trHeight w:hRule="exact" w:val="397"/>
          <w:jc w:val="center"/>
        </w:trPr>
        <w:tc>
          <w:tcPr>
            <w:tcW w:w="604" w:type="dxa"/>
            <w:vMerge w:val="restart"/>
            <w:shd w:val="clear" w:color="auto" w:fill="auto"/>
            <w:noWrap/>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1</w:t>
            </w:r>
          </w:p>
        </w:tc>
        <w:tc>
          <w:tcPr>
            <w:tcW w:w="798" w:type="dxa"/>
            <w:vMerge w:val="restart"/>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可达目标序时进度</w:t>
            </w:r>
          </w:p>
        </w:tc>
        <w:tc>
          <w:tcPr>
            <w:tcW w:w="579" w:type="dxa"/>
            <w:vMerge w:val="restart"/>
            <w:shd w:val="clear" w:color="auto" w:fill="auto"/>
            <w:vAlign w:val="center"/>
          </w:tcPr>
          <w:p w:rsidR="00037C78" w:rsidRPr="008173D3" w:rsidRDefault="00037C78" w:rsidP="009951B5">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1</w:t>
            </w:r>
            <w:r w:rsidR="009951B5">
              <w:rPr>
                <w:rFonts w:ascii="仿宋" w:eastAsia="仿宋" w:hAnsi="仿宋" w:cstheme="minorEastAsia" w:hint="eastAsia"/>
                <w:color w:val="000000" w:themeColor="text1"/>
                <w:sz w:val="24"/>
              </w:rPr>
              <w:t>7</w:t>
            </w:r>
          </w:p>
        </w:tc>
        <w:tc>
          <w:tcPr>
            <w:tcW w:w="4001" w:type="dxa"/>
            <w:shd w:val="clear" w:color="auto" w:fill="auto"/>
            <w:noWrap/>
            <w:vAlign w:val="center"/>
          </w:tcPr>
          <w:p w:rsidR="00037C78" w:rsidRPr="008173D3" w:rsidRDefault="00037C78" w:rsidP="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预期性指标（1</w:t>
            </w:r>
            <w:r>
              <w:rPr>
                <w:rFonts w:ascii="仿宋" w:eastAsia="仿宋" w:hAnsi="仿宋" w:cstheme="minorEastAsia"/>
                <w:color w:val="000000" w:themeColor="text1"/>
                <w:sz w:val="24"/>
              </w:rPr>
              <w:t>2</w:t>
            </w:r>
            <w:r w:rsidRPr="008173D3">
              <w:rPr>
                <w:rFonts w:ascii="仿宋" w:eastAsia="仿宋" w:hAnsi="仿宋" w:cstheme="minorEastAsia" w:hint="eastAsia"/>
                <w:color w:val="000000" w:themeColor="text1"/>
                <w:sz w:val="24"/>
              </w:rPr>
              <w:t>个）</w:t>
            </w:r>
          </w:p>
        </w:tc>
        <w:tc>
          <w:tcPr>
            <w:tcW w:w="2351" w:type="dxa"/>
            <w:shd w:val="clear" w:color="auto" w:fill="auto"/>
            <w:noWrap/>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约束性指标（5）</w:t>
            </w:r>
          </w:p>
        </w:tc>
      </w:tr>
      <w:tr w:rsidR="00037C78" w:rsidRPr="008173D3" w:rsidTr="00DB7747">
        <w:trPr>
          <w:trHeight w:val="510"/>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地区生产总值增长</w:t>
            </w:r>
          </w:p>
        </w:tc>
        <w:tc>
          <w:tcPr>
            <w:tcW w:w="235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pacing w:val="-11"/>
                <w:sz w:val="24"/>
              </w:rPr>
              <w:t>单位地区生产总值能源消耗降幅</w:t>
            </w:r>
          </w:p>
        </w:tc>
      </w:tr>
      <w:tr w:rsidR="00037C78" w:rsidRPr="008173D3" w:rsidTr="00DB7747">
        <w:trPr>
          <w:trHeight w:val="6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全员劳动生产率增长</w:t>
            </w:r>
          </w:p>
        </w:tc>
        <w:tc>
          <w:tcPr>
            <w:tcW w:w="235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单位地区生产总值二氧化碳排放降幅</w:t>
            </w:r>
          </w:p>
        </w:tc>
      </w:tr>
      <w:tr w:rsidR="00037C78" w:rsidRPr="008173D3" w:rsidTr="00DB7747">
        <w:trPr>
          <w:trHeight w:val="6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制造业增加值占地区生产总值比重</w:t>
            </w:r>
          </w:p>
        </w:tc>
        <w:tc>
          <w:tcPr>
            <w:tcW w:w="235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县级及以上城市空气质量优良天数比例</w:t>
            </w:r>
          </w:p>
        </w:tc>
      </w:tr>
      <w:tr w:rsidR="00037C78" w:rsidRPr="008173D3" w:rsidTr="00DB7747">
        <w:trPr>
          <w:trHeight w:val="510"/>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产业投资占固定资产投资比重</w:t>
            </w:r>
          </w:p>
        </w:tc>
        <w:tc>
          <w:tcPr>
            <w:tcW w:w="235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pacing w:val="-11"/>
                <w:sz w:val="24"/>
              </w:rPr>
              <w:t>地表水达到或优于Ⅲ类水体比例</w:t>
            </w:r>
          </w:p>
        </w:tc>
      </w:tr>
      <w:tr w:rsidR="00037C78" w:rsidRPr="008173D3" w:rsidTr="00DB7747">
        <w:trPr>
          <w:trHeight w:hRule="exact" w:val="3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对外贸易依存度</w:t>
            </w:r>
          </w:p>
        </w:tc>
        <w:tc>
          <w:tcPr>
            <w:tcW w:w="235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粮食综合生产能力</w:t>
            </w:r>
          </w:p>
        </w:tc>
      </w:tr>
      <w:tr w:rsidR="00037C78" w:rsidRPr="008173D3" w:rsidTr="00DB7747">
        <w:trPr>
          <w:trHeight w:val="6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地方一般公共预算收入占地区生产总值比重</w:t>
            </w:r>
          </w:p>
        </w:tc>
        <w:tc>
          <w:tcPr>
            <w:tcW w:w="235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p>
        </w:tc>
      </w:tr>
      <w:tr w:rsidR="00037C78" w:rsidRPr="008173D3" w:rsidTr="00DB7747">
        <w:trPr>
          <w:trHeight w:hRule="exact" w:val="3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研发经费投入增长</w:t>
            </w:r>
          </w:p>
        </w:tc>
        <w:tc>
          <w:tcPr>
            <w:tcW w:w="235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w:t>
            </w:r>
          </w:p>
        </w:tc>
      </w:tr>
      <w:tr w:rsidR="00037C78" w:rsidRPr="008173D3" w:rsidTr="00DB7747">
        <w:trPr>
          <w:trHeight w:hRule="exact" w:val="3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每万人口高价值发明专利拥有量</w:t>
            </w:r>
          </w:p>
        </w:tc>
        <w:tc>
          <w:tcPr>
            <w:tcW w:w="2351" w:type="dxa"/>
            <w:shd w:val="clear" w:color="auto" w:fill="auto"/>
            <w:noWrap/>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w:t>
            </w:r>
          </w:p>
        </w:tc>
      </w:tr>
      <w:tr w:rsidR="00037C78" w:rsidRPr="008173D3" w:rsidTr="00DB7747">
        <w:trPr>
          <w:trHeight w:hRule="exact" w:val="3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居民人均可支配收入增长</w:t>
            </w:r>
          </w:p>
        </w:tc>
        <w:tc>
          <w:tcPr>
            <w:tcW w:w="2351" w:type="dxa"/>
            <w:shd w:val="clear" w:color="auto" w:fill="auto"/>
            <w:noWrap/>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w:t>
            </w:r>
          </w:p>
        </w:tc>
      </w:tr>
      <w:tr w:rsidR="00037C78" w:rsidRPr="008173D3" w:rsidTr="00DB7747">
        <w:trPr>
          <w:trHeight w:val="510"/>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每千人口拥有执业（助理）医师数</w:t>
            </w:r>
          </w:p>
        </w:tc>
        <w:tc>
          <w:tcPr>
            <w:tcW w:w="2351" w:type="dxa"/>
            <w:shd w:val="clear" w:color="auto" w:fill="auto"/>
            <w:noWrap/>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w:t>
            </w:r>
          </w:p>
        </w:tc>
      </w:tr>
      <w:tr w:rsidR="00037C78" w:rsidRPr="008173D3" w:rsidTr="00DB7747">
        <w:trPr>
          <w:trHeight w:val="510"/>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rsidP="009A2977">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基本养老保险参保率</w:t>
            </w:r>
          </w:p>
        </w:tc>
        <w:tc>
          <w:tcPr>
            <w:tcW w:w="2351" w:type="dxa"/>
            <w:shd w:val="clear" w:color="auto" w:fill="auto"/>
            <w:noWrap/>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w:t>
            </w:r>
          </w:p>
        </w:tc>
      </w:tr>
      <w:tr w:rsidR="00037C78" w:rsidRPr="008173D3" w:rsidTr="009A2977">
        <w:trPr>
          <w:trHeight w:hRule="exact" w:val="397"/>
          <w:jc w:val="center"/>
        </w:trPr>
        <w:tc>
          <w:tcPr>
            <w:tcW w:w="604" w:type="dxa"/>
            <w:vMerge/>
            <w:vAlign w:val="center"/>
          </w:tcPr>
          <w:p w:rsidR="00037C78" w:rsidRPr="008173D3" w:rsidRDefault="00037C78">
            <w:pPr>
              <w:jc w:val="center"/>
              <w:rPr>
                <w:rFonts w:ascii="仿宋" w:eastAsia="仿宋" w:hAnsi="仿宋" w:cstheme="minorEastAsia"/>
                <w:color w:val="000000" w:themeColor="text1"/>
                <w:sz w:val="24"/>
              </w:rPr>
            </w:pPr>
          </w:p>
        </w:tc>
        <w:tc>
          <w:tcPr>
            <w:tcW w:w="798" w:type="dxa"/>
            <w:vMerge/>
            <w:vAlign w:val="center"/>
          </w:tcPr>
          <w:p w:rsidR="00037C78" w:rsidRPr="008173D3" w:rsidRDefault="00037C78">
            <w:pPr>
              <w:jc w:val="center"/>
              <w:rPr>
                <w:rFonts w:ascii="仿宋" w:eastAsia="仿宋" w:hAnsi="仿宋" w:cstheme="minorEastAsia"/>
                <w:color w:val="000000" w:themeColor="text1"/>
                <w:sz w:val="24"/>
              </w:rPr>
            </w:pPr>
          </w:p>
        </w:tc>
        <w:tc>
          <w:tcPr>
            <w:tcW w:w="579" w:type="dxa"/>
            <w:vMerge/>
            <w:vAlign w:val="center"/>
          </w:tcPr>
          <w:p w:rsidR="00037C78" w:rsidRPr="008173D3" w:rsidRDefault="00037C78">
            <w:pPr>
              <w:jc w:val="center"/>
              <w:rPr>
                <w:rFonts w:ascii="仿宋" w:eastAsia="仿宋" w:hAnsi="仿宋" w:cstheme="minorEastAsia"/>
                <w:color w:val="000000" w:themeColor="text1"/>
                <w:sz w:val="24"/>
              </w:rPr>
            </w:pPr>
          </w:p>
        </w:tc>
        <w:tc>
          <w:tcPr>
            <w:tcW w:w="4001" w:type="dxa"/>
            <w:shd w:val="clear" w:color="auto" w:fill="auto"/>
            <w:vAlign w:val="center"/>
          </w:tcPr>
          <w:p w:rsidR="00037C78" w:rsidRPr="008173D3" w:rsidRDefault="00037C78" w:rsidP="009A2977">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每千人口拥有三岁以下婴幼儿托位数</w:t>
            </w:r>
          </w:p>
        </w:tc>
        <w:tc>
          <w:tcPr>
            <w:tcW w:w="2351" w:type="dxa"/>
            <w:shd w:val="clear" w:color="auto" w:fill="auto"/>
            <w:noWrap/>
            <w:vAlign w:val="center"/>
          </w:tcPr>
          <w:p w:rsidR="00037C78" w:rsidRPr="008173D3" w:rsidRDefault="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w:t>
            </w:r>
          </w:p>
        </w:tc>
      </w:tr>
      <w:tr w:rsidR="000B0562" w:rsidRPr="008173D3" w:rsidTr="00DB7747">
        <w:trPr>
          <w:trHeight w:val="510"/>
          <w:jc w:val="center"/>
        </w:trPr>
        <w:tc>
          <w:tcPr>
            <w:tcW w:w="604" w:type="dxa"/>
            <w:vMerge w:val="restart"/>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2</w:t>
            </w:r>
          </w:p>
        </w:tc>
        <w:tc>
          <w:tcPr>
            <w:tcW w:w="798" w:type="dxa"/>
            <w:vMerge w:val="restart"/>
            <w:shd w:val="clear" w:color="auto" w:fill="auto"/>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缺乏数据无法比较</w:t>
            </w:r>
          </w:p>
        </w:tc>
        <w:tc>
          <w:tcPr>
            <w:tcW w:w="579" w:type="dxa"/>
            <w:vMerge w:val="restart"/>
            <w:shd w:val="clear" w:color="auto" w:fill="auto"/>
            <w:vAlign w:val="center"/>
          </w:tcPr>
          <w:p w:rsidR="000B0562" w:rsidRPr="008173D3" w:rsidRDefault="009951B5">
            <w:pPr>
              <w:jc w:val="center"/>
              <w:rPr>
                <w:rFonts w:ascii="仿宋" w:eastAsia="仿宋" w:hAnsi="仿宋" w:cstheme="minorEastAsia"/>
                <w:color w:val="000000" w:themeColor="text1"/>
                <w:sz w:val="24"/>
              </w:rPr>
            </w:pPr>
            <w:r>
              <w:rPr>
                <w:rFonts w:ascii="仿宋" w:eastAsia="仿宋" w:hAnsi="仿宋" w:cstheme="minorEastAsia" w:hint="eastAsia"/>
                <w:color w:val="000000" w:themeColor="text1"/>
                <w:sz w:val="24"/>
              </w:rPr>
              <w:t>3</w:t>
            </w:r>
          </w:p>
        </w:tc>
        <w:tc>
          <w:tcPr>
            <w:tcW w:w="4001" w:type="dxa"/>
            <w:shd w:val="clear" w:color="auto" w:fill="auto"/>
            <w:noWrap/>
            <w:vAlign w:val="center"/>
          </w:tcPr>
          <w:p w:rsidR="000B0562" w:rsidRPr="008173D3" w:rsidRDefault="005B091D" w:rsidP="00037C78">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预期性指标（</w:t>
            </w:r>
            <w:r w:rsidR="00037C78">
              <w:rPr>
                <w:rFonts w:ascii="仿宋" w:eastAsia="仿宋" w:hAnsi="仿宋" w:cstheme="minorEastAsia"/>
                <w:color w:val="000000" w:themeColor="text1"/>
                <w:sz w:val="24"/>
              </w:rPr>
              <w:t>3</w:t>
            </w:r>
            <w:r w:rsidRPr="008173D3">
              <w:rPr>
                <w:rFonts w:ascii="仿宋" w:eastAsia="仿宋" w:hAnsi="仿宋" w:cstheme="minorEastAsia" w:hint="eastAsia"/>
                <w:color w:val="000000" w:themeColor="text1"/>
                <w:sz w:val="24"/>
              </w:rPr>
              <w:t>）</w:t>
            </w:r>
          </w:p>
        </w:tc>
        <w:tc>
          <w:tcPr>
            <w:tcW w:w="2351" w:type="dxa"/>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约束性指标（0）</w:t>
            </w:r>
          </w:p>
        </w:tc>
      </w:tr>
      <w:tr w:rsidR="000B0562" w:rsidRPr="008173D3" w:rsidTr="00DB7747">
        <w:trPr>
          <w:trHeight w:val="697"/>
          <w:jc w:val="center"/>
        </w:trPr>
        <w:tc>
          <w:tcPr>
            <w:tcW w:w="604" w:type="dxa"/>
            <w:vMerge/>
            <w:vAlign w:val="center"/>
          </w:tcPr>
          <w:p w:rsidR="000B0562" w:rsidRPr="008173D3" w:rsidRDefault="000B0562">
            <w:pPr>
              <w:jc w:val="center"/>
              <w:rPr>
                <w:rFonts w:ascii="仿宋" w:eastAsia="仿宋" w:hAnsi="仿宋" w:cstheme="minorEastAsia"/>
                <w:color w:val="000000" w:themeColor="text1"/>
                <w:sz w:val="24"/>
              </w:rPr>
            </w:pPr>
          </w:p>
        </w:tc>
        <w:tc>
          <w:tcPr>
            <w:tcW w:w="798" w:type="dxa"/>
            <w:vMerge/>
            <w:vAlign w:val="center"/>
          </w:tcPr>
          <w:p w:rsidR="000B0562" w:rsidRPr="008173D3" w:rsidRDefault="000B0562">
            <w:pPr>
              <w:jc w:val="center"/>
              <w:rPr>
                <w:rFonts w:ascii="仿宋" w:eastAsia="仿宋" w:hAnsi="仿宋" w:cstheme="minorEastAsia"/>
                <w:color w:val="000000" w:themeColor="text1"/>
                <w:sz w:val="24"/>
              </w:rPr>
            </w:pPr>
          </w:p>
        </w:tc>
        <w:tc>
          <w:tcPr>
            <w:tcW w:w="579" w:type="dxa"/>
            <w:vMerge/>
            <w:vAlign w:val="center"/>
          </w:tcPr>
          <w:p w:rsidR="000B0562" w:rsidRPr="008173D3" w:rsidRDefault="000B0562">
            <w:pPr>
              <w:jc w:val="center"/>
              <w:rPr>
                <w:rFonts w:ascii="仿宋" w:eastAsia="仿宋" w:hAnsi="仿宋" w:cstheme="minorEastAsia"/>
                <w:color w:val="000000" w:themeColor="text1"/>
                <w:sz w:val="24"/>
              </w:rPr>
            </w:pPr>
          </w:p>
        </w:tc>
        <w:tc>
          <w:tcPr>
            <w:tcW w:w="4001" w:type="dxa"/>
            <w:shd w:val="clear" w:color="auto" w:fill="auto"/>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数字经济核心产业增加值占地区生产总值比重</w:t>
            </w:r>
          </w:p>
        </w:tc>
        <w:tc>
          <w:tcPr>
            <w:tcW w:w="2351" w:type="dxa"/>
            <w:shd w:val="clear" w:color="auto" w:fill="auto"/>
            <w:vAlign w:val="center"/>
          </w:tcPr>
          <w:p w:rsidR="000B0562" w:rsidRPr="008173D3" w:rsidRDefault="000B0562">
            <w:pPr>
              <w:jc w:val="center"/>
              <w:rPr>
                <w:rFonts w:ascii="仿宋" w:eastAsia="仿宋" w:hAnsi="仿宋" w:cstheme="minorEastAsia"/>
                <w:color w:val="000000" w:themeColor="text1"/>
                <w:sz w:val="24"/>
              </w:rPr>
            </w:pPr>
          </w:p>
        </w:tc>
      </w:tr>
      <w:tr w:rsidR="00D13CBB" w:rsidRPr="008173D3" w:rsidTr="00DB7747">
        <w:trPr>
          <w:trHeight w:hRule="exact" w:val="397"/>
          <w:jc w:val="center"/>
        </w:trPr>
        <w:tc>
          <w:tcPr>
            <w:tcW w:w="604" w:type="dxa"/>
            <w:vMerge/>
            <w:vAlign w:val="center"/>
          </w:tcPr>
          <w:p w:rsidR="00D13CBB" w:rsidRPr="008173D3" w:rsidRDefault="00D13CBB">
            <w:pPr>
              <w:jc w:val="center"/>
              <w:rPr>
                <w:rFonts w:ascii="仿宋" w:eastAsia="仿宋" w:hAnsi="仿宋" w:cstheme="minorEastAsia"/>
                <w:color w:val="000000" w:themeColor="text1"/>
                <w:sz w:val="24"/>
              </w:rPr>
            </w:pPr>
          </w:p>
        </w:tc>
        <w:tc>
          <w:tcPr>
            <w:tcW w:w="798" w:type="dxa"/>
            <w:vMerge/>
            <w:vAlign w:val="center"/>
          </w:tcPr>
          <w:p w:rsidR="00D13CBB" w:rsidRPr="008173D3" w:rsidRDefault="00D13CBB">
            <w:pPr>
              <w:jc w:val="center"/>
              <w:rPr>
                <w:rFonts w:ascii="仿宋" w:eastAsia="仿宋" w:hAnsi="仿宋" w:cstheme="minorEastAsia"/>
                <w:color w:val="000000" w:themeColor="text1"/>
                <w:sz w:val="24"/>
              </w:rPr>
            </w:pPr>
          </w:p>
        </w:tc>
        <w:tc>
          <w:tcPr>
            <w:tcW w:w="579" w:type="dxa"/>
            <w:vMerge/>
            <w:vAlign w:val="center"/>
          </w:tcPr>
          <w:p w:rsidR="00D13CBB" w:rsidRPr="008173D3" w:rsidRDefault="00D13CBB">
            <w:pPr>
              <w:jc w:val="center"/>
              <w:rPr>
                <w:rFonts w:ascii="仿宋" w:eastAsia="仿宋" w:hAnsi="仿宋" w:cstheme="minorEastAsia"/>
                <w:color w:val="000000" w:themeColor="text1"/>
                <w:sz w:val="24"/>
              </w:rPr>
            </w:pPr>
          </w:p>
        </w:tc>
        <w:tc>
          <w:tcPr>
            <w:tcW w:w="4001" w:type="dxa"/>
            <w:shd w:val="clear" w:color="auto" w:fill="auto"/>
            <w:vAlign w:val="center"/>
          </w:tcPr>
          <w:p w:rsidR="00D13CBB" w:rsidRPr="008173D3" w:rsidRDefault="00D13CBB">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城镇调查失业率</w:t>
            </w:r>
          </w:p>
        </w:tc>
        <w:tc>
          <w:tcPr>
            <w:tcW w:w="2351" w:type="dxa"/>
            <w:shd w:val="clear" w:color="auto" w:fill="auto"/>
            <w:vAlign w:val="center"/>
          </w:tcPr>
          <w:p w:rsidR="00D13CBB" w:rsidRPr="008173D3" w:rsidRDefault="00D13CBB">
            <w:pPr>
              <w:jc w:val="center"/>
              <w:rPr>
                <w:rFonts w:ascii="仿宋" w:eastAsia="仿宋" w:hAnsi="仿宋" w:cstheme="minorEastAsia"/>
                <w:color w:val="000000" w:themeColor="text1"/>
                <w:sz w:val="24"/>
              </w:rPr>
            </w:pPr>
          </w:p>
        </w:tc>
      </w:tr>
      <w:tr w:rsidR="000B0562" w:rsidRPr="008173D3" w:rsidTr="00DB7747">
        <w:trPr>
          <w:trHeight w:hRule="exact" w:val="397"/>
          <w:jc w:val="center"/>
        </w:trPr>
        <w:tc>
          <w:tcPr>
            <w:tcW w:w="604" w:type="dxa"/>
            <w:vMerge/>
            <w:vAlign w:val="center"/>
          </w:tcPr>
          <w:p w:rsidR="000B0562" w:rsidRPr="008173D3" w:rsidRDefault="000B0562">
            <w:pPr>
              <w:jc w:val="center"/>
              <w:rPr>
                <w:rFonts w:ascii="仿宋" w:eastAsia="仿宋" w:hAnsi="仿宋" w:cstheme="minorEastAsia"/>
                <w:color w:val="000000" w:themeColor="text1"/>
                <w:sz w:val="24"/>
              </w:rPr>
            </w:pPr>
          </w:p>
        </w:tc>
        <w:tc>
          <w:tcPr>
            <w:tcW w:w="798" w:type="dxa"/>
            <w:vMerge/>
            <w:vAlign w:val="center"/>
          </w:tcPr>
          <w:p w:rsidR="000B0562" w:rsidRPr="008173D3" w:rsidRDefault="000B0562">
            <w:pPr>
              <w:jc w:val="center"/>
              <w:rPr>
                <w:rFonts w:ascii="仿宋" w:eastAsia="仿宋" w:hAnsi="仿宋" w:cstheme="minorEastAsia"/>
                <w:color w:val="000000" w:themeColor="text1"/>
                <w:sz w:val="24"/>
              </w:rPr>
            </w:pPr>
          </w:p>
        </w:tc>
        <w:tc>
          <w:tcPr>
            <w:tcW w:w="579" w:type="dxa"/>
            <w:vMerge/>
            <w:vAlign w:val="center"/>
          </w:tcPr>
          <w:p w:rsidR="000B0562" w:rsidRPr="008173D3" w:rsidRDefault="000B0562">
            <w:pPr>
              <w:jc w:val="center"/>
              <w:rPr>
                <w:rFonts w:ascii="仿宋" w:eastAsia="仿宋" w:hAnsi="仿宋" w:cstheme="minorEastAsia"/>
                <w:color w:val="000000" w:themeColor="text1"/>
                <w:sz w:val="24"/>
              </w:rPr>
            </w:pPr>
          </w:p>
        </w:tc>
        <w:tc>
          <w:tcPr>
            <w:tcW w:w="4001" w:type="dxa"/>
            <w:shd w:val="clear" w:color="auto" w:fill="auto"/>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人均预期寿命</w:t>
            </w:r>
          </w:p>
        </w:tc>
        <w:tc>
          <w:tcPr>
            <w:tcW w:w="2351" w:type="dxa"/>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w:t>
            </w:r>
          </w:p>
        </w:tc>
      </w:tr>
      <w:tr w:rsidR="000B0562" w:rsidRPr="008173D3" w:rsidTr="00DB7747">
        <w:trPr>
          <w:trHeight w:hRule="exact" w:val="397"/>
          <w:jc w:val="center"/>
        </w:trPr>
        <w:tc>
          <w:tcPr>
            <w:tcW w:w="604" w:type="dxa"/>
            <w:vMerge w:val="restart"/>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3</w:t>
            </w:r>
          </w:p>
        </w:tc>
        <w:tc>
          <w:tcPr>
            <w:tcW w:w="798" w:type="dxa"/>
            <w:vMerge w:val="restart"/>
            <w:shd w:val="clear" w:color="auto" w:fill="auto"/>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难达目标序时进度</w:t>
            </w:r>
          </w:p>
        </w:tc>
        <w:tc>
          <w:tcPr>
            <w:tcW w:w="579" w:type="dxa"/>
            <w:vMerge w:val="restart"/>
            <w:shd w:val="clear" w:color="auto" w:fill="auto"/>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5</w:t>
            </w:r>
          </w:p>
        </w:tc>
        <w:tc>
          <w:tcPr>
            <w:tcW w:w="4001" w:type="dxa"/>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预期性指标（2）</w:t>
            </w:r>
          </w:p>
        </w:tc>
        <w:tc>
          <w:tcPr>
            <w:tcW w:w="2351" w:type="dxa"/>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约束性指标（3）</w:t>
            </w:r>
          </w:p>
        </w:tc>
      </w:tr>
      <w:tr w:rsidR="000B0562" w:rsidRPr="008173D3" w:rsidTr="00DB7747">
        <w:trPr>
          <w:trHeight w:val="697"/>
          <w:jc w:val="center"/>
        </w:trPr>
        <w:tc>
          <w:tcPr>
            <w:tcW w:w="604" w:type="dxa"/>
            <w:vMerge/>
            <w:vAlign w:val="center"/>
          </w:tcPr>
          <w:p w:rsidR="000B0562" w:rsidRPr="008173D3" w:rsidRDefault="000B0562">
            <w:pPr>
              <w:jc w:val="center"/>
              <w:rPr>
                <w:rFonts w:ascii="仿宋" w:eastAsia="仿宋" w:hAnsi="仿宋" w:cstheme="minorEastAsia"/>
                <w:color w:val="000000" w:themeColor="text1"/>
                <w:sz w:val="24"/>
              </w:rPr>
            </w:pPr>
          </w:p>
        </w:tc>
        <w:tc>
          <w:tcPr>
            <w:tcW w:w="798" w:type="dxa"/>
            <w:vMerge/>
            <w:vAlign w:val="center"/>
          </w:tcPr>
          <w:p w:rsidR="000B0562" w:rsidRPr="008173D3" w:rsidRDefault="000B0562">
            <w:pPr>
              <w:jc w:val="center"/>
              <w:rPr>
                <w:rFonts w:ascii="仿宋" w:eastAsia="仿宋" w:hAnsi="仿宋" w:cstheme="minorEastAsia"/>
                <w:color w:val="000000" w:themeColor="text1"/>
                <w:sz w:val="24"/>
              </w:rPr>
            </w:pPr>
          </w:p>
        </w:tc>
        <w:tc>
          <w:tcPr>
            <w:tcW w:w="579" w:type="dxa"/>
            <w:vMerge/>
            <w:vAlign w:val="center"/>
          </w:tcPr>
          <w:p w:rsidR="000B0562" w:rsidRPr="008173D3" w:rsidRDefault="000B0562">
            <w:pPr>
              <w:jc w:val="center"/>
              <w:rPr>
                <w:rFonts w:ascii="仿宋" w:eastAsia="仿宋" w:hAnsi="仿宋" w:cstheme="minorEastAsia"/>
                <w:color w:val="000000" w:themeColor="text1"/>
                <w:sz w:val="24"/>
              </w:rPr>
            </w:pPr>
          </w:p>
        </w:tc>
        <w:tc>
          <w:tcPr>
            <w:tcW w:w="4001" w:type="dxa"/>
            <w:shd w:val="clear" w:color="auto" w:fill="auto"/>
            <w:vAlign w:val="center"/>
          </w:tcPr>
          <w:p w:rsidR="000B0562" w:rsidRPr="008173D3" w:rsidRDefault="005B091D">
            <w:pPr>
              <w:jc w:val="center"/>
              <w:rPr>
                <w:rFonts w:ascii="仿宋" w:eastAsia="仿宋" w:hAnsi="仿宋" w:cstheme="minorEastAsia"/>
                <w:color w:val="000000" w:themeColor="text1"/>
                <w:spacing w:val="-6"/>
                <w:sz w:val="24"/>
              </w:rPr>
            </w:pPr>
            <w:r w:rsidRPr="008173D3">
              <w:rPr>
                <w:rFonts w:ascii="仿宋" w:eastAsia="仿宋" w:hAnsi="仿宋" w:cstheme="minorEastAsia" w:hint="eastAsia"/>
                <w:color w:val="000000" w:themeColor="text1"/>
                <w:spacing w:val="-6"/>
                <w:sz w:val="24"/>
              </w:rPr>
              <w:t>最终消费支出对地区生产总值贡献率</w:t>
            </w:r>
          </w:p>
        </w:tc>
        <w:tc>
          <w:tcPr>
            <w:tcW w:w="2351" w:type="dxa"/>
            <w:shd w:val="clear" w:color="auto" w:fill="auto"/>
            <w:noWrap/>
            <w:vAlign w:val="center"/>
          </w:tcPr>
          <w:p w:rsidR="000B0562" w:rsidRPr="008173D3" w:rsidRDefault="005B091D">
            <w:pPr>
              <w:jc w:val="center"/>
              <w:rPr>
                <w:rFonts w:ascii="仿宋" w:eastAsia="仿宋" w:hAnsi="仿宋" w:cstheme="minorEastAsia"/>
                <w:color w:val="000000" w:themeColor="text1"/>
                <w:spacing w:val="-6"/>
                <w:sz w:val="24"/>
              </w:rPr>
            </w:pPr>
            <w:r w:rsidRPr="008173D3">
              <w:rPr>
                <w:rFonts w:ascii="仿宋" w:eastAsia="仿宋" w:hAnsi="仿宋" w:cstheme="minorEastAsia" w:hint="eastAsia"/>
                <w:color w:val="000000" w:themeColor="text1"/>
                <w:spacing w:val="-6"/>
                <w:sz w:val="24"/>
              </w:rPr>
              <w:t>劳动年龄人口平均受教育年限</w:t>
            </w:r>
          </w:p>
        </w:tc>
      </w:tr>
      <w:tr w:rsidR="000B0562" w:rsidRPr="008173D3" w:rsidTr="00DB7747">
        <w:trPr>
          <w:trHeight w:hRule="exact" w:val="397"/>
          <w:jc w:val="center"/>
        </w:trPr>
        <w:tc>
          <w:tcPr>
            <w:tcW w:w="604" w:type="dxa"/>
            <w:vMerge/>
            <w:vAlign w:val="center"/>
          </w:tcPr>
          <w:p w:rsidR="000B0562" w:rsidRPr="008173D3" w:rsidRDefault="000B0562">
            <w:pPr>
              <w:jc w:val="center"/>
              <w:rPr>
                <w:rFonts w:ascii="仿宋" w:eastAsia="仿宋" w:hAnsi="仿宋" w:cstheme="minorEastAsia"/>
                <w:color w:val="000000" w:themeColor="text1"/>
                <w:sz w:val="24"/>
              </w:rPr>
            </w:pPr>
          </w:p>
        </w:tc>
        <w:tc>
          <w:tcPr>
            <w:tcW w:w="798" w:type="dxa"/>
            <w:vMerge/>
            <w:vAlign w:val="center"/>
          </w:tcPr>
          <w:p w:rsidR="000B0562" w:rsidRPr="008173D3" w:rsidRDefault="000B0562">
            <w:pPr>
              <w:jc w:val="center"/>
              <w:rPr>
                <w:rFonts w:ascii="仿宋" w:eastAsia="仿宋" w:hAnsi="仿宋" w:cstheme="minorEastAsia"/>
                <w:color w:val="000000" w:themeColor="text1"/>
                <w:sz w:val="24"/>
              </w:rPr>
            </w:pPr>
          </w:p>
        </w:tc>
        <w:tc>
          <w:tcPr>
            <w:tcW w:w="579" w:type="dxa"/>
            <w:vMerge/>
            <w:vAlign w:val="center"/>
          </w:tcPr>
          <w:p w:rsidR="000B0562" w:rsidRPr="008173D3" w:rsidRDefault="000B0562">
            <w:pPr>
              <w:jc w:val="center"/>
              <w:rPr>
                <w:rFonts w:ascii="仿宋" w:eastAsia="仿宋" w:hAnsi="仿宋" w:cstheme="minorEastAsia"/>
                <w:color w:val="000000" w:themeColor="text1"/>
                <w:sz w:val="24"/>
              </w:rPr>
            </w:pPr>
          </w:p>
        </w:tc>
        <w:tc>
          <w:tcPr>
            <w:tcW w:w="4001" w:type="dxa"/>
            <w:shd w:val="clear" w:color="auto" w:fill="auto"/>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常住人口城镇化率</w:t>
            </w:r>
          </w:p>
        </w:tc>
        <w:tc>
          <w:tcPr>
            <w:tcW w:w="2351" w:type="dxa"/>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森林覆盖率</w:t>
            </w:r>
          </w:p>
        </w:tc>
      </w:tr>
      <w:tr w:rsidR="000B0562" w:rsidRPr="008173D3" w:rsidTr="00DB7747">
        <w:trPr>
          <w:trHeight w:val="521"/>
          <w:jc w:val="center"/>
        </w:trPr>
        <w:tc>
          <w:tcPr>
            <w:tcW w:w="604" w:type="dxa"/>
            <w:vMerge/>
            <w:vAlign w:val="center"/>
          </w:tcPr>
          <w:p w:rsidR="000B0562" w:rsidRPr="008173D3" w:rsidRDefault="000B0562">
            <w:pPr>
              <w:jc w:val="center"/>
              <w:rPr>
                <w:rFonts w:ascii="仿宋" w:eastAsia="仿宋" w:hAnsi="仿宋" w:cstheme="minorEastAsia"/>
                <w:color w:val="000000" w:themeColor="text1"/>
                <w:sz w:val="24"/>
              </w:rPr>
            </w:pPr>
          </w:p>
        </w:tc>
        <w:tc>
          <w:tcPr>
            <w:tcW w:w="798" w:type="dxa"/>
            <w:vMerge/>
            <w:vAlign w:val="center"/>
          </w:tcPr>
          <w:p w:rsidR="000B0562" w:rsidRPr="008173D3" w:rsidRDefault="000B0562">
            <w:pPr>
              <w:jc w:val="center"/>
              <w:rPr>
                <w:rFonts w:ascii="仿宋" w:eastAsia="仿宋" w:hAnsi="仿宋" w:cstheme="minorEastAsia"/>
                <w:color w:val="000000" w:themeColor="text1"/>
                <w:sz w:val="24"/>
              </w:rPr>
            </w:pPr>
          </w:p>
        </w:tc>
        <w:tc>
          <w:tcPr>
            <w:tcW w:w="579" w:type="dxa"/>
            <w:vMerge/>
            <w:vAlign w:val="center"/>
          </w:tcPr>
          <w:p w:rsidR="000B0562" w:rsidRPr="008173D3" w:rsidRDefault="000B0562">
            <w:pPr>
              <w:jc w:val="center"/>
              <w:rPr>
                <w:rFonts w:ascii="仿宋" w:eastAsia="仿宋" w:hAnsi="仿宋" w:cstheme="minorEastAsia"/>
                <w:color w:val="000000" w:themeColor="text1"/>
                <w:sz w:val="24"/>
              </w:rPr>
            </w:pPr>
          </w:p>
        </w:tc>
        <w:tc>
          <w:tcPr>
            <w:tcW w:w="4001" w:type="dxa"/>
            <w:shd w:val="clear" w:color="auto" w:fill="auto"/>
            <w:vAlign w:val="center"/>
          </w:tcPr>
          <w:p w:rsidR="000B0562" w:rsidRPr="008173D3" w:rsidRDefault="000B0562">
            <w:pPr>
              <w:jc w:val="center"/>
              <w:rPr>
                <w:rFonts w:ascii="仿宋" w:eastAsia="仿宋" w:hAnsi="仿宋" w:cstheme="minorEastAsia"/>
                <w:color w:val="000000" w:themeColor="text1"/>
                <w:sz w:val="24"/>
              </w:rPr>
            </w:pPr>
          </w:p>
        </w:tc>
        <w:tc>
          <w:tcPr>
            <w:tcW w:w="2351" w:type="dxa"/>
            <w:shd w:val="clear" w:color="auto" w:fill="auto"/>
            <w:noWrap/>
            <w:vAlign w:val="center"/>
          </w:tcPr>
          <w:p w:rsidR="000B0562" w:rsidRPr="008173D3" w:rsidRDefault="005B091D">
            <w:pPr>
              <w:jc w:val="center"/>
              <w:rPr>
                <w:rFonts w:ascii="仿宋" w:eastAsia="仿宋" w:hAnsi="仿宋" w:cstheme="minorEastAsia"/>
                <w:color w:val="000000" w:themeColor="text1"/>
                <w:sz w:val="24"/>
              </w:rPr>
            </w:pPr>
            <w:r w:rsidRPr="008173D3">
              <w:rPr>
                <w:rFonts w:ascii="仿宋" w:eastAsia="仿宋" w:hAnsi="仿宋" w:cstheme="minorEastAsia" w:hint="eastAsia"/>
                <w:color w:val="000000" w:themeColor="text1"/>
                <w:sz w:val="24"/>
              </w:rPr>
              <w:t>亿元GDP生产安全事故死亡率</w:t>
            </w:r>
          </w:p>
        </w:tc>
      </w:tr>
    </w:tbl>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但是，评估也反映出纲要实施中还存在一些不容忽视的问题：产业基础还比较薄弱，转型升级还处于起步阶段，产业链及产业集群的形成尚待时日；财税收支结构不够合理，在未来一段时期内，“三保”支出仍会存在较大压力；房地产、政府债务、金融、疫情防控、安全生产等领域依然存在风险点；思想观念、服务意识、工作效率等有待进一步提高，营商环境有待进一步优化等等。</w:t>
      </w:r>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“十四五”后半期，外部经济环境更加复杂多变，完成纲要既定目标需要付出更多努力。下一步，要以解决纲要实施中存在的突出问题为重点，抢抓机遇，应对挑战，立足当前，着眼长远，</w:t>
      </w:r>
      <w:r w:rsidR="00530338">
        <w:rPr>
          <w:rFonts w:ascii="仿宋_GB2312" w:eastAsia="仿宋_GB2312" w:hAnsi="仿宋_GB2312" w:cs="仿宋_GB2312" w:hint="eastAsia"/>
          <w:color w:val="000000" w:themeColor="text1"/>
          <w:sz w:val="32"/>
          <w:szCs w:val="32"/>
        </w:rPr>
        <w:t>锚定</w:t>
      </w:r>
      <w:r>
        <w:rPr>
          <w:rFonts w:ascii="仿宋_GB2312" w:eastAsia="仿宋_GB2312" w:hAnsi="仿宋_GB2312" w:cs="仿宋_GB2312" w:hint="eastAsia"/>
          <w:color w:val="000000" w:themeColor="text1"/>
          <w:sz w:val="32"/>
          <w:szCs w:val="32"/>
        </w:rPr>
        <w:t>“三高四新”</w:t>
      </w:r>
      <w:r w:rsidR="00530338">
        <w:rPr>
          <w:rFonts w:ascii="仿宋_GB2312" w:eastAsia="仿宋_GB2312" w:hAnsi="仿宋_GB2312" w:cs="仿宋_GB2312" w:hint="eastAsia"/>
          <w:color w:val="000000" w:themeColor="text1"/>
          <w:sz w:val="32"/>
          <w:szCs w:val="32"/>
        </w:rPr>
        <w:t>美好蓝图</w:t>
      </w:r>
      <w:r>
        <w:rPr>
          <w:rFonts w:ascii="仿宋_GB2312" w:eastAsia="仿宋_GB2312" w:hAnsi="仿宋_GB2312" w:cs="仿宋_GB2312" w:hint="eastAsia"/>
          <w:color w:val="000000" w:themeColor="text1"/>
          <w:sz w:val="32"/>
          <w:szCs w:val="32"/>
        </w:rPr>
        <w:t>，</w:t>
      </w:r>
      <w:r w:rsidR="00530338">
        <w:rPr>
          <w:rFonts w:ascii="仿宋_GB2312" w:eastAsia="仿宋_GB2312" w:hAnsi="仿宋_GB2312" w:cs="仿宋_GB2312" w:hint="eastAsia"/>
          <w:color w:val="000000" w:themeColor="text1"/>
          <w:sz w:val="32"/>
          <w:szCs w:val="32"/>
        </w:rPr>
        <w:t>深入实施</w:t>
      </w:r>
      <w:r>
        <w:rPr>
          <w:rFonts w:ascii="仿宋_GB2312" w:eastAsia="仿宋_GB2312" w:hAnsi="仿宋_GB2312" w:cs="仿宋_GB2312" w:hint="eastAsia"/>
          <w:color w:val="000000" w:themeColor="text1"/>
          <w:sz w:val="32"/>
          <w:szCs w:val="32"/>
        </w:rPr>
        <w:t>“</w:t>
      </w:r>
      <w:r w:rsidR="008B4843">
        <w:rPr>
          <w:rFonts w:ascii="仿宋_GB2312" w:eastAsia="仿宋_GB2312" w:hAnsi="仿宋_GB2312" w:cs="仿宋_GB2312" w:hint="eastAsia"/>
          <w:color w:val="000000" w:themeColor="text1"/>
          <w:sz w:val="32"/>
          <w:szCs w:val="32"/>
        </w:rPr>
        <w:t>五新四城</w:t>
      </w:r>
      <w:r>
        <w:rPr>
          <w:rFonts w:ascii="仿宋_GB2312" w:eastAsia="仿宋_GB2312" w:hAnsi="仿宋_GB2312" w:cs="仿宋_GB2312" w:hint="eastAsia"/>
          <w:color w:val="000000" w:themeColor="text1"/>
          <w:sz w:val="32"/>
          <w:szCs w:val="32"/>
        </w:rPr>
        <w:t>”</w:t>
      </w:r>
      <w:r w:rsidR="008B4843">
        <w:rPr>
          <w:rFonts w:ascii="仿宋_GB2312" w:eastAsia="仿宋_GB2312" w:hAnsi="仿宋_GB2312" w:cs="仿宋_GB2312" w:hint="eastAsia"/>
          <w:color w:val="000000" w:themeColor="text1"/>
          <w:sz w:val="32"/>
          <w:szCs w:val="32"/>
        </w:rPr>
        <w:t>战略</w:t>
      </w:r>
      <w:r>
        <w:rPr>
          <w:rFonts w:ascii="仿宋_GB2312" w:eastAsia="仿宋_GB2312" w:hAnsi="仿宋_GB2312" w:cs="仿宋_GB2312" w:hint="eastAsia"/>
          <w:color w:val="000000" w:themeColor="text1"/>
          <w:sz w:val="32"/>
          <w:szCs w:val="32"/>
        </w:rPr>
        <w:t>，按照“兴工强县、基础提质、文旅融合、统筹城乡”工作思路，在产业园区建设、城市功能提升、城乡一体化、保障改善民生、生态文明等方面取得更大进展，持之以恒地落实好规划纲要指导思想、总体思路、空间布局和重大举措，确保规划目标实现和战略任务顺利完成，奋力建设经济成效</w:t>
      </w:r>
      <w:r>
        <w:rPr>
          <w:rFonts w:ascii="仿宋_GB2312" w:eastAsia="仿宋_GB2312" w:hAnsi="仿宋_GB2312" w:cs="仿宋_GB2312" w:hint="eastAsia"/>
          <w:color w:val="000000" w:themeColor="text1"/>
          <w:sz w:val="32"/>
          <w:szCs w:val="32"/>
        </w:rPr>
        <w:lastRenderedPageBreak/>
        <w:t>更好、创新能力更强、改革开放更深、文明程度更高、生态环境更美、生活品质更优、治理效能更佳的社会主义现代化新溆浦。</w:t>
      </w:r>
    </w:p>
    <w:p w:rsidR="000B0562" w:rsidRDefault="000B0562">
      <w:pPr>
        <w:pStyle w:val="a8"/>
        <w:spacing w:line="616" w:lineRule="exact"/>
        <w:ind w:firstLine="640"/>
        <w:rPr>
          <w:rFonts w:ascii="仿宋_GB2312" w:eastAsia="仿宋_GB2312" w:hAnsi="仿宋_GB2312" w:cs="仿宋_GB2312"/>
          <w:color w:val="000000" w:themeColor="text1"/>
          <w:sz w:val="32"/>
          <w:szCs w:val="32"/>
        </w:rPr>
        <w:sectPr w:rsidR="000B0562">
          <w:pgSz w:w="11906" w:h="16838"/>
          <w:pgMar w:top="1701" w:right="1531" w:bottom="1531" w:left="1531" w:header="850" w:footer="1247" w:gutter="567"/>
          <w:cols w:space="0"/>
          <w:docGrid w:type="lines" w:linePitch="312"/>
        </w:sectPr>
      </w:pPr>
    </w:p>
    <w:p w:rsidR="000B0562" w:rsidRDefault="005B091D">
      <w:pPr>
        <w:pStyle w:val="a8"/>
        <w:spacing w:line="360" w:lineRule="auto"/>
        <w:ind w:firstLineChars="0" w:firstLine="0"/>
        <w:jc w:val="center"/>
        <w:rPr>
          <w:rFonts w:ascii="方正小标宋简体" w:eastAsia="方正小标宋简体" w:hAnsi="方正小标宋简体" w:cs="方正小标宋简体"/>
          <w:bCs/>
          <w:color w:val="000000" w:themeColor="text1"/>
          <w:sz w:val="32"/>
        </w:rPr>
      </w:pPr>
      <w:r>
        <w:rPr>
          <w:rFonts w:ascii="方正小标宋简体" w:eastAsia="方正小标宋简体" w:hAnsi="方正小标宋简体" w:cs="方正小标宋简体" w:hint="eastAsia"/>
          <w:bCs/>
          <w:color w:val="000000" w:themeColor="text1"/>
          <w:sz w:val="32"/>
        </w:rPr>
        <w:lastRenderedPageBreak/>
        <w:t>表2-2纲要具体指标完成情况详细评估信息一览表</w:t>
      </w:r>
    </w:p>
    <w:tbl>
      <w:tblPr>
        <w:tblW w:w="4992" w:type="pct"/>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28" w:type="dxa"/>
          <w:right w:w="28" w:type="dxa"/>
        </w:tblCellMar>
        <w:tblLook w:val="04A0"/>
      </w:tblPr>
      <w:tblGrid>
        <w:gridCol w:w="582"/>
        <w:gridCol w:w="583"/>
        <w:gridCol w:w="1748"/>
        <w:gridCol w:w="839"/>
        <w:gridCol w:w="1004"/>
        <w:gridCol w:w="1147"/>
        <w:gridCol w:w="804"/>
        <w:gridCol w:w="1045"/>
        <w:gridCol w:w="927"/>
        <w:gridCol w:w="1041"/>
        <w:gridCol w:w="954"/>
        <w:gridCol w:w="1147"/>
        <w:gridCol w:w="1113"/>
        <w:gridCol w:w="876"/>
      </w:tblGrid>
      <w:tr w:rsidR="000B0562" w:rsidRPr="001E4EA1">
        <w:trPr>
          <w:trHeight w:hRule="exact" w:val="577"/>
          <w:tblHeader/>
          <w:jc w:val="center"/>
        </w:trPr>
        <w:tc>
          <w:tcPr>
            <w:tcW w:w="2913" w:type="dxa"/>
            <w:gridSpan w:val="3"/>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指标信息</w:t>
            </w:r>
          </w:p>
        </w:tc>
        <w:tc>
          <w:tcPr>
            <w:tcW w:w="3794" w:type="dxa"/>
            <w:gridSpan w:val="4"/>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现状与目标</w:t>
            </w:r>
          </w:p>
        </w:tc>
        <w:tc>
          <w:tcPr>
            <w:tcW w:w="6227" w:type="dxa"/>
            <w:gridSpan w:val="6"/>
            <w:vAlign w:val="center"/>
          </w:tcPr>
          <w:p w:rsidR="000B0562" w:rsidRPr="001E4EA1" w:rsidRDefault="005B091D">
            <w:pPr>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完成情况</w:t>
            </w:r>
          </w:p>
        </w:tc>
        <w:tc>
          <w:tcPr>
            <w:tcW w:w="876" w:type="dxa"/>
            <w:vMerge w:val="restart"/>
            <w:shd w:val="clear" w:color="auto" w:fill="auto"/>
            <w:vAlign w:val="center"/>
          </w:tcPr>
          <w:p w:rsidR="000B0562" w:rsidRPr="001E4EA1" w:rsidRDefault="005B091D">
            <w:pPr>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责任单位</w:t>
            </w:r>
          </w:p>
        </w:tc>
      </w:tr>
      <w:tr w:rsidR="000B0562" w:rsidRPr="001E4EA1">
        <w:trPr>
          <w:trHeight w:hRule="exact" w:val="688"/>
          <w:tblHeader/>
          <w:jc w:val="center"/>
        </w:trPr>
        <w:tc>
          <w:tcPr>
            <w:tcW w:w="582"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类别</w:t>
            </w: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序号</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指标名称</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2020年</w:t>
            </w:r>
          </w:p>
        </w:tc>
        <w:tc>
          <w:tcPr>
            <w:tcW w:w="1004" w:type="dxa"/>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2025年</w:t>
            </w:r>
          </w:p>
        </w:tc>
        <w:tc>
          <w:tcPr>
            <w:tcW w:w="1147" w:type="dxa"/>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年均增速[累计]</w:t>
            </w:r>
          </w:p>
        </w:tc>
        <w:tc>
          <w:tcPr>
            <w:tcW w:w="804" w:type="dxa"/>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属性</w:t>
            </w:r>
          </w:p>
        </w:tc>
        <w:tc>
          <w:tcPr>
            <w:tcW w:w="1045" w:type="dxa"/>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2020年实际基数</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2021年</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2022年</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2023年1-6月</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时下完成</w:t>
            </w:r>
          </w:p>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情况</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期末完成</w:t>
            </w:r>
          </w:p>
          <w:p w:rsidR="000B0562" w:rsidRPr="001E4EA1" w:rsidRDefault="005B091D">
            <w:pPr>
              <w:widowControl/>
              <w:spacing w:line="280" w:lineRule="exact"/>
              <w:jc w:val="center"/>
              <w:rPr>
                <w:rFonts w:ascii="仿宋" w:eastAsia="仿宋" w:hAnsi="仿宋" w:cstheme="minorEastAsia"/>
                <w:b/>
                <w:bCs/>
                <w:color w:val="000000" w:themeColor="text1"/>
                <w:kern w:val="0"/>
                <w:szCs w:val="21"/>
              </w:rPr>
            </w:pPr>
            <w:r w:rsidRPr="001E4EA1">
              <w:rPr>
                <w:rFonts w:ascii="仿宋" w:eastAsia="仿宋" w:hAnsi="仿宋" w:cstheme="minorEastAsia" w:hint="eastAsia"/>
                <w:b/>
                <w:bCs/>
                <w:color w:val="000000" w:themeColor="text1"/>
                <w:kern w:val="0"/>
                <w:szCs w:val="21"/>
              </w:rPr>
              <w:t>情况</w:t>
            </w:r>
          </w:p>
        </w:tc>
        <w:tc>
          <w:tcPr>
            <w:tcW w:w="876" w:type="dxa"/>
            <w:vMerge/>
            <w:shd w:val="clear" w:color="auto" w:fill="auto"/>
            <w:vAlign w:val="center"/>
          </w:tcPr>
          <w:p w:rsidR="000B0562" w:rsidRPr="001E4EA1" w:rsidRDefault="000B0562">
            <w:pPr>
              <w:widowControl/>
              <w:spacing w:line="280" w:lineRule="exact"/>
              <w:jc w:val="center"/>
              <w:rPr>
                <w:rFonts w:ascii="仿宋" w:eastAsia="仿宋" w:hAnsi="仿宋" w:cstheme="minorEastAsia"/>
                <w:b/>
                <w:bCs/>
                <w:color w:val="000000" w:themeColor="text1"/>
                <w:kern w:val="0"/>
                <w:szCs w:val="21"/>
              </w:rPr>
            </w:pPr>
          </w:p>
        </w:tc>
      </w:tr>
      <w:tr w:rsidR="000B0562" w:rsidRPr="001E4EA1">
        <w:trPr>
          <w:trHeight w:hRule="exact" w:val="659"/>
          <w:jc w:val="center"/>
        </w:trPr>
        <w:tc>
          <w:tcPr>
            <w:tcW w:w="582" w:type="dxa"/>
            <w:vMerge w:val="restart"/>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经济发展</w:t>
            </w: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地区生产总值增长（%）</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4.60</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7.00</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4.60</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8.40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5.00</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3.90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县发改局</w:t>
            </w:r>
          </w:p>
        </w:tc>
      </w:tr>
      <w:tr w:rsidR="000B0562" w:rsidRPr="001E4EA1">
        <w:trPr>
          <w:trHeight w:hRule="exact" w:val="659"/>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全员劳动生产率增长（%）</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8.84</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7.00</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4.80</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15.86</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6.53</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县发改局</w:t>
            </w:r>
          </w:p>
        </w:tc>
      </w:tr>
      <w:tr w:rsidR="000B0562" w:rsidRPr="001E4EA1">
        <w:trPr>
          <w:trHeight w:hRule="exact" w:val="1076"/>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制造业增加值占地区生产总值比重（%）</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14.56</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19.00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15.69</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17.60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19.16</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20.00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县工信局</w:t>
            </w:r>
          </w:p>
        </w:tc>
      </w:tr>
      <w:tr w:rsidR="000B0562" w:rsidRPr="001E4EA1">
        <w:trPr>
          <w:trHeight w:hRule="exact" w:val="659"/>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产业投资占固定资产投资比重（%）</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49.1</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49.10</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53.60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63.90</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66.18</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县发改局</w:t>
            </w:r>
          </w:p>
        </w:tc>
      </w:tr>
      <w:tr w:rsidR="000B0562" w:rsidRPr="001E4EA1">
        <w:trPr>
          <w:trHeight w:hRule="exact" w:val="878"/>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5</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最终消费支出对地区生产总值贡献率（%）</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36.09</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60.00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37.74</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36.28</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35.00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县商务局</w:t>
            </w:r>
          </w:p>
        </w:tc>
      </w:tr>
      <w:tr w:rsidR="000B0562" w:rsidRPr="001E4EA1">
        <w:trPr>
          <w:trHeight w:hRule="exact" w:val="659"/>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对外贸易依存度（%）</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0.98</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0.40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1.22</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0.95</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县商务局</w:t>
            </w:r>
          </w:p>
        </w:tc>
      </w:tr>
      <w:tr w:rsidR="000B0562" w:rsidRPr="001E4EA1">
        <w:trPr>
          <w:trHeight w:hRule="exact" w:val="956"/>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7</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地方一般公共预算收入占地区生产总值比重（%）</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3.49</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3.48</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3.50</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3.70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4.58</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6.00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县财政局</w:t>
            </w:r>
          </w:p>
        </w:tc>
      </w:tr>
      <w:tr w:rsidR="000B0562" w:rsidRPr="001E4EA1">
        <w:trPr>
          <w:trHeight w:hRule="exact" w:val="659"/>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8</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常住人口城镇化率（%）</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27.37</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50.00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27.37</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30.13</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30.75</w:t>
            </w:r>
          </w:p>
        </w:tc>
        <w:tc>
          <w:tcPr>
            <w:tcW w:w="954" w:type="dxa"/>
            <w:shd w:val="clear" w:color="auto" w:fill="auto"/>
            <w:vAlign w:val="center"/>
          </w:tcPr>
          <w:p w:rsidR="000B0562" w:rsidRPr="00B61B6C" w:rsidRDefault="00C675D0">
            <w:pPr>
              <w:widowControl/>
              <w:spacing w:line="280" w:lineRule="exact"/>
              <w:jc w:val="center"/>
              <w:rPr>
                <w:rFonts w:ascii="仿宋" w:eastAsia="仿宋" w:hAnsi="仿宋" w:cstheme="minorEastAsia"/>
                <w:color w:val="FF0000"/>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县住建局</w:t>
            </w:r>
          </w:p>
        </w:tc>
      </w:tr>
      <w:tr w:rsidR="000B0562" w:rsidRPr="001E4EA1">
        <w:trPr>
          <w:trHeight w:hRule="exact" w:val="564"/>
          <w:jc w:val="center"/>
        </w:trPr>
        <w:tc>
          <w:tcPr>
            <w:tcW w:w="582" w:type="dxa"/>
            <w:vMerge w:val="restart"/>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lastRenderedPageBreak/>
              <w:t>创新驱动</w:t>
            </w: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研发经费投入增长（%）</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2.69</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≥9.00</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0B0562">
            <w:pPr>
              <w:widowControl/>
              <w:spacing w:line="280" w:lineRule="exact"/>
              <w:jc w:val="center"/>
              <w:rPr>
                <w:rFonts w:ascii="仿宋" w:eastAsia="仿宋" w:hAnsi="仿宋" w:cstheme="minorEastAsia"/>
                <w:color w:val="000000" w:themeColor="text1"/>
                <w:kern w:val="0"/>
                <w:szCs w:val="21"/>
              </w:rPr>
            </w:pP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9.10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91.69</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县科技局</w:t>
            </w:r>
          </w:p>
        </w:tc>
      </w:tr>
      <w:tr w:rsidR="000B0562" w:rsidRPr="001E4EA1">
        <w:trPr>
          <w:trHeight w:hRule="exact" w:val="628"/>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每万人口高价值发明专利拥有量（件）</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7.17</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县市场监管局</w:t>
            </w:r>
          </w:p>
        </w:tc>
      </w:tr>
      <w:tr w:rsidR="000B0562" w:rsidRPr="001E4EA1">
        <w:trPr>
          <w:trHeight w:hRule="exact" w:val="876"/>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11</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数字经济核心产业增加值占地区生产总值比重（%）</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5</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缺乏数据无法比较</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缺乏数据无法比较</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县工信局</w:t>
            </w:r>
          </w:p>
        </w:tc>
      </w:tr>
      <w:tr w:rsidR="000B0562" w:rsidRPr="001E4EA1">
        <w:trPr>
          <w:trHeight w:hRule="exact" w:val="563"/>
          <w:jc w:val="center"/>
        </w:trPr>
        <w:tc>
          <w:tcPr>
            <w:tcW w:w="582" w:type="dxa"/>
            <w:vMerge w:val="restart"/>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民生福祉</w:t>
            </w: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12</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居民人均可支配收入增长（%）</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6.9</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7.5</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14.5</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9.9</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6.4</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7.2</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县人社局</w:t>
            </w:r>
          </w:p>
        </w:tc>
      </w:tr>
      <w:tr w:rsidR="000B0562" w:rsidRPr="001E4EA1">
        <w:trPr>
          <w:trHeight w:hRule="exact" w:val="546"/>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13</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城镇调查失业率（%）</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﹤5.60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9475E8" w:rsidRDefault="00C675D0">
            <w:pPr>
              <w:widowControl/>
              <w:spacing w:line="280" w:lineRule="exact"/>
              <w:jc w:val="center"/>
              <w:rPr>
                <w:rFonts w:ascii="仿宋" w:eastAsia="仿宋" w:hAnsi="仿宋" w:cstheme="minorEastAsia"/>
                <w:color w:val="FF0000"/>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9475E8" w:rsidRDefault="00C675D0" w:rsidP="009475E8">
            <w:pPr>
              <w:widowControl/>
              <w:spacing w:line="280" w:lineRule="exact"/>
              <w:jc w:val="center"/>
              <w:rPr>
                <w:rFonts w:ascii="仿宋" w:eastAsia="仿宋" w:hAnsi="仿宋" w:cstheme="minorEastAsia"/>
                <w:color w:val="FF0000"/>
                <w:kern w:val="0"/>
                <w:szCs w:val="21"/>
              </w:rPr>
            </w:pPr>
            <w:r w:rsidRPr="001E4EA1">
              <w:rPr>
                <w:rFonts w:ascii="仿宋" w:eastAsia="仿宋" w:hAnsi="仿宋" w:cstheme="minorEastAsia" w:hint="eastAsia"/>
                <w:color w:val="000000" w:themeColor="text1"/>
                <w:kern w:val="0"/>
                <w:szCs w:val="21"/>
              </w:rPr>
              <w:t>-</w:t>
            </w:r>
          </w:p>
        </w:tc>
        <w:tc>
          <w:tcPr>
            <w:tcW w:w="1041" w:type="dxa"/>
            <w:shd w:val="clear" w:color="auto" w:fill="auto"/>
            <w:vAlign w:val="center"/>
          </w:tcPr>
          <w:p w:rsidR="000B0562" w:rsidRPr="009475E8" w:rsidRDefault="00C675D0">
            <w:pPr>
              <w:widowControl/>
              <w:spacing w:line="280" w:lineRule="exact"/>
              <w:jc w:val="center"/>
              <w:rPr>
                <w:rFonts w:ascii="仿宋" w:eastAsia="仿宋" w:hAnsi="仿宋" w:cstheme="minorEastAsia"/>
                <w:color w:val="FF0000"/>
                <w:kern w:val="0"/>
                <w:szCs w:val="21"/>
              </w:rPr>
            </w:pPr>
            <w:r w:rsidRPr="001E4EA1">
              <w:rPr>
                <w:rFonts w:ascii="仿宋" w:eastAsia="仿宋" w:hAnsi="仿宋" w:cstheme="minorEastAsia" w:hint="eastAsia"/>
                <w:color w:val="000000" w:themeColor="text1"/>
                <w:kern w:val="0"/>
                <w:szCs w:val="21"/>
              </w:rPr>
              <w:t>-</w:t>
            </w:r>
          </w:p>
        </w:tc>
        <w:tc>
          <w:tcPr>
            <w:tcW w:w="954" w:type="dxa"/>
            <w:shd w:val="clear" w:color="auto" w:fill="auto"/>
            <w:vAlign w:val="center"/>
          </w:tcPr>
          <w:p w:rsidR="000B0562" w:rsidRPr="009475E8" w:rsidRDefault="00C675D0">
            <w:pPr>
              <w:widowControl/>
              <w:spacing w:line="280" w:lineRule="exact"/>
              <w:jc w:val="center"/>
              <w:rPr>
                <w:rFonts w:ascii="仿宋" w:eastAsia="仿宋" w:hAnsi="仿宋" w:cstheme="minorEastAsia"/>
                <w:color w:val="FF0000"/>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B15EC8">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缺乏数据无法比较</w:t>
            </w:r>
          </w:p>
        </w:tc>
        <w:tc>
          <w:tcPr>
            <w:tcW w:w="1113" w:type="dxa"/>
            <w:shd w:val="clear" w:color="auto" w:fill="auto"/>
            <w:vAlign w:val="center"/>
          </w:tcPr>
          <w:p w:rsidR="000B0562" w:rsidRPr="001E4EA1" w:rsidRDefault="00B15EC8">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缺乏数据无法比较</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县人社局</w:t>
            </w:r>
          </w:p>
        </w:tc>
      </w:tr>
      <w:tr w:rsidR="000B0562" w:rsidRPr="001E4EA1">
        <w:trPr>
          <w:trHeight w:hRule="exact" w:val="738"/>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14</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劳动年龄人口平均受教育年限（年）</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9.65</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12.0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9.65</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9.82</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9.93</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县教育局</w:t>
            </w:r>
          </w:p>
        </w:tc>
      </w:tr>
      <w:tr w:rsidR="000B0562" w:rsidRPr="001E4EA1">
        <w:trPr>
          <w:trHeight w:hRule="exact" w:val="854"/>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15</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每千人口拥有执业（助理）医师数（人）</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2.33</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2.54</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1.88</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2.23</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2.35</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县卫健局</w:t>
            </w:r>
          </w:p>
        </w:tc>
      </w:tr>
      <w:tr w:rsidR="000B0562" w:rsidRPr="001E4EA1">
        <w:trPr>
          <w:trHeight w:hRule="exact" w:val="620"/>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16</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基本养老保险参保率（%）</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93.52</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92</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94.63</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95.18</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96.01</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县人社局</w:t>
            </w:r>
          </w:p>
        </w:tc>
      </w:tr>
      <w:tr w:rsidR="000B0562" w:rsidRPr="001E4EA1">
        <w:trPr>
          <w:trHeight w:hRule="exact" w:val="837"/>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17</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每千人口拥有三岁以下婴幼儿托位数（个）</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0.00</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0.34</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2.68</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3.30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县卫健局</w:t>
            </w:r>
          </w:p>
        </w:tc>
      </w:tr>
      <w:tr w:rsidR="000B0562" w:rsidRPr="001E4EA1">
        <w:trPr>
          <w:trHeight w:hRule="exact" w:val="564"/>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18</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人均预期寿命（岁）</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78.5</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预期性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缺乏数据无法比较</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缺乏数据无法比较</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县卫健局</w:t>
            </w:r>
          </w:p>
        </w:tc>
      </w:tr>
      <w:tr w:rsidR="000B0562" w:rsidRPr="001E4EA1">
        <w:trPr>
          <w:trHeight w:hRule="exact" w:val="1099"/>
          <w:jc w:val="center"/>
        </w:trPr>
        <w:tc>
          <w:tcPr>
            <w:tcW w:w="582" w:type="dxa"/>
            <w:vMerge w:val="restart"/>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lastRenderedPageBreak/>
              <w:t>绿色转型</w:t>
            </w: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19</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单位地区生产总值能源消耗降幅（%）</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1.52</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完成省市下达任务</w:t>
            </w:r>
          </w:p>
        </w:tc>
        <w:tc>
          <w:tcPr>
            <w:tcW w:w="1147" w:type="dxa"/>
            <w:vAlign w:val="center"/>
          </w:tcPr>
          <w:p w:rsidR="000B0562" w:rsidRPr="001E4EA1" w:rsidRDefault="000B0562">
            <w:pPr>
              <w:widowControl/>
              <w:spacing w:line="280" w:lineRule="exact"/>
              <w:jc w:val="center"/>
              <w:rPr>
                <w:rFonts w:ascii="仿宋" w:eastAsia="仿宋" w:hAnsi="仿宋" w:cstheme="minorEastAsia"/>
                <w:color w:val="000000" w:themeColor="text1"/>
                <w:kern w:val="0"/>
                <w:szCs w:val="21"/>
              </w:rPr>
            </w:pP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-1.51</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-4.10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-3.80</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县发改局</w:t>
            </w:r>
          </w:p>
        </w:tc>
      </w:tr>
      <w:tr w:rsidR="000B0562" w:rsidRPr="001E4EA1">
        <w:trPr>
          <w:trHeight w:hRule="exact" w:val="1040"/>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20</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单位地区生产总值二氧化碳排放降幅（%）</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完成省市下达任务</w:t>
            </w:r>
          </w:p>
        </w:tc>
        <w:tc>
          <w:tcPr>
            <w:tcW w:w="1147" w:type="dxa"/>
            <w:vAlign w:val="center"/>
          </w:tcPr>
          <w:p w:rsidR="000B0562" w:rsidRPr="001E4EA1" w:rsidRDefault="000B0562">
            <w:pPr>
              <w:widowControl/>
              <w:spacing w:line="280" w:lineRule="exact"/>
              <w:jc w:val="center"/>
              <w:rPr>
                <w:rFonts w:ascii="仿宋" w:eastAsia="仿宋" w:hAnsi="仿宋" w:cstheme="minorEastAsia"/>
                <w:color w:val="000000" w:themeColor="text1"/>
                <w:kern w:val="0"/>
                <w:szCs w:val="21"/>
              </w:rPr>
            </w:pP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0B0562">
            <w:pPr>
              <w:widowControl/>
              <w:spacing w:line="280" w:lineRule="exact"/>
              <w:jc w:val="center"/>
              <w:rPr>
                <w:rFonts w:ascii="仿宋" w:eastAsia="仿宋" w:hAnsi="仿宋" w:cstheme="minorEastAsia"/>
                <w:color w:val="000000" w:themeColor="text1"/>
                <w:kern w:val="0"/>
                <w:szCs w:val="21"/>
              </w:rPr>
            </w:pP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市生态环境局溆浦分局</w:t>
            </w:r>
          </w:p>
        </w:tc>
      </w:tr>
      <w:tr w:rsidR="000B0562" w:rsidRPr="001E4EA1">
        <w:trPr>
          <w:trHeight w:hRule="exact" w:val="991"/>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21</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县级及以上城市空气质量优良天数比例（%）</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≧95.00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93.20</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90.30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96.24</w:t>
            </w:r>
          </w:p>
        </w:tc>
        <w:tc>
          <w:tcPr>
            <w:tcW w:w="954" w:type="dxa"/>
            <w:shd w:val="clear" w:color="auto" w:fill="auto"/>
            <w:vAlign w:val="center"/>
          </w:tcPr>
          <w:p w:rsidR="000B0562" w:rsidRPr="00430A09" w:rsidRDefault="0051018C">
            <w:pPr>
              <w:widowControl/>
              <w:spacing w:line="280" w:lineRule="exact"/>
              <w:jc w:val="center"/>
              <w:rPr>
                <w:rFonts w:ascii="仿宋" w:eastAsia="仿宋" w:hAnsi="仿宋" w:cstheme="minorEastAsia"/>
                <w:color w:val="000000" w:themeColor="text1"/>
                <w:kern w:val="0"/>
                <w:szCs w:val="21"/>
              </w:rPr>
            </w:pPr>
            <w:r w:rsidRPr="00430A09">
              <w:rPr>
                <w:rFonts w:ascii="仿宋" w:eastAsia="仿宋" w:hAnsi="仿宋" w:cstheme="minorEastAsia" w:hint="eastAsia"/>
                <w:color w:val="000000" w:themeColor="text1"/>
                <w:kern w:val="0"/>
                <w:szCs w:val="21"/>
              </w:rPr>
              <w:t>96.</w:t>
            </w:r>
            <w:r w:rsidRPr="00430A09">
              <w:rPr>
                <w:rFonts w:ascii="仿宋" w:eastAsia="仿宋" w:hAnsi="仿宋" w:cstheme="minorEastAsia"/>
                <w:color w:val="000000" w:themeColor="text1"/>
                <w:kern w:val="0"/>
                <w:szCs w:val="21"/>
              </w:rPr>
              <w:t>7</w:t>
            </w:r>
            <w:r w:rsidR="005B091D" w:rsidRPr="00430A09">
              <w:rPr>
                <w:rFonts w:ascii="仿宋" w:eastAsia="仿宋" w:hAnsi="仿宋" w:cstheme="minorEastAsia" w:hint="eastAsia"/>
                <w:color w:val="000000" w:themeColor="text1"/>
                <w:kern w:val="0"/>
                <w:szCs w:val="21"/>
              </w:rPr>
              <w:t>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市生态环境局溆浦分局</w:t>
            </w:r>
          </w:p>
        </w:tc>
      </w:tr>
      <w:tr w:rsidR="000B0562" w:rsidRPr="001E4EA1">
        <w:trPr>
          <w:trHeight w:hRule="exact" w:val="1050"/>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22</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地表水达到或优于Ⅲ类水体比例（%）</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100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市生态环境局溆浦分局</w:t>
            </w:r>
          </w:p>
        </w:tc>
      </w:tr>
      <w:tr w:rsidR="000B0562" w:rsidRPr="001E4EA1">
        <w:trPr>
          <w:trHeight w:hRule="exact" w:val="887"/>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23</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森林覆盖率（%）</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67.58</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67.80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67.58</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67.58</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67.58</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县林业局</w:t>
            </w:r>
          </w:p>
        </w:tc>
      </w:tr>
      <w:tr w:rsidR="000B0562" w:rsidRPr="001E4EA1">
        <w:trPr>
          <w:trHeight w:hRule="exact" w:val="778"/>
          <w:jc w:val="center"/>
        </w:trPr>
        <w:tc>
          <w:tcPr>
            <w:tcW w:w="582" w:type="dxa"/>
            <w:vMerge w:val="restart"/>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安全保障</w:t>
            </w: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24</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粮食综合生产能力（万吨）</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36.17</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≧36.00</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36.65</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35.60</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36.00</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可以按目标完成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县农业农村局</w:t>
            </w:r>
          </w:p>
        </w:tc>
      </w:tr>
      <w:tr w:rsidR="000B0562" w:rsidRPr="001E4EA1">
        <w:trPr>
          <w:trHeight w:hRule="exact" w:val="949"/>
          <w:jc w:val="center"/>
        </w:trPr>
        <w:tc>
          <w:tcPr>
            <w:tcW w:w="582" w:type="dxa"/>
            <w:vMerge/>
            <w:shd w:val="clear" w:color="auto" w:fill="auto"/>
            <w:vAlign w:val="center"/>
          </w:tcPr>
          <w:p w:rsidR="000B0562" w:rsidRPr="001E4EA1" w:rsidRDefault="000B0562">
            <w:pPr>
              <w:widowControl/>
              <w:spacing w:line="280" w:lineRule="exact"/>
              <w:jc w:val="left"/>
              <w:rPr>
                <w:rFonts w:ascii="仿宋" w:eastAsia="仿宋" w:hAnsi="仿宋" w:cstheme="minorEastAsia"/>
                <w:color w:val="000000" w:themeColor="text1"/>
                <w:kern w:val="0"/>
                <w:szCs w:val="21"/>
              </w:rPr>
            </w:pPr>
          </w:p>
        </w:tc>
        <w:tc>
          <w:tcPr>
            <w:tcW w:w="58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25</w:t>
            </w:r>
          </w:p>
        </w:tc>
        <w:tc>
          <w:tcPr>
            <w:tcW w:w="1748"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亿元GDP生产安全事故死亡率（%）</w:t>
            </w:r>
          </w:p>
        </w:tc>
        <w:tc>
          <w:tcPr>
            <w:tcW w:w="839"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0.005</w:t>
            </w:r>
          </w:p>
        </w:tc>
        <w:tc>
          <w:tcPr>
            <w:tcW w:w="10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w:t>
            </w:r>
          </w:p>
        </w:tc>
        <w:tc>
          <w:tcPr>
            <w:tcW w:w="1147"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[-25%]</w:t>
            </w:r>
          </w:p>
        </w:tc>
        <w:tc>
          <w:tcPr>
            <w:tcW w:w="804"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约束性</w:t>
            </w:r>
          </w:p>
        </w:tc>
        <w:tc>
          <w:tcPr>
            <w:tcW w:w="1045" w:type="dxa"/>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0.033</w:t>
            </w:r>
          </w:p>
        </w:tc>
        <w:tc>
          <w:tcPr>
            <w:tcW w:w="92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0.049</w:t>
            </w:r>
          </w:p>
        </w:tc>
        <w:tc>
          <w:tcPr>
            <w:tcW w:w="1041"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0.027</w:t>
            </w:r>
          </w:p>
        </w:tc>
        <w:tc>
          <w:tcPr>
            <w:tcW w:w="954"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0.025</w:t>
            </w:r>
          </w:p>
        </w:tc>
        <w:tc>
          <w:tcPr>
            <w:tcW w:w="1147"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难达目标序时进度</w:t>
            </w:r>
          </w:p>
        </w:tc>
        <w:tc>
          <w:tcPr>
            <w:tcW w:w="1113"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难以按目标完成</w:t>
            </w:r>
          </w:p>
        </w:tc>
        <w:tc>
          <w:tcPr>
            <w:tcW w:w="876" w:type="dxa"/>
            <w:shd w:val="clear" w:color="auto" w:fill="auto"/>
            <w:vAlign w:val="center"/>
          </w:tcPr>
          <w:p w:rsidR="000B0562" w:rsidRPr="001E4EA1" w:rsidRDefault="005B091D">
            <w:pPr>
              <w:widowControl/>
              <w:spacing w:line="280" w:lineRule="exact"/>
              <w:jc w:val="center"/>
              <w:rPr>
                <w:rFonts w:ascii="仿宋" w:eastAsia="仿宋" w:hAnsi="仿宋" w:cstheme="minorEastAsia"/>
                <w:color w:val="000000" w:themeColor="text1"/>
                <w:kern w:val="0"/>
                <w:szCs w:val="21"/>
              </w:rPr>
            </w:pPr>
            <w:r w:rsidRPr="001E4EA1">
              <w:rPr>
                <w:rFonts w:ascii="仿宋" w:eastAsia="仿宋" w:hAnsi="仿宋" w:cstheme="minorEastAsia" w:hint="eastAsia"/>
                <w:color w:val="000000" w:themeColor="text1"/>
                <w:kern w:val="0"/>
                <w:szCs w:val="21"/>
              </w:rPr>
              <w:t>县应急</w:t>
            </w:r>
            <w:r w:rsidR="0075532F" w:rsidRPr="001E4EA1">
              <w:rPr>
                <w:rFonts w:ascii="仿宋" w:eastAsia="仿宋" w:hAnsi="仿宋" w:cstheme="minorEastAsia" w:hint="eastAsia"/>
                <w:color w:val="000000" w:themeColor="text1"/>
                <w:kern w:val="0"/>
                <w:szCs w:val="21"/>
              </w:rPr>
              <w:t>管理</w:t>
            </w:r>
            <w:r w:rsidRPr="001E4EA1">
              <w:rPr>
                <w:rFonts w:ascii="仿宋" w:eastAsia="仿宋" w:hAnsi="仿宋" w:cstheme="minorEastAsia" w:hint="eastAsia"/>
                <w:color w:val="000000" w:themeColor="text1"/>
                <w:kern w:val="0"/>
                <w:szCs w:val="21"/>
              </w:rPr>
              <w:t>局</w:t>
            </w:r>
          </w:p>
        </w:tc>
      </w:tr>
    </w:tbl>
    <w:p w:rsidR="000B0562" w:rsidRDefault="000B0562">
      <w:pPr>
        <w:tabs>
          <w:tab w:val="left" w:pos="5442"/>
        </w:tabs>
        <w:rPr>
          <w:color w:val="000000" w:themeColor="text1"/>
        </w:rPr>
        <w:sectPr w:rsidR="000B0562">
          <w:pgSz w:w="16838" w:h="11906" w:orient="landscape"/>
          <w:pgMar w:top="1701" w:right="1531" w:bottom="1531" w:left="1531" w:header="822" w:footer="1247" w:gutter="567"/>
          <w:cols w:space="425"/>
          <w:docGrid w:type="lines" w:linePitch="312"/>
        </w:sectPr>
      </w:pP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11" w:name="_Toc143592770"/>
      <w:bookmarkStart w:id="12" w:name="_Toc8328"/>
      <w:r>
        <w:rPr>
          <w:rFonts w:ascii="黑体" w:eastAsia="黑体" w:hAnsi="黑体" w:hint="eastAsia"/>
          <w:b w:val="0"/>
          <w:bCs w:val="0"/>
          <w:color w:val="000000" w:themeColor="text1"/>
        </w:rPr>
        <w:lastRenderedPageBreak/>
        <w:t>四、重点项目实施情况</w:t>
      </w:r>
      <w:bookmarkEnd w:id="11"/>
      <w:bookmarkEnd w:id="12"/>
    </w:p>
    <w:p w:rsidR="000B0562" w:rsidRDefault="005B091D">
      <w:pPr>
        <w:pStyle w:val="a8"/>
        <w:spacing w:line="616" w:lineRule="exact"/>
        <w:ind w:firstLine="640"/>
        <w:rPr>
          <w:rFonts w:ascii="仿宋_GB2312" w:eastAsia="仿宋_GB2312" w:hAnsi="仿宋_GB2312" w:cs="仿宋_GB2312"/>
          <w:color w:val="000000" w:themeColor="text1"/>
          <w:sz w:val="32"/>
        </w:rPr>
      </w:pPr>
      <w:r>
        <w:rPr>
          <w:rFonts w:ascii="仿宋_GB2312" w:eastAsia="仿宋_GB2312" w:hAnsi="仿宋_GB2312" w:cs="仿宋_GB2312" w:hint="eastAsia"/>
          <w:color w:val="000000" w:themeColor="text1"/>
          <w:sz w:val="32"/>
        </w:rPr>
        <w:t>我县列入“十四五”规划纲要的重点项目专栏共22项，包含的子项共90项，涵盖经济发展、创新驱动、民生福祉、特色转型、安全保障等领域，包括：制造业高质量发展重点工程、现代服务业体系重点建设工程、信息化基础提升工程、强化科技创新支撑工程、深化改革重大工程、开放发展重点工程、综合立体交通建设工程、能源基础设施建设工程、水利基础设施工程、现代农业转型升级工程、一二三产业融合发展工程、现代农业经营体系建设工程、特色小镇建设工程、文化基础设施及品牌创建工程、推进城乡融合新发展工程、生态文明建设重点工程、就业优先专项工程、加快建设现代化教育体系、社会保障重点工程、推进全面健康工程、有效应对人口老龄化工程、综合治理和平安建设工程。由于“十四五”规划重点项目大部分属于中长期规划的前瞻性项目，有的项目还停留在意向、概念的研究包装阶段，项目的建设规模、起止年限、投资额度等均属预期性指标，有的项目受疫情及资金紧张等要素保障制约暂停实施，存在很多不确定因素。因此，在《纲要》执行过程中，重点项目以每年考核的省市重点项目为准，具体实施情况如下：</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支撑经济社会加快发展</w:t>
      </w:r>
      <w:r>
        <w:rPr>
          <w:rFonts w:ascii="楷体_GB2312" w:eastAsia="楷体_GB2312" w:hAnsi="楷体_GB2312" w:cs="楷体_GB2312" w:hint="eastAsia"/>
          <w:color w:val="000000" w:themeColor="text1"/>
          <w:sz w:val="32"/>
        </w:rPr>
        <w:t>。</w:t>
      </w:r>
      <w:r>
        <w:rPr>
          <w:rFonts w:ascii="仿宋_GB2312" w:eastAsia="仿宋_GB2312" w:hAnsi="仿宋_GB2312" w:cs="仿宋_GB2312" w:hint="eastAsia"/>
          <w:color w:val="000000" w:themeColor="text1"/>
          <w:sz w:val="32"/>
        </w:rPr>
        <w:t>“十四五”以来，全县累计完成县级以上重点项目投资113.60亿元，成为支撑有效投资和经济增长的主要驱动力。在重点项目的强力带动下，2021、2022年全县投资增速连续保持高位增长，位列全市第一方阵，2023年上半年全县集中开工县级以上项目5个，总投资39.2亿元，年度投资13.85亿</w:t>
      </w:r>
      <w:r>
        <w:rPr>
          <w:rFonts w:ascii="仿宋_GB2312" w:eastAsia="仿宋_GB2312" w:hAnsi="仿宋_GB2312" w:cs="仿宋_GB2312" w:hint="eastAsia"/>
          <w:color w:val="000000" w:themeColor="text1"/>
          <w:sz w:val="32"/>
        </w:rPr>
        <w:lastRenderedPageBreak/>
        <w:t>元，涵盖基础设施、产业发展、社会民生等诸多领域。</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pPr>
      <w:r>
        <w:rPr>
          <w:rFonts w:ascii="楷体_GB2312" w:eastAsia="楷体_GB2312" w:hAnsi="楷体_GB2312" w:cs="楷体_GB2312" w:hint="eastAsia"/>
          <w:b/>
          <w:color w:val="000000" w:themeColor="text1"/>
          <w:sz w:val="32"/>
        </w:rPr>
        <w:t>年度计划执行情况良好。</w:t>
      </w:r>
      <w:r>
        <w:rPr>
          <w:rFonts w:ascii="仿宋_GB2312" w:eastAsia="仿宋_GB2312" w:hAnsi="仿宋_GB2312" w:cs="仿宋_GB2312" w:hint="eastAsia"/>
          <w:color w:val="000000" w:themeColor="text1"/>
          <w:sz w:val="32"/>
        </w:rPr>
        <w:t>2021年，全县共实施县级以上重点项目18个，年度计划投资31.68亿元，完成投资48.76亿元，为年度计划153.92%；2022年，全县共实施县级以上重点项目17个，年度计划投资35.51亿元，完成投资39.32亿元，为年度计划110.72%；2023年上半年，全县共实施县级以上重点项目17个，年度计划投资39.78亿元，完成投资25.52亿元，为年度计划64.15%。</w:t>
      </w:r>
    </w:p>
    <w:p w:rsidR="000B0562" w:rsidRDefault="005B091D" w:rsidP="00A769A6">
      <w:pPr>
        <w:pStyle w:val="a8"/>
        <w:spacing w:line="616" w:lineRule="exact"/>
        <w:ind w:firstLine="640"/>
        <w:rPr>
          <w:rFonts w:ascii="仿宋_GB2312" w:eastAsia="仿宋_GB2312" w:hAnsi="仿宋_GB2312" w:cs="仿宋_GB2312"/>
          <w:color w:val="000000" w:themeColor="text1"/>
          <w:sz w:val="32"/>
        </w:rPr>
        <w:sectPr w:rsidR="000B0562">
          <w:pgSz w:w="11906" w:h="16838"/>
          <w:pgMar w:top="1157" w:right="1157" w:bottom="1157" w:left="1157" w:header="822" w:footer="822" w:gutter="567"/>
          <w:cols w:space="425"/>
          <w:docGrid w:type="lines" w:linePitch="312"/>
        </w:sectPr>
      </w:pPr>
      <w:r>
        <w:rPr>
          <w:rFonts w:ascii="楷体_GB2312" w:eastAsia="楷体_GB2312" w:hAnsi="楷体_GB2312" w:cs="楷体_GB2312" w:hint="eastAsia"/>
          <w:b/>
          <w:color w:val="000000" w:themeColor="text1"/>
          <w:sz w:val="32"/>
        </w:rPr>
        <w:t>重点领域投资成效显著。</w:t>
      </w:r>
      <w:r>
        <w:rPr>
          <w:rFonts w:ascii="仿宋_GB2312" w:eastAsia="仿宋_GB2312" w:hAnsi="仿宋_GB2312" w:cs="仿宋_GB2312" w:hint="eastAsia"/>
          <w:color w:val="000000" w:themeColor="text1"/>
          <w:sz w:val="32"/>
        </w:rPr>
        <w:t>基础设施、产业发展、民生保障三大领域投资均取得显著成效。具体来看，2021年，实施重点基础设施项目2个，完成投资1.35亿元，为年度计划134.50%；重点产业发展项目11个，完成投资38.43亿元，为年度计划156.84%；重点民生保障项目5个，完成投资8.99亿元，为年度计划145.47%。2022年，实施重点基础设施项目2个，完成投资4.35亿元，为年度计划103.82%；重点产业发展项目10个，完成投资24.16亿元，为年度计划110.98%；重点民生保障项目5个，完成投资10.81亿元，为年度计划113.17%。2023年上半年，实施重点产业发展项目9个，完成投资14.10亿元，为年度计划57.80%；重点民生保障项目5个，完成投资9.05亿元，为年度计划79.75%。总的来看，产业发展投资尤为突出，累计投资占全部投资比重67.50%。</w:t>
      </w:r>
    </w:p>
    <w:p w:rsidR="000B0562" w:rsidRDefault="005B091D" w:rsidP="009978E1">
      <w:pPr>
        <w:pStyle w:val="1"/>
        <w:spacing w:before="360" w:after="240" w:line="360" w:lineRule="auto"/>
        <w:jc w:val="center"/>
        <w:rPr>
          <w:rFonts w:ascii="黑体" w:eastAsia="黑体" w:hAnsi="黑体"/>
          <w:b w:val="0"/>
          <w:bCs w:val="0"/>
          <w:color w:val="000000" w:themeColor="text1"/>
          <w:sz w:val="36"/>
          <w:szCs w:val="36"/>
        </w:rPr>
      </w:pPr>
      <w:bookmarkStart w:id="13" w:name="_Toc16452"/>
      <w:r>
        <w:rPr>
          <w:rFonts w:ascii="黑体" w:eastAsia="黑体" w:hAnsi="黑体"/>
          <w:b w:val="0"/>
          <w:bCs w:val="0"/>
          <w:color w:val="000000" w:themeColor="text1"/>
          <w:sz w:val="36"/>
          <w:szCs w:val="36"/>
        </w:rPr>
        <w:lastRenderedPageBreak/>
        <w:t>纲要重点任务的完成情况</w:t>
      </w:r>
      <w:bookmarkEnd w:id="13"/>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中期评估结果看，“十四五”以来，全溆浦县上下围绕《纲要》确定的主要任务，着力抓重点、补短板、强弱项，在产业转型升级、城乡建设品质、生态环境改善、社会事业推进、对外合作深化等5个方面主要任务总体进展顺利，经济社会发展呈稳中求进、转型加快、后劲增强、民生改善、环境提升的良好态势。</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14" w:name="_Toc5315"/>
      <w:r>
        <w:rPr>
          <w:rFonts w:ascii="黑体" w:eastAsia="黑体" w:hAnsi="黑体" w:hint="eastAsia"/>
          <w:b w:val="0"/>
          <w:bCs w:val="0"/>
          <w:color w:val="000000" w:themeColor="text1"/>
        </w:rPr>
        <w:t>一、产业转型提质增速，现代产业体系加速构建</w:t>
      </w:r>
      <w:bookmarkEnd w:id="14"/>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规划实施以来，现代农业稳步提质，突出抓好国家级杂交水稻制种基地建设，新建高标准农田23.4万亩，确保粮食播面、产量持续稳定。启动中央财政油茶低效林改造项目，新建水果、中药材、茶叶等各类基地1.4万亩，大力发展农产品精深加工，培育省级龙头企业1家、市级2家，认证绿色食品3个、有机食品1个。创建省级特色农业产业园4个，省级农业龙头企业达到5家、市级29家。新型工业势头强劲，做优园区平台，大力实施产业园区高质量发展三年行动，加快二期标准化厂房(已建成)交付使用，完成调扩区工作，推进舒小福新材料、悦新龙成等项目早日投产，启动智能科技电商产业园二期建设。启动园区二期道路、配套学校、社区服务中心、工业水厂等公共基础设施建设，加快推进产城</w:t>
      </w:r>
      <w:r>
        <w:rPr>
          <w:rFonts w:ascii="仿宋_GB2312" w:eastAsia="仿宋_GB2312" w:hAnsi="仿宋_GB2312" w:cs="仿宋_GB2312" w:hint="eastAsia"/>
          <w:color w:val="000000" w:themeColor="text1"/>
          <w:sz w:val="32"/>
          <w:szCs w:val="32"/>
        </w:rPr>
        <w:lastRenderedPageBreak/>
        <w:t>融合。加快产业转型，全面开展硅砂资源勘探，完成硅砂矿权整合，推动硅产业提质升级。加快推进400万吨硅砂酸洗提纯项目正式投产，启动硅砂尾泥资源化利用项目，加快引进下游精深加工产业链。稳步推进龙潭片区石材矿权整合。推进圣人山风电二期、江口风电场项目建设，加大光伏储能等清洁能源开发力度。规模</w:t>
      </w:r>
      <w:r w:rsidR="006B6E0B">
        <w:rPr>
          <w:rFonts w:ascii="仿宋_GB2312" w:eastAsia="仿宋_GB2312" w:hAnsi="仿宋_GB2312" w:cs="仿宋_GB2312" w:hint="eastAsia"/>
          <w:color w:val="000000" w:themeColor="text1"/>
          <w:sz w:val="32"/>
          <w:szCs w:val="32"/>
        </w:rPr>
        <w:t>以上</w:t>
      </w:r>
      <w:r>
        <w:rPr>
          <w:rFonts w:ascii="仿宋_GB2312" w:eastAsia="仿宋_GB2312" w:hAnsi="仿宋_GB2312" w:cs="仿宋_GB2312" w:hint="eastAsia"/>
          <w:color w:val="000000" w:themeColor="text1"/>
          <w:sz w:val="32"/>
          <w:szCs w:val="32"/>
        </w:rPr>
        <w:t>工业企业达到108家，完成规模工业增加值33.4亿元，年均增长9.10%。产业开发区完成总投资60亿元，入园企业</w:t>
      </w:r>
      <w:r w:rsidR="007F6DA7">
        <w:rPr>
          <w:rFonts w:ascii="仿宋_GB2312" w:eastAsia="仿宋_GB2312" w:hAnsi="仿宋_GB2312" w:cs="仿宋_GB2312" w:hint="eastAsia"/>
          <w:color w:val="000000" w:themeColor="text1"/>
          <w:sz w:val="32"/>
          <w:szCs w:val="32"/>
        </w:rPr>
        <w:t>97</w:t>
      </w:r>
      <w:r>
        <w:rPr>
          <w:rFonts w:ascii="仿宋_GB2312" w:eastAsia="仿宋_GB2312" w:hAnsi="仿宋_GB2312" w:cs="仿宋_GB2312" w:hint="eastAsia"/>
          <w:color w:val="000000" w:themeColor="text1"/>
          <w:sz w:val="32"/>
          <w:szCs w:val="32"/>
        </w:rPr>
        <w:t>家，建成标准化厂房</w:t>
      </w:r>
      <w:r w:rsidR="007F6DA7">
        <w:rPr>
          <w:rFonts w:ascii="仿宋_GB2312" w:eastAsia="仿宋_GB2312" w:hAnsi="仿宋_GB2312" w:cs="仿宋_GB2312" w:hint="eastAsia"/>
          <w:color w:val="000000" w:themeColor="text1"/>
          <w:sz w:val="32"/>
          <w:szCs w:val="32"/>
        </w:rPr>
        <w:t>40</w:t>
      </w:r>
      <w:r>
        <w:rPr>
          <w:rFonts w:ascii="仿宋_GB2312" w:eastAsia="仿宋_GB2312" w:hAnsi="仿宋_GB2312" w:cs="仿宋_GB2312" w:hint="eastAsia"/>
          <w:color w:val="000000" w:themeColor="text1"/>
          <w:sz w:val="32"/>
          <w:szCs w:val="32"/>
        </w:rPr>
        <w:t>万平方米、园区道路5公里，企业综合服务中心、污水处理厂等项目投入使用，技工贸收入达到</w:t>
      </w:r>
      <w:r w:rsidR="007F6DA7">
        <w:rPr>
          <w:rFonts w:ascii="仿宋_GB2312" w:eastAsia="仿宋_GB2312" w:hAnsi="仿宋_GB2312" w:cs="仿宋_GB2312" w:hint="eastAsia"/>
          <w:color w:val="000000" w:themeColor="text1"/>
          <w:sz w:val="32"/>
          <w:szCs w:val="32"/>
        </w:rPr>
        <w:t>63.31</w:t>
      </w:r>
      <w:r>
        <w:rPr>
          <w:rFonts w:ascii="仿宋_GB2312" w:eastAsia="仿宋_GB2312" w:hAnsi="仿宋_GB2312" w:cs="仿宋_GB2312" w:hint="eastAsia"/>
          <w:color w:val="000000" w:themeColor="text1"/>
          <w:sz w:val="32"/>
          <w:szCs w:val="32"/>
        </w:rPr>
        <w:t>亿元，上缴税金突破</w:t>
      </w:r>
      <w:r w:rsidR="007F6DA7">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亿元。雪峰山文旅、纳纳家居、煜江电子等10家企业进入全市重点上市企业后备库。强化创新驱动。大力招商引资，立足溆浦产业发展要求，坚持“大招商、招大商”，积极参加“港洽周”“广交会”，深入开展“迎老乡、回故乡、建家乡”活动，力争引进“三类500强”企业1家以上、到位资金48亿元以上。推动文旅产业蓬勃发展，现代服务业不断壮大，发展市场主体3.4万户，“四上”商贸企业41家；电子商务企业达到110家，增长62家，完成交易额35亿元。全面完成雪峰山文化旅游乡村振兴示范区建设任务，促进山背花瑶梯田景区观光索道、高铁南站旅游综合服务区项目建成运营，持续推进思蒙碧水丹霞风景区建设，重点抓好穿岩山、雁鹅界、阳雀坡、山背等景区和统溪河森林小镇基础设施提质升</w:t>
      </w:r>
      <w:r>
        <w:rPr>
          <w:rFonts w:ascii="仿宋_GB2312" w:eastAsia="仿宋_GB2312" w:hAnsi="仿宋_GB2312" w:cs="仿宋_GB2312" w:hint="eastAsia"/>
          <w:color w:val="000000" w:themeColor="text1"/>
          <w:sz w:val="32"/>
          <w:szCs w:val="32"/>
        </w:rPr>
        <w:lastRenderedPageBreak/>
        <w:t>级，加快推进山背花瑶梯田4A景区创建工作。</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15" w:name="_Toc30175"/>
      <w:r>
        <w:rPr>
          <w:rFonts w:ascii="黑体" w:eastAsia="黑体" w:hAnsi="黑体" w:hint="eastAsia"/>
          <w:b w:val="0"/>
          <w:bCs w:val="0"/>
          <w:color w:val="000000" w:themeColor="text1"/>
        </w:rPr>
        <w:t>二、城乡品质不断提升，城乡建设颜值持续美化</w:t>
      </w:r>
      <w:bookmarkEnd w:id="15"/>
    </w:p>
    <w:p w:rsidR="00454149" w:rsidRPr="00430A09" w:rsidRDefault="005B091D" w:rsidP="00454149">
      <w:pPr>
        <w:pStyle w:val="a9"/>
        <w:spacing w:line="560" w:lineRule="exact"/>
        <w:ind w:firstLineChars="200" w:firstLine="640"/>
        <w:rPr>
          <w:rFonts w:ascii="仿宋_GB2312" w:hAnsi="仿宋_GB2312"/>
          <w:color w:val="000000" w:themeColor="text1"/>
        </w:rPr>
      </w:pPr>
      <w:r>
        <w:rPr>
          <w:rFonts w:ascii="仿宋_GB2312" w:hAnsi="仿宋_GB2312" w:hint="eastAsia"/>
          <w:color w:val="000000" w:themeColor="text1"/>
        </w:rPr>
        <w:t>规划实施以来，县城土地利用总体规划调整、控制性详规及城市设计全面完成，编制完善县级国土空间规划，加大城西北片区开发力度，完成杆线迁移、劳动路建设任务，城区面积扩展到17.2平方公里。新增灵翠山公园、辞海广场等公共绿地97公顷，建成区绿化覆盖率达35.4％。溆浦二桥改造、夏家溪旧城改造等项目顺利完成，农贸市场提质扩容、自来水厂二期扩建、供水管网升级等项目竣工使用，推进溆浦国际大酒店、万达广场建设，确保早日竣工开业，完成老河街、迎宾东路老旧小区改造，实施府后街等4个老旧小区改造，全面加快灵翠山公园南大门棚户区改造、溆浦一桥拆除重建。大力整治“两违”建筑、乱搭乱建、城区非法广告等行为，加快完善管道燃气、污水处理、生活垃圾分类、智慧化停车场等城区基础设施。以创建特色产业小镇为抓手，大力推进重点乡镇集镇建设，大力支持农产品加工、无污染资源型工业、文化旅游企业落户集镇，低庄、龙潭、大江口等重点镇市政建设有力推进，北斗溪、桥江、三江等乡镇风貌改造进展有序，思蒙镇评为全国美丽宜居小镇，龙潭镇评为省级历史文化名镇。有序实施乡镇污水处理设施及配套管网PPP项目，确保城镇污水处理率达到90%以上。扎实推进城乡环卫一体化，</w:t>
      </w:r>
      <w:r w:rsidR="00E37726">
        <w:rPr>
          <w:rFonts w:ascii="仿宋_GB2312" w:hAnsi="仿宋_GB2312" w:hint="eastAsia"/>
        </w:rPr>
        <w:t>6个乡镇污水处理项目建成完工，新建污水处理厂10座，</w:t>
      </w:r>
      <w:r>
        <w:rPr>
          <w:rFonts w:ascii="仿宋_GB2312" w:hAnsi="仿宋_GB2312" w:hint="eastAsia"/>
          <w:color w:val="000000" w:themeColor="text1"/>
        </w:rPr>
        <w:t>新建垃圾中转站29座，县城垃圾焚烧发电项目点火并网，农村垃圾集中处理率达85％。新改建公厕</w:t>
      </w:r>
      <w:r>
        <w:rPr>
          <w:rFonts w:ascii="仿宋_GB2312" w:hAnsi="仿宋_GB2312" w:hint="eastAsia"/>
          <w:color w:val="000000" w:themeColor="text1"/>
        </w:rPr>
        <w:lastRenderedPageBreak/>
        <w:t>356座、农村无害化厕所19315座，创建省级美丽乡村示范村3个，评为全省农村人居环境整治工作先进县</w:t>
      </w:r>
      <w:r w:rsidR="00454149">
        <w:rPr>
          <w:rFonts w:ascii="仿宋_GB2312" w:hAnsi="仿宋_GB2312" w:hint="eastAsia"/>
          <w:color w:val="000000" w:themeColor="text1"/>
        </w:rPr>
        <w:t>、</w:t>
      </w:r>
      <w:r w:rsidR="00454149" w:rsidRPr="00430A09">
        <w:rPr>
          <w:rFonts w:ascii="仿宋_GB2312" w:hAnsi="仿宋_GB2312" w:hint="eastAsia"/>
          <w:color w:val="000000" w:themeColor="text1"/>
        </w:rPr>
        <w:t>全国传统村落集中连片保护利用示范县，小横垅乡雷坡村列入中国传统村落名录。</w:t>
      </w:r>
      <w:bookmarkStart w:id="16" w:name="_Toc2481"/>
    </w:p>
    <w:p w:rsidR="000B0562" w:rsidRPr="00454149" w:rsidRDefault="005B091D" w:rsidP="00454149">
      <w:pPr>
        <w:pStyle w:val="a9"/>
        <w:spacing w:line="560" w:lineRule="exact"/>
        <w:ind w:firstLineChars="200" w:firstLine="640"/>
        <w:rPr>
          <w:rFonts w:ascii="仿宋_GB2312" w:hAnsi="仿宋_GB2312"/>
        </w:rPr>
      </w:pPr>
      <w:r>
        <w:rPr>
          <w:rFonts w:ascii="黑体" w:eastAsia="黑体" w:hAnsi="黑体" w:hint="eastAsia"/>
          <w:color w:val="000000" w:themeColor="text1"/>
        </w:rPr>
        <w:t>三、生态环境日益改善，绿色经济发展成效初显</w:t>
      </w:r>
      <w:bookmarkEnd w:id="16"/>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规划实施以来，加强生态环境污染治理。持续打好蓝天碧水净土保卫战、污染防治攻坚战，坚决抓好中央、省生态环保督察和国家林草局贵阳专员办反馈问题整改。加强“四大污染源”治理，确保空气质量保持在95%以上。推进土壤污染风险管控和治理修复，确保安全利用率达到90%以上。严格落实《怀化市“三线一单”生态环境管控基本要求暨环境管控单元生态环境准入清单的要求》，严格落实“能耗双控”要求，坚决遏制“两高”项目盲目发展。加大执法监管力度，严格落实“三同时”审批制度，严厉打击挖山洗砂、河道采砂等非法行为。构筑生态安全保护屏障。严格落实“林长制”“河长制”，持续封山育林253万亩，扎实开展国土绿化行动，加强森林防火和林业有害生物防治，全力推进生态廊道建设；启动碳达峰、碳中和行动方案编制工作，加快国家储备林项目建设和林业碳汇开发，大力实施森林质量精准提升工程；继续统筹推进“一水两江”治污治岸治渔，加快“智慧渔政”建设。</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17" w:name="_Toc28659"/>
      <w:r>
        <w:rPr>
          <w:rFonts w:ascii="黑体" w:eastAsia="黑体" w:hAnsi="黑体" w:hint="eastAsia"/>
          <w:b w:val="0"/>
          <w:bCs w:val="0"/>
          <w:color w:val="000000" w:themeColor="text1"/>
        </w:rPr>
        <w:t>四、社会事业全面推进，居民幸福指数显著提高</w:t>
      </w:r>
      <w:bookmarkEnd w:id="17"/>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规划实施以来，社会保障扎实有力，城镇登记失业率降</w:t>
      </w:r>
      <w:r>
        <w:rPr>
          <w:rFonts w:ascii="仿宋_GB2312" w:eastAsia="仿宋_GB2312" w:hAnsi="仿宋_GB2312" w:cs="仿宋_GB2312" w:hint="eastAsia"/>
          <w:color w:val="000000" w:themeColor="text1"/>
          <w:sz w:val="32"/>
          <w:szCs w:val="32"/>
        </w:rPr>
        <w:lastRenderedPageBreak/>
        <w:t>至</w:t>
      </w:r>
      <w:r w:rsidR="00E37FDD">
        <w:rPr>
          <w:rFonts w:ascii="仿宋_GB2312" w:eastAsia="仿宋_GB2312" w:hAnsi="仿宋_GB2312" w:cs="仿宋_GB2312" w:hint="eastAsia"/>
          <w:color w:val="000000" w:themeColor="text1"/>
          <w:sz w:val="32"/>
          <w:szCs w:val="32"/>
        </w:rPr>
        <w:t>1.75</w:t>
      </w:r>
      <w:r>
        <w:rPr>
          <w:rFonts w:ascii="仿宋_GB2312" w:eastAsia="仿宋_GB2312" w:hAnsi="仿宋_GB2312" w:cs="仿宋_GB2312" w:hint="eastAsia"/>
          <w:color w:val="000000" w:themeColor="text1"/>
          <w:sz w:val="32"/>
          <w:szCs w:val="32"/>
        </w:rPr>
        <w:t>%，累计发放各类补贴资金7.3亿元。医疗保险、养老保险实现全覆盖，新扩建乡镇敬老院3所，县人民医院、县中医医院分别通过三级综合医院、三级中医医院评审，城南医院通过二甲综合医院评审，县第二、第三人民医院、低庄镇中心卫生院通过二级综合医院评审，实现乡镇标准化卫生院、村级合格卫生室全覆盖。大力推进健康溆浦行动，继续巩固健康县建设工作。加强基本养老服务体系建设，启动4所区域性中心敬老院建设，开展卢峰镇、双井镇居家和社区养老服务试点工作，启动殡仪馆及公墓一期项目。强化社会保障，开展全民参保登记，持续提升城乡低保保障和残疾人“两补”水平，加大临时救助、医疗救助力度，完善农村留守儿童和妇女、老年人关爱服务体系。社会事业快速发展，办好人民满意教育，落实“双减”工作。全面完成了芙蓉学校、雅堂芙蓉学校、县一中、县三中、职中改扩建(一期工程)、县幼儿园（一园）改扩建项目建设并投入使用。加快推进乡镇中心幼儿园、县职业中专湘维分校扩建、义务教育标准化寄宿学校、玉潭高级中学、师大思沁中学建设。撤并小规模学校63所，优化提质39所。建设乡镇寄宿制学校26所、新建教师周转宿舍554套，招聘教师1505人。积极发动社会力量捐资办学，共筹措善款4600万元，城乡办学条件得到了极大改善。新建公租房6813套，完成棚户改造9474套，解决房地产历史遗留问题项目办证766本。</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18" w:name="_Toc17014"/>
      <w:r>
        <w:rPr>
          <w:rFonts w:ascii="黑体" w:eastAsia="黑体" w:hAnsi="黑体" w:hint="eastAsia"/>
          <w:b w:val="0"/>
          <w:bCs w:val="0"/>
          <w:color w:val="000000" w:themeColor="text1"/>
        </w:rPr>
        <w:lastRenderedPageBreak/>
        <w:t>五、对外合作不断深化，区域合作格局初步形成</w:t>
      </w:r>
      <w:bookmarkEnd w:id="18"/>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规划实施以来，夯实对外开放基础，抢抓建设“西部陆海新通道战略门户城市”契机，树牢“得物流者得天下”理念，全力推进交通建设，降低商贸物流成本，提升对外开放形象。重点抓好安溆高速、溆洞高速、溆浦通用机场前期工作，推进桥江至思蒙、三江至桥江、县城至银珍电站航运等项目建设。大力发展“首店经济”“首发经济”，做强商贸物流产业，新增规模以上商贸流通企业3家，限额以上商贸服务企业2家，完成进出口贸易总额1000万美元以上。推进重点领域改革，持续推进“放管服”改革、“三集”审批改革、产业开发区体制机制改革、行政复议体制改革、商事制度改革、工程项目审批改革等重点改革事项，推进农村“三社合一”综合改革、农村土地“三权”分置改革、农村集体产权制度改革，提升发展动力活力。营造一流营商环境。对审批事项进行全面梳理、核减、整合，确保办事材料再减25%、办理时限提速30%。推进涉企执法公开公平公正，严格落实涉企检查备案制度。完善县领导联点重点企业制度，及时有效解决企业实际困难，大力弘扬企业家精神，着力营造尊重企业家、重视企业家、关心企业家的良好社会环境。</w:t>
      </w:r>
    </w:p>
    <w:p w:rsidR="000B0562" w:rsidRDefault="000B0562">
      <w:pPr>
        <w:pStyle w:val="a8"/>
        <w:spacing w:line="360" w:lineRule="auto"/>
        <w:ind w:firstLineChars="0" w:firstLine="720"/>
        <w:rPr>
          <w:rFonts w:ascii="仿宋_GB2312" w:eastAsia="仿宋_GB2312" w:hAnsi="仿宋_GB2312" w:cs="仿宋_GB2312"/>
          <w:color w:val="000000" w:themeColor="text1"/>
          <w:sz w:val="32"/>
          <w:szCs w:val="32"/>
        </w:rPr>
        <w:sectPr w:rsidR="000B0562">
          <w:pgSz w:w="11906" w:h="16838"/>
          <w:pgMar w:top="1701" w:right="1531" w:bottom="1531" w:left="1531" w:header="822" w:footer="1247" w:gutter="567"/>
          <w:cols w:space="425"/>
          <w:docGrid w:type="lines" w:linePitch="312"/>
        </w:sectPr>
      </w:pPr>
    </w:p>
    <w:p w:rsidR="000B0562" w:rsidRDefault="005B091D" w:rsidP="009978E1">
      <w:pPr>
        <w:pStyle w:val="1"/>
        <w:spacing w:before="360" w:after="240" w:line="360" w:lineRule="auto"/>
        <w:jc w:val="center"/>
        <w:rPr>
          <w:rFonts w:ascii="黑体" w:eastAsia="黑体" w:hAnsi="黑体"/>
          <w:b w:val="0"/>
          <w:bCs w:val="0"/>
          <w:color w:val="000000" w:themeColor="text1"/>
          <w:sz w:val="36"/>
          <w:szCs w:val="36"/>
        </w:rPr>
      </w:pPr>
      <w:bookmarkStart w:id="19" w:name="_Toc15301"/>
      <w:r>
        <w:rPr>
          <w:rFonts w:ascii="黑体" w:eastAsia="黑体" w:hAnsi="黑体"/>
          <w:b w:val="0"/>
          <w:bCs w:val="0"/>
          <w:color w:val="000000" w:themeColor="text1"/>
          <w:sz w:val="36"/>
          <w:szCs w:val="36"/>
        </w:rPr>
        <w:lastRenderedPageBreak/>
        <w:t>存在的问题和面临的形势</w:t>
      </w:r>
      <w:bookmarkEnd w:id="19"/>
    </w:p>
    <w:p w:rsidR="000B0562" w:rsidRDefault="005B091D">
      <w:pPr>
        <w:pStyle w:val="3"/>
        <w:numPr>
          <w:ilvl w:val="2"/>
          <w:numId w:val="0"/>
        </w:numPr>
        <w:spacing w:before="0" w:after="60" w:line="360" w:lineRule="auto"/>
        <w:ind w:left="720"/>
        <w:rPr>
          <w:rFonts w:ascii="黑体" w:eastAsia="黑体" w:hAnsi="黑体"/>
          <w:b w:val="0"/>
          <w:bCs w:val="0"/>
          <w:color w:val="000000" w:themeColor="text1"/>
          <w:szCs w:val="30"/>
        </w:rPr>
      </w:pPr>
      <w:bookmarkStart w:id="20" w:name="_Toc15171"/>
      <w:r>
        <w:rPr>
          <w:rFonts w:ascii="黑体" w:eastAsia="黑体" w:hAnsi="黑体" w:hint="eastAsia"/>
          <w:b w:val="0"/>
          <w:bCs w:val="0"/>
          <w:color w:val="000000" w:themeColor="text1"/>
          <w:szCs w:val="30"/>
        </w:rPr>
        <w:t>一、</w:t>
      </w:r>
      <w:r>
        <w:rPr>
          <w:rFonts w:ascii="黑体" w:eastAsia="黑体" w:hAnsi="黑体"/>
          <w:b w:val="0"/>
          <w:bCs w:val="0"/>
          <w:color w:val="000000" w:themeColor="text1"/>
          <w:szCs w:val="30"/>
        </w:rPr>
        <w:t>纲要实施过程中存在的问题</w:t>
      </w:r>
      <w:bookmarkEnd w:id="20"/>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仿宋_GB2312" w:eastAsia="仿宋_GB2312" w:hAnsi="仿宋_GB2312" w:cs="仿宋_GB2312" w:hint="eastAsia"/>
          <w:color w:val="000000" w:themeColor="text1"/>
          <w:sz w:val="32"/>
        </w:rPr>
        <w:t>经过两年多的努力，绝大部分指标达到或超过序时进度，主要任务完成情况良好，重大项目进展总体顺利，绿色振兴取得明显成效，综合实力持续提升，质量效益全面提高，人民获得感幸福感显著增强。规划实施取得了阶段性成效，为纲要后半期实施打下了坚实基础，但我县发展水平偏低、部分指标完成规划目标压力较大，部分存在的问题体现为：</w:t>
      </w:r>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楷体_GB2312" w:eastAsia="楷体_GB2312" w:hAnsi="楷体_GB2312" w:cs="楷体_GB2312" w:hint="eastAsia"/>
          <w:b/>
          <w:bCs/>
          <w:color w:val="000000" w:themeColor="text1"/>
          <w:sz w:val="32"/>
        </w:rPr>
        <w:t>1.发展速度需提速。</w:t>
      </w:r>
      <w:r w:rsidRPr="001F1D4E">
        <w:rPr>
          <w:rFonts w:ascii="仿宋_GB2312" w:eastAsia="仿宋_GB2312" w:hAnsi="仿宋_GB2312" w:cs="仿宋_GB2312" w:hint="eastAsia"/>
          <w:color w:val="000000" w:themeColor="text1"/>
          <w:sz w:val="32"/>
        </w:rPr>
        <w:t>全国经济2021年GDP</w:t>
      </w:r>
      <w:r w:rsidR="0051018C" w:rsidRPr="001F1D4E">
        <w:rPr>
          <w:rFonts w:ascii="仿宋_GB2312" w:eastAsia="仿宋_GB2312" w:hAnsi="仿宋_GB2312" w:cs="仿宋_GB2312" w:hint="eastAsia"/>
          <w:color w:val="000000" w:themeColor="text1"/>
          <w:sz w:val="32"/>
        </w:rPr>
        <w:t>增长</w:t>
      </w:r>
      <w:r w:rsidRPr="001F1D4E">
        <w:rPr>
          <w:rFonts w:ascii="仿宋_GB2312" w:eastAsia="仿宋_GB2312" w:hAnsi="仿宋_GB2312" w:cs="仿宋_GB2312" w:hint="eastAsia"/>
          <w:color w:val="000000" w:themeColor="text1"/>
          <w:sz w:val="32"/>
        </w:rPr>
        <w:t>8.4%、2022年GDP</w:t>
      </w:r>
      <w:r w:rsidR="0051018C" w:rsidRPr="001F1D4E">
        <w:rPr>
          <w:rFonts w:ascii="仿宋_GB2312" w:eastAsia="仿宋_GB2312" w:hAnsi="仿宋_GB2312" w:cs="仿宋_GB2312" w:hint="eastAsia"/>
          <w:color w:val="000000" w:themeColor="text1"/>
          <w:sz w:val="32"/>
        </w:rPr>
        <w:t>增长</w:t>
      </w:r>
      <w:r w:rsidRPr="001F1D4E">
        <w:rPr>
          <w:rFonts w:ascii="仿宋_GB2312" w:eastAsia="仿宋_GB2312" w:hAnsi="仿宋_GB2312" w:cs="仿宋_GB2312" w:hint="eastAsia"/>
          <w:color w:val="000000" w:themeColor="text1"/>
          <w:sz w:val="32"/>
        </w:rPr>
        <w:t>3.9%，从高速增长转为中高速增长</w:t>
      </w:r>
      <w:r w:rsidR="009978E1" w:rsidRPr="001F1D4E">
        <w:rPr>
          <w:rFonts w:ascii="仿宋_GB2312" w:eastAsia="仿宋_GB2312" w:hAnsi="仿宋_GB2312" w:cs="仿宋_GB2312" w:hint="eastAsia"/>
          <w:color w:val="000000" w:themeColor="text1"/>
          <w:sz w:val="32"/>
        </w:rPr>
        <w:t>。我县经济基础总体较为薄弱，</w:t>
      </w:r>
      <w:r w:rsidRPr="001F1D4E">
        <w:rPr>
          <w:rFonts w:ascii="仿宋_GB2312" w:eastAsia="仿宋_GB2312" w:hAnsi="仿宋_GB2312" w:cs="仿宋_GB2312" w:hint="eastAsia"/>
          <w:color w:val="000000" w:themeColor="text1"/>
          <w:sz w:val="32"/>
        </w:rPr>
        <w:t>2021</w:t>
      </w:r>
      <w:r w:rsidR="00B51A66" w:rsidRPr="001F1D4E">
        <w:rPr>
          <w:rFonts w:ascii="仿宋_GB2312" w:eastAsia="仿宋_GB2312" w:hAnsi="仿宋_GB2312" w:cs="仿宋_GB2312" w:hint="eastAsia"/>
          <w:color w:val="000000" w:themeColor="text1"/>
          <w:sz w:val="32"/>
        </w:rPr>
        <w:t>年增长</w:t>
      </w:r>
      <w:r w:rsidR="009978E1" w:rsidRPr="001F1D4E">
        <w:rPr>
          <w:rFonts w:ascii="仿宋_GB2312" w:eastAsia="仿宋_GB2312" w:hAnsi="仿宋_GB2312" w:cs="仿宋_GB2312" w:hint="eastAsia"/>
          <w:color w:val="000000" w:themeColor="text1"/>
          <w:sz w:val="32"/>
        </w:rPr>
        <w:t>(</w:t>
      </w:r>
      <w:r w:rsidR="009978E1" w:rsidRPr="001F1D4E">
        <w:rPr>
          <w:rFonts w:ascii="仿宋_GB2312" w:eastAsia="仿宋_GB2312" w:hAnsi="仿宋_GB2312" w:cs="仿宋_GB2312"/>
          <w:color w:val="000000" w:themeColor="text1"/>
          <w:sz w:val="32"/>
        </w:rPr>
        <w:t>8.4%)</w:t>
      </w:r>
      <w:r w:rsidRPr="001F1D4E">
        <w:rPr>
          <w:rFonts w:ascii="仿宋_GB2312" w:eastAsia="仿宋_GB2312" w:hAnsi="仿宋_GB2312" w:cs="仿宋_GB2312" w:hint="eastAsia"/>
          <w:color w:val="000000" w:themeColor="text1"/>
          <w:sz w:val="32"/>
        </w:rPr>
        <w:t>基本与全国水平持平、2022</w:t>
      </w:r>
      <w:r w:rsidR="0051018C" w:rsidRPr="001F1D4E">
        <w:rPr>
          <w:rFonts w:ascii="仿宋_GB2312" w:eastAsia="仿宋_GB2312" w:hAnsi="仿宋_GB2312" w:cs="仿宋_GB2312" w:hint="eastAsia"/>
          <w:color w:val="000000" w:themeColor="text1"/>
          <w:sz w:val="32"/>
        </w:rPr>
        <w:t>年</w:t>
      </w:r>
      <w:r w:rsidRPr="001F1D4E">
        <w:rPr>
          <w:rFonts w:ascii="仿宋_GB2312" w:eastAsia="仿宋_GB2312" w:hAnsi="仿宋_GB2312" w:cs="仿宋_GB2312" w:hint="eastAsia"/>
          <w:color w:val="000000" w:themeColor="text1"/>
          <w:sz w:val="32"/>
        </w:rPr>
        <w:t>增长</w:t>
      </w:r>
      <w:r w:rsidR="009978E1" w:rsidRPr="001F1D4E">
        <w:rPr>
          <w:rFonts w:ascii="仿宋_GB2312" w:eastAsia="仿宋_GB2312" w:hAnsi="仿宋_GB2312" w:cs="仿宋_GB2312" w:hint="eastAsia"/>
          <w:color w:val="000000" w:themeColor="text1"/>
          <w:sz w:val="32"/>
        </w:rPr>
        <w:t>(</w:t>
      </w:r>
      <w:r w:rsidR="009978E1" w:rsidRPr="001F1D4E">
        <w:rPr>
          <w:rFonts w:ascii="仿宋_GB2312" w:eastAsia="仿宋_GB2312" w:hAnsi="仿宋_GB2312" w:cs="仿宋_GB2312"/>
          <w:color w:val="000000" w:themeColor="text1"/>
          <w:sz w:val="32"/>
        </w:rPr>
        <w:t>5.0%)</w:t>
      </w:r>
      <w:r w:rsidRPr="001F1D4E">
        <w:rPr>
          <w:rFonts w:ascii="仿宋_GB2312" w:eastAsia="仿宋_GB2312" w:hAnsi="仿宋_GB2312" w:cs="仿宋_GB2312" w:hint="eastAsia"/>
          <w:color w:val="000000" w:themeColor="text1"/>
          <w:sz w:val="32"/>
        </w:rPr>
        <w:t>高于全国水平，但2022</w:t>
      </w:r>
      <w:r w:rsidR="00B51A66" w:rsidRPr="001F1D4E">
        <w:rPr>
          <w:rFonts w:ascii="仿宋_GB2312" w:eastAsia="仿宋_GB2312" w:hAnsi="仿宋_GB2312" w:cs="仿宋_GB2312" w:hint="eastAsia"/>
          <w:color w:val="000000" w:themeColor="text1"/>
          <w:sz w:val="32"/>
        </w:rPr>
        <w:t>年</w:t>
      </w:r>
      <w:r w:rsidRPr="001F1D4E">
        <w:rPr>
          <w:rFonts w:ascii="仿宋_GB2312" w:eastAsia="仿宋_GB2312" w:hAnsi="仿宋_GB2312" w:cs="仿宋_GB2312" w:hint="eastAsia"/>
          <w:color w:val="000000" w:themeColor="text1"/>
          <w:sz w:val="32"/>
        </w:rPr>
        <w:t>增长</w:t>
      </w:r>
      <w:r w:rsidR="00B51A66" w:rsidRPr="001F1D4E">
        <w:rPr>
          <w:rFonts w:ascii="仿宋_GB2312" w:eastAsia="仿宋_GB2312" w:hAnsi="仿宋_GB2312" w:cs="仿宋_GB2312" w:hint="eastAsia"/>
          <w:color w:val="000000" w:themeColor="text1"/>
          <w:sz w:val="32"/>
        </w:rPr>
        <w:t>(</w:t>
      </w:r>
      <w:r w:rsidR="00B51A66" w:rsidRPr="001F1D4E">
        <w:rPr>
          <w:rFonts w:ascii="仿宋_GB2312" w:eastAsia="仿宋_GB2312" w:hAnsi="仿宋_GB2312" w:cs="仿宋_GB2312"/>
          <w:color w:val="000000" w:themeColor="text1"/>
          <w:sz w:val="32"/>
        </w:rPr>
        <w:t>5.0%)</w:t>
      </w:r>
      <w:r w:rsidR="00B51A66" w:rsidRPr="001F1D4E">
        <w:rPr>
          <w:rFonts w:ascii="仿宋_GB2312" w:eastAsia="仿宋_GB2312" w:hAnsi="仿宋_GB2312" w:cs="仿宋_GB2312" w:hint="eastAsia"/>
          <w:color w:val="000000" w:themeColor="text1"/>
          <w:sz w:val="32"/>
        </w:rPr>
        <w:t>低于规划目标</w:t>
      </w:r>
      <w:r w:rsidR="00B51A66" w:rsidRPr="001F1D4E">
        <w:rPr>
          <w:rFonts w:ascii="仿宋_GB2312" w:eastAsia="仿宋_GB2312" w:hAnsi="仿宋_GB2312" w:cs="仿宋_GB2312"/>
          <w:color w:val="000000" w:themeColor="text1"/>
          <w:sz w:val="32"/>
        </w:rPr>
        <w:t>2</w:t>
      </w:r>
      <w:r w:rsidRPr="001F1D4E">
        <w:rPr>
          <w:rFonts w:ascii="仿宋_GB2312" w:eastAsia="仿宋_GB2312" w:hAnsi="仿宋_GB2312" w:cs="仿宋_GB2312" w:hint="eastAsia"/>
          <w:color w:val="000000" w:themeColor="text1"/>
          <w:sz w:val="32"/>
        </w:rPr>
        <w:t>个百分点(</w:t>
      </w:r>
      <w:r w:rsidR="00B51A66" w:rsidRPr="001F1D4E">
        <w:rPr>
          <w:rFonts w:ascii="仿宋_GB2312" w:eastAsia="仿宋_GB2312" w:hAnsi="仿宋_GB2312" w:cs="仿宋_GB2312" w:hint="eastAsia"/>
          <w:color w:val="000000" w:themeColor="text1"/>
          <w:sz w:val="32"/>
        </w:rPr>
        <w:t>略高于全省平均水平，全省增长</w:t>
      </w:r>
      <w:r w:rsidRPr="001F1D4E">
        <w:rPr>
          <w:rFonts w:ascii="仿宋_GB2312" w:eastAsia="仿宋_GB2312" w:hAnsi="仿宋_GB2312" w:cs="仿宋_GB2312" w:hint="eastAsia"/>
          <w:color w:val="000000" w:themeColor="text1"/>
          <w:sz w:val="32"/>
        </w:rPr>
        <w:t>4.5%)，</w:t>
      </w:r>
      <w:r w:rsidR="00B51A66" w:rsidRPr="001F1D4E">
        <w:rPr>
          <w:rFonts w:ascii="仿宋_GB2312" w:eastAsia="仿宋_GB2312" w:hAnsi="仿宋_GB2312" w:cs="仿宋_GB2312" w:hint="eastAsia"/>
          <w:color w:val="000000" w:themeColor="text1"/>
          <w:sz w:val="32"/>
        </w:rPr>
        <w:t>我县</w:t>
      </w:r>
      <w:r w:rsidRPr="001F1D4E">
        <w:rPr>
          <w:rFonts w:ascii="仿宋_GB2312" w:eastAsia="仿宋_GB2312" w:hAnsi="仿宋_GB2312" w:cs="仿宋_GB2312" w:hint="eastAsia"/>
          <w:color w:val="000000" w:themeColor="text1"/>
          <w:sz w:val="32"/>
        </w:rPr>
        <w:t>工业受宏观经济增速放缓影响明显。</w:t>
      </w:r>
      <w:r>
        <w:rPr>
          <w:rFonts w:ascii="仿宋_GB2312" w:eastAsia="仿宋_GB2312" w:hAnsi="仿宋_GB2312" w:cs="仿宋_GB2312" w:hint="eastAsia"/>
          <w:color w:val="000000" w:themeColor="text1"/>
          <w:sz w:val="32"/>
        </w:rPr>
        <w:t>“十四五”后两年，考虑到复杂严峻的外部环境，供给、需求、预期持续波动，经济恢复的基础还不牢固，保持经济较快增长的难度较大。</w:t>
      </w:r>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楷体_GB2312" w:eastAsia="楷体_GB2312" w:hAnsi="楷体_GB2312" w:cs="楷体_GB2312" w:hint="eastAsia"/>
          <w:b/>
          <w:bCs/>
          <w:color w:val="000000" w:themeColor="text1"/>
          <w:sz w:val="32"/>
        </w:rPr>
        <w:t>2.有效投入不足。</w:t>
      </w:r>
      <w:r>
        <w:rPr>
          <w:rFonts w:ascii="仿宋_GB2312" w:eastAsia="仿宋_GB2312" w:hAnsi="仿宋_GB2312" w:cs="仿宋_GB2312" w:hint="eastAsia"/>
          <w:color w:val="000000" w:themeColor="text1"/>
          <w:sz w:val="32"/>
        </w:rPr>
        <w:t>固定资产投资主要受金融去杠杆、政府投融资环境变化，以及土地供应、环境保护、节能降耗等因素制约，</w:t>
      </w:r>
      <w:r w:rsidR="005F79E0">
        <w:rPr>
          <w:rFonts w:ascii="仿宋_GB2312" w:eastAsia="仿宋_GB2312" w:hAnsi="仿宋_GB2312" w:cs="仿宋_GB2312" w:hint="eastAsia"/>
          <w:color w:val="000000" w:themeColor="text1"/>
          <w:sz w:val="32"/>
        </w:rPr>
        <w:t>投资数据持续下滑，</w:t>
      </w:r>
      <w:r>
        <w:rPr>
          <w:rFonts w:ascii="仿宋_GB2312" w:eastAsia="仿宋_GB2312" w:hAnsi="仿宋_GB2312" w:cs="仿宋_GB2312" w:hint="eastAsia"/>
          <w:color w:val="000000" w:themeColor="text1"/>
          <w:sz w:val="32"/>
        </w:rPr>
        <w:t>在库项目支撑不足，</w:t>
      </w:r>
      <w:r w:rsidR="005F79E0">
        <w:rPr>
          <w:rFonts w:ascii="仿宋_GB2312" w:eastAsia="仿宋_GB2312" w:hAnsi="仿宋_GB2312" w:cs="仿宋_GB2312" w:hint="eastAsia"/>
          <w:color w:val="000000" w:themeColor="text1"/>
          <w:sz w:val="32"/>
        </w:rPr>
        <w:t>在整个</w:t>
      </w:r>
      <w:r w:rsidR="005F79E0">
        <w:rPr>
          <w:rFonts w:ascii="仿宋_GB2312" w:eastAsia="仿宋_GB2312" w:hAnsi="仿宋_GB2312" w:cs="仿宋_GB2312" w:hint="eastAsia"/>
          <w:color w:val="000000" w:themeColor="text1"/>
          <w:sz w:val="32"/>
        </w:rPr>
        <w:lastRenderedPageBreak/>
        <w:t>怀化市占比较低</w:t>
      </w:r>
      <w:r>
        <w:rPr>
          <w:rFonts w:ascii="仿宋_GB2312" w:eastAsia="仿宋_GB2312" w:hAnsi="仿宋_GB2312" w:cs="仿宋_GB2312" w:hint="eastAsia"/>
          <w:color w:val="000000" w:themeColor="text1"/>
          <w:sz w:val="32"/>
        </w:rPr>
        <w:t>。</w:t>
      </w:r>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楷体_GB2312" w:eastAsia="楷体_GB2312" w:hAnsi="楷体_GB2312" w:cs="楷体_GB2312" w:hint="eastAsia"/>
          <w:b/>
          <w:bCs/>
          <w:color w:val="000000" w:themeColor="text1"/>
          <w:sz w:val="32"/>
        </w:rPr>
        <w:t>3.工业发展不均。</w:t>
      </w:r>
      <w:r>
        <w:rPr>
          <w:rFonts w:ascii="仿宋_GB2312" w:eastAsia="仿宋_GB2312" w:hAnsi="仿宋_GB2312" w:cs="仿宋_GB2312" w:hint="eastAsia"/>
          <w:color w:val="000000" w:themeColor="text1"/>
          <w:sz w:val="32"/>
        </w:rPr>
        <w:t>与全国工业化城镇化处于中后期相比，当前溆浦仍处于从工业化前期向中期过渡的发展阶段，缺乏具有引领带动作用的产业集群。三次产业比例由2020年的23.1：24.4：52.5调整为2022年的22.26：28.63：49.11,工业占比近年来总体处于低位，工业化率仅为28.63%。具有产业链塑造能力的＂链主”企业较少，配套中小企业</w:t>
      </w:r>
      <w:r w:rsidR="00195B97">
        <w:rPr>
          <w:rFonts w:ascii="仿宋_GB2312" w:eastAsia="仿宋_GB2312" w:hAnsi="仿宋_GB2312" w:cs="仿宋_GB2312" w:hint="eastAsia"/>
          <w:color w:val="000000" w:themeColor="text1"/>
          <w:sz w:val="32"/>
        </w:rPr>
        <w:t>少，</w:t>
      </w:r>
      <w:r>
        <w:rPr>
          <w:rFonts w:ascii="仿宋_GB2312" w:eastAsia="仿宋_GB2312" w:hAnsi="仿宋_GB2312" w:cs="仿宋_GB2312" w:hint="eastAsia"/>
          <w:color w:val="000000" w:themeColor="text1"/>
          <w:sz w:val="32"/>
        </w:rPr>
        <w:t>有规模以</w:t>
      </w:r>
      <w:r w:rsidR="00195B97">
        <w:rPr>
          <w:rFonts w:ascii="仿宋_GB2312" w:eastAsia="仿宋_GB2312" w:hAnsi="仿宋_GB2312" w:cs="仿宋_GB2312" w:hint="eastAsia"/>
          <w:color w:val="000000" w:themeColor="text1"/>
          <w:sz w:val="32"/>
        </w:rPr>
        <w:t>上</w:t>
      </w:r>
      <w:r>
        <w:rPr>
          <w:rFonts w:ascii="仿宋_GB2312" w:eastAsia="仿宋_GB2312" w:hAnsi="仿宋_GB2312" w:cs="仿宋_GB2312" w:hint="eastAsia"/>
          <w:color w:val="000000" w:themeColor="text1"/>
          <w:sz w:val="32"/>
        </w:rPr>
        <w:t>工业企业108家，有</w:t>
      </w:r>
      <w:r w:rsidR="00195B97">
        <w:rPr>
          <w:rFonts w:ascii="仿宋_GB2312" w:eastAsia="仿宋_GB2312" w:hAnsi="仿宋_GB2312" w:cs="仿宋_GB2312" w:hint="eastAsia"/>
          <w:color w:val="000000" w:themeColor="text1"/>
          <w:sz w:val="32"/>
        </w:rPr>
        <w:t>部分</w:t>
      </w:r>
      <w:r>
        <w:rPr>
          <w:rFonts w:ascii="仿宋_GB2312" w:eastAsia="仿宋_GB2312" w:hAnsi="仿宋_GB2312" w:cs="仿宋_GB2312" w:hint="eastAsia"/>
          <w:color w:val="000000" w:themeColor="text1"/>
          <w:sz w:val="32"/>
        </w:rPr>
        <w:t>企业因各种原因停产已经停报数据。一是采矿业，溆浦主导产业依然是石材、硅砂，其总产值占溆浦规模工业总产值的30%左右，石材、硅砂企业的发展，直接影响我县的工业经济的增长速度。二是制造业，虽然企业较多，但体量小，拉动力有限，总体上溆浦制造业增长相对缓慢。</w:t>
      </w:r>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楷体_GB2312" w:eastAsia="楷体_GB2312" w:hAnsi="楷体_GB2312" w:cs="楷体_GB2312" w:hint="eastAsia"/>
          <w:b/>
          <w:bCs/>
          <w:color w:val="000000" w:themeColor="text1"/>
          <w:sz w:val="32"/>
        </w:rPr>
        <w:t>4.创新能力不强。</w:t>
      </w:r>
      <w:r>
        <w:rPr>
          <w:rFonts w:ascii="仿宋_GB2312" w:eastAsia="仿宋_GB2312" w:hAnsi="仿宋_GB2312" w:cs="仿宋_GB2312" w:hint="eastAsia"/>
          <w:color w:val="000000" w:themeColor="text1"/>
          <w:sz w:val="32"/>
        </w:rPr>
        <w:t>创新企业数量偏少、实力较弱，创新平台和载体建设相对滞后，高端人才和技能人才缺乏，政府财力有限，2022年研究与试验发展经费占地区生产总值比重仅为1.28%，与规划期末2%的目标值相差0.72个百分点，与全国全省水平差距大，总体科研水平不高。中小企业普遍缺</w:t>
      </w:r>
      <w:r>
        <w:rPr>
          <w:rFonts w:ascii="仿宋_GB2312" w:eastAsia="仿宋_GB2312" w:hAnsi="仿宋_GB2312" w:cs="仿宋_GB2312" w:hint="eastAsia"/>
          <w:color w:val="000000" w:themeColor="text1"/>
          <w:spacing w:val="-6"/>
          <w:sz w:val="32"/>
        </w:rPr>
        <w:t>乏技术储备和人才储备，技术交易市场发育不足。高端装备、新一代信息技术、新能源、节能环保、生物医药等新兴产业总体规模不大、竟争力不强，缺乏高技术、高附加值产品。</w:t>
      </w:r>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楷体_GB2312" w:eastAsia="楷体_GB2312" w:hAnsi="楷体_GB2312" w:cs="楷体_GB2312" w:hint="eastAsia"/>
          <w:b/>
          <w:bCs/>
          <w:color w:val="000000" w:themeColor="text1"/>
          <w:sz w:val="32"/>
        </w:rPr>
        <w:lastRenderedPageBreak/>
        <w:t>5.居民收入偏低。</w:t>
      </w:r>
      <w:r>
        <w:rPr>
          <w:rFonts w:ascii="仿宋_GB2312" w:eastAsia="仿宋_GB2312" w:hAnsi="仿宋_GB2312" w:cs="仿宋_GB2312" w:hint="eastAsia"/>
          <w:color w:val="000000" w:themeColor="text1"/>
          <w:sz w:val="32"/>
        </w:rPr>
        <w:t>作为特别振兴地区，城乡居民收入水平偏低，增收渠道较为单一，城镇常住居民人均可支配收入低于规划目标增幅2.3个百分点，2022年我县城镇居民人均可支配收入30226元、农村居民人均可支配收入16411元，与湖南省城镇居民人均可支配收入中位数42432元、农村居民人均可支配收入19546元相比仍有一定差距，与人民群众对美好生活的期望仍有差距。</w:t>
      </w:r>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楷体_GB2312" w:eastAsia="楷体_GB2312" w:hAnsi="楷体_GB2312" w:cs="楷体_GB2312" w:hint="eastAsia"/>
          <w:b/>
          <w:bCs/>
          <w:color w:val="000000" w:themeColor="text1"/>
          <w:sz w:val="32"/>
        </w:rPr>
        <w:t>6.绿色发展价值有待彰显。</w:t>
      </w:r>
      <w:r>
        <w:rPr>
          <w:rFonts w:ascii="仿宋_GB2312" w:eastAsia="仿宋_GB2312" w:hAnsi="仿宋_GB2312" w:cs="仿宋_GB2312" w:hint="eastAsia"/>
          <w:color w:val="000000" w:themeColor="text1"/>
          <w:sz w:val="32"/>
        </w:rPr>
        <w:t>虽然溆浦属于重点生态功能区，但是受传统产业发展影响，绿色产业发展起步较晚，工业三废排放量仍然比较高，清洁能源开发利用仍处较低水平，生态旅游尚未形成品牌效应，环保产业在全省处于中下游水平。绿色发展体机制尚未全面建立，推进“两山“价值转换的市场化机制、社会化手段不足，本底优势资源未得到有效发挥。同时，环境污染的源头防控仍有待加强，重点区域、重点行业污染问题没有得到根本解决，产业、能源、公路货运、用地等结构性污染问题仍突出。</w:t>
      </w:r>
    </w:p>
    <w:p w:rsidR="000B0562" w:rsidRDefault="005B091D">
      <w:pPr>
        <w:pStyle w:val="a8"/>
        <w:spacing w:line="360" w:lineRule="auto"/>
        <w:ind w:firstLineChars="0" w:firstLine="720"/>
        <w:rPr>
          <w:rFonts w:ascii="仿宋_GB2312" w:eastAsia="仿宋_GB2312" w:hAnsi="仿宋_GB2312" w:cs="仿宋_GB2312"/>
          <w:color w:val="000000" w:themeColor="text1"/>
          <w:sz w:val="32"/>
        </w:rPr>
      </w:pPr>
      <w:r>
        <w:rPr>
          <w:rFonts w:ascii="楷体_GB2312" w:eastAsia="楷体_GB2312" w:hAnsi="楷体_GB2312" w:cs="楷体_GB2312" w:hint="eastAsia"/>
          <w:b/>
          <w:bCs/>
          <w:color w:val="000000" w:themeColor="text1"/>
          <w:sz w:val="32"/>
        </w:rPr>
        <w:t>7.民生保障能力有待提升。</w:t>
      </w:r>
      <w:r>
        <w:rPr>
          <w:rFonts w:ascii="仿宋_GB2312" w:eastAsia="仿宋_GB2312" w:hAnsi="仿宋_GB2312" w:cs="仿宋_GB2312" w:hint="eastAsia"/>
          <w:color w:val="000000" w:themeColor="text1"/>
          <w:sz w:val="32"/>
        </w:rPr>
        <w:t>虽然溆浦基础设施和公共服务水平质量均在进一步优化提升，但还存在教育资源供给不足、优质医疗资源布局不均衡、文化体育设施缺乏、医保基金供求矛盾突出等问题，城市就业、社保、住房等保障体系仍需完善，城乡之间的基础设施、公共服务资源配置仍有差</w:t>
      </w:r>
      <w:r>
        <w:rPr>
          <w:rFonts w:ascii="仿宋_GB2312" w:eastAsia="仿宋_GB2312" w:hAnsi="仿宋_GB2312" w:cs="仿宋_GB2312" w:hint="eastAsia"/>
          <w:color w:val="000000" w:themeColor="text1"/>
          <w:sz w:val="32"/>
        </w:rPr>
        <w:lastRenderedPageBreak/>
        <w:t>距。农村发展还存在短板弱项，巩固拓展脱贫攻坚成果任务比较艰巨，脱贫地区产业发展基础仍然不强，部分脱贫户脱贫基础还比较脆弱，防止返贫任务较重。</w:t>
      </w:r>
    </w:p>
    <w:p w:rsidR="000B0562" w:rsidRDefault="005B091D">
      <w:pPr>
        <w:pStyle w:val="3"/>
        <w:numPr>
          <w:ilvl w:val="2"/>
          <w:numId w:val="0"/>
        </w:numPr>
        <w:spacing w:before="0" w:after="60" w:line="360" w:lineRule="auto"/>
        <w:ind w:left="720"/>
        <w:rPr>
          <w:rFonts w:ascii="黑体" w:eastAsia="黑体" w:hAnsi="黑体"/>
          <w:b w:val="0"/>
          <w:bCs w:val="0"/>
          <w:color w:val="000000" w:themeColor="text1"/>
          <w:szCs w:val="30"/>
        </w:rPr>
      </w:pPr>
      <w:bookmarkStart w:id="21" w:name="_Toc183"/>
      <w:r>
        <w:rPr>
          <w:rFonts w:ascii="黑体" w:eastAsia="黑体" w:hAnsi="黑体" w:hint="eastAsia"/>
          <w:b w:val="0"/>
          <w:bCs w:val="0"/>
          <w:color w:val="000000" w:themeColor="text1"/>
          <w:szCs w:val="30"/>
        </w:rPr>
        <w:t>二、纲要实施过程中面临新形势</w:t>
      </w:r>
      <w:bookmarkEnd w:id="21"/>
    </w:p>
    <w:p w:rsidR="000B0562" w:rsidRDefault="005B091D">
      <w:pPr>
        <w:pStyle w:val="a8"/>
        <w:spacing w:line="360" w:lineRule="auto"/>
        <w:ind w:firstLineChars="0" w:firstLine="72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从全球看，外部环境更趋复杂严峻和不确定。</w:t>
      </w:r>
      <w:r>
        <w:rPr>
          <w:rFonts w:ascii="仿宋_GB2312" w:eastAsia="仿宋_GB2312" w:hAnsi="仿宋_GB2312" w:cs="仿宋_GB2312" w:hint="eastAsia"/>
          <w:color w:val="000000" w:themeColor="text1"/>
          <w:sz w:val="32"/>
          <w:szCs w:val="32"/>
        </w:rPr>
        <w:t>当今世界正经历百年未有之大变局，新一轮科技革命和产业变革深入发展，和平与发展仍然是时代主题，同时新冠肺炎疫情加剧了大变局的演变，国际环境日趋复杂，不稳定性不确定性明显增加，经济全球化遭遇逆流，世界进入动荡变革期。一方面，必然催生新技术、新产业、新业态、新模式、新消费、新基建，带来投资和消费结构的升级，倒逼经济发展转向高质量阶段。另一方面，国际贸易规则面临重构，全球产业链受冲击，国际政治经济格局呈现加速调整的变化趋势，进出口贸易压力增大。国际货币基金组织(IMF)预计2023-2024年世界经济将出现3%的低增长，低于2000年至2019年的平均水平(3.8%)。全球存在通胀持续、金融市场重新定价、新兴市场和发展中经济体债务压力加重、地缘经济分裂加深等多重下行风险，短期内难有根本缓解。人工智能技术加快突破，可能对未来产业结构、就业市场等造成深远影响。在此背景下，溆浦应当准确把握世界经济发展新格局，准确研判全球产业竟争态势和新技术变革趋势对全县经济发展的</w:t>
      </w:r>
      <w:r>
        <w:rPr>
          <w:rFonts w:ascii="仿宋_GB2312" w:eastAsia="仿宋_GB2312" w:hAnsi="仿宋_GB2312" w:cs="仿宋_GB2312" w:hint="eastAsia"/>
          <w:color w:val="000000" w:themeColor="text1"/>
          <w:sz w:val="32"/>
          <w:szCs w:val="32"/>
        </w:rPr>
        <w:lastRenderedPageBreak/>
        <w:t>影响，把握绿色技术创新和产业变革的机遇，加快形成以数字经济、绿色经济等为主要形态的产业体系，进一步扩大对外开放，为湖南打造内陆改革开放高地作出新贡献。</w:t>
      </w:r>
    </w:p>
    <w:p w:rsidR="000B0562" w:rsidRDefault="005B091D">
      <w:pPr>
        <w:pStyle w:val="a8"/>
        <w:spacing w:line="360" w:lineRule="auto"/>
        <w:ind w:firstLineChars="0" w:firstLine="72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从国内看，我国经济发展具有良好支撑和有利条件。</w:t>
      </w:r>
      <w:r>
        <w:rPr>
          <w:rFonts w:ascii="仿宋_GB2312" w:eastAsia="仿宋_GB2312" w:hAnsi="仿宋_GB2312" w:cs="仿宋_GB2312" w:hint="eastAsia"/>
          <w:color w:val="000000" w:themeColor="text1"/>
          <w:sz w:val="32"/>
          <w:szCs w:val="32"/>
        </w:rPr>
        <w:t>我国开启全面建设社会主义现代化国家新征程，已进入高质量发展阶段，具有全球最完整、规模最大的工业体系，有强大的生产能力、完善的配套能力，有超大规模内需市场，制度优势显著，治理效能提升，经济稳中向好、长期向好，潜力足、韧性大、活力强、回旋空间大，社会大局稳定，继续发展具有多方面优势和条件。宏观政策将更加有利于经济增长，中央经济工作会议强调“继续实施积极的财政政策和稳健的货币政策。加大中央对地方的转移支付力度，推动财力下沉，做好基层‘三保’工作。优化产业政策实施方式，狠抓传统产业改造升级和战略性新兴产业培育壮大。要确保房地产市场平稳发展。因城施策，支持刚性和改善性住房需求，加快推进保障性租赁住房建设，解决新市民、青年人等群体的住房困难问题，探索长租房市场建设。”随着国家、省、市具体措施的落地，政策效应将在今年持续显现。特别是怀化市依托湖南唯一的西部陆海新通道节点城市这一优势，建设好怀化国际陆港和东盟货运集结中心，必将吸引更多外向型经济的政策、项目、资金在怀化集聚，这是当前怀化经济社会发展</w:t>
      </w:r>
      <w:r>
        <w:rPr>
          <w:rFonts w:ascii="仿宋_GB2312" w:eastAsia="仿宋_GB2312" w:hAnsi="仿宋_GB2312" w:cs="仿宋_GB2312" w:hint="eastAsia"/>
          <w:color w:val="000000" w:themeColor="text1"/>
          <w:sz w:val="32"/>
          <w:szCs w:val="32"/>
        </w:rPr>
        <w:lastRenderedPageBreak/>
        <w:t>最大利好，溆浦要抓住这一重要的时代机遇推动溆浦供给侧结构性改革、打造产业发展新优势。</w:t>
      </w:r>
    </w:p>
    <w:p w:rsidR="000B0562" w:rsidRDefault="005B091D">
      <w:pPr>
        <w:pStyle w:val="a8"/>
        <w:spacing w:line="360" w:lineRule="auto"/>
        <w:ind w:firstLineChars="0" w:firstLine="72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从省内及区域看，全省构建“一核引领、四区协同“区域发展新格局。</w:t>
      </w:r>
      <w:r>
        <w:rPr>
          <w:rFonts w:ascii="仿宋_GB2312" w:eastAsia="仿宋_GB2312" w:hAnsi="仿宋_GB2312" w:cs="仿宋_GB2312" w:hint="eastAsia"/>
          <w:color w:val="000000" w:themeColor="text1"/>
          <w:sz w:val="32"/>
          <w:szCs w:val="32"/>
        </w:rPr>
        <w:t>随着“二十条”“新十条”防疫措施以及后续政策的出台，将极大便利商务往来和人员出行，从根本上改变经济社会活动受限状况，对经济运行的影响将产生类似“J曲线效应”，即短期会对经济运行造成扰动，社会生产秩序会加快恢复，经济活力将加速释放。但是成渝城市群、北部湾城市群、长株潭城市群等区域融合发展、一体化发展趋势明显，虹吸效应不断放大，怀化发展空间受到一定程度挤压。省内毗邻市州和贵州铜仁、黔东南等地区竞相发展态势明显，特别是在产业发展、招商引资、人才引进等方面的竞争已经白热化。但省委十二届四次全会提出构建“一核引领、四区协同”区域发展新格局，突出了怀化在湘西板块中的龙头地位和关键作用，赋予了怀化加快高水平开放高质量发展和破解全省“东强西弱”发展态势的责任和使命。按照省委新部署新要求，溆浦要优化区域改革开放布局，不断提升中心城区能级，带动提升全县改革开放整体水平，带动区域竟争力整体提升。</w:t>
      </w:r>
    </w:p>
    <w:p w:rsidR="000B0562" w:rsidRDefault="005B091D">
      <w:pPr>
        <w:pStyle w:val="a8"/>
        <w:spacing w:line="360" w:lineRule="auto"/>
        <w:ind w:firstLineChars="0" w:firstLine="72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从怀化看，全市确定“五新四城”战略目标。</w:t>
      </w:r>
      <w:r>
        <w:rPr>
          <w:rFonts w:ascii="仿宋_GB2312" w:eastAsia="仿宋_GB2312" w:hAnsi="仿宋_GB2312" w:cs="仿宋_GB2312" w:hint="eastAsia"/>
          <w:color w:val="000000" w:themeColor="text1"/>
          <w:sz w:val="32"/>
          <w:szCs w:val="32"/>
        </w:rPr>
        <w:t>一是习近平总书记赋予湖南“三高四新”的新定位新使命，为怀化市“十四五”发展指明了战略方向，为高质量发展提供强劲动力。二是</w:t>
      </w:r>
      <w:r>
        <w:rPr>
          <w:rFonts w:ascii="仿宋_GB2312" w:eastAsia="仿宋_GB2312" w:hAnsi="仿宋_GB2312" w:cs="仿宋_GB2312" w:hint="eastAsia"/>
          <w:color w:val="000000" w:themeColor="text1"/>
          <w:sz w:val="32"/>
          <w:szCs w:val="32"/>
        </w:rPr>
        <w:lastRenderedPageBreak/>
        <w:t>国家推进西部陆海新通道建设，怀化作为重要节点城市，将迎来内陆城市对外开放和参与国际和区域合作的重要机遇期。特别是“两线一站”的开通运营，打开了怀化西联成渝城市群、南达华南出海口的主要货运通道，对怀化深度融入国家西部陆海新通道插上腾飞的翅膀。三是沿海发达地区产业加速向中西部地区转移，怀化作为湘南湘西承接产业转移示范区的重要组成部分，具有国家级平台优势，对沿海发达地区特别是粤港澳大湾区产业项目转移具有较强的吸引力。四是一系列国省政策布局集中落地怀化，如国家骨干冷链物流基地、大湘西区域医疗卫生中心等，有利于怀化项目资金的争取，助推基础设施完善、产业发展和民生改善。五是随着“一带一路”、长江经济带、西部大开发、中部崛起、“一带一部”、湖南自贸区等国省战略的深入推进，怀化市发展将迎来新的政策红利。特别是，市委六届四次全会按照党的二十大提出全面建设社会主义现代化国家的战略部署，确立了“五新四城”战略目标，并生动描绘了现代化新怀化的美好愿景。市委六届五次全会进一步强调要抢抓战略机遇，发挥比较优势，为湖南打造内陆地区改革开放高地作出新贡献。同时也要清醒地看到，怀化市发展不平衡不充分问题仍然突出，经济结构质量不优、农业农村发展不足、科技创新支撑高质量发展的动能不强，生态环保、民生保障、风险防控等方面依然存在</w:t>
      </w:r>
      <w:r>
        <w:rPr>
          <w:rFonts w:ascii="仿宋_GB2312" w:eastAsia="仿宋_GB2312" w:hAnsi="仿宋_GB2312" w:cs="仿宋_GB2312" w:hint="eastAsia"/>
          <w:color w:val="000000" w:themeColor="text1"/>
          <w:sz w:val="32"/>
          <w:szCs w:val="32"/>
        </w:rPr>
        <w:lastRenderedPageBreak/>
        <w:t>较大压力，高质量发展能力有待进一步提升。</w:t>
      </w:r>
    </w:p>
    <w:p w:rsidR="000B0562" w:rsidRDefault="005B091D">
      <w:pPr>
        <w:pStyle w:val="a8"/>
        <w:spacing w:line="360" w:lineRule="auto"/>
        <w:ind w:firstLineChars="0" w:firstLine="72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从县内看，我县有独特的区位、交通、生态、资源优势，人力资源丰富。</w:t>
      </w:r>
      <w:r>
        <w:rPr>
          <w:rFonts w:ascii="仿宋_GB2312" w:eastAsia="仿宋_GB2312" w:hAnsi="仿宋_GB2312" w:cs="仿宋_GB2312" w:hint="eastAsia"/>
          <w:color w:val="000000" w:themeColor="text1"/>
          <w:sz w:val="32"/>
          <w:szCs w:val="32"/>
        </w:rPr>
        <w:t>“一带一路”、长江经济带、中部崛起、湖南自贸区等国省战略提供区域发展新机遇，新一轮科技革命和产业变革带来产业升级新动力，新型工业化、信息化、城镇化、农业现代化同步发展创造经济增长新空间，强大内需市场成为高质量发展新支撑，溆浦经济社会发展面临新机遇。同时，我县经济发展步入换档期、工业发展步入优化期、城镇发展步入提质期、社会发展步入转型期，发展不平衡不充分问题仍然突出，经济结构质量不优、农业基础还不稳固、企业创新能力不强、城乡低收入群体增收较难等短板依然存在，生态环保、民生保障、风险防控等方面依然存在较大压力，高质量发展能力有待进一步提升。我县产业结构不优、消费增长不快、投资保持平稳较快增长的难度较大、财政运转艰难、社会民生方面还面临不少问题、经济环境还需进一步优化。我县经济总量不大，发展质量不优，经济增速放缓，发展后劲乏力，人均水平偏低，全面建成小康社会还有不少短板。农业基础相对薄弱，农民增收步伐不快，乡村振兴任重道远。</w:t>
      </w:r>
    </w:p>
    <w:p w:rsidR="000B0562" w:rsidRDefault="005B091D">
      <w:pPr>
        <w:pStyle w:val="a8"/>
        <w:spacing w:line="360" w:lineRule="auto"/>
        <w:ind w:firstLineChars="0" w:firstLine="7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综合判断，“十四五”期间，我县发展仍然处于重要战略机遇期，而且机遇和挑战都有新的发展变化。要辩证认识和把握发展大势，增强机遇意识和风险意识，善于在危机中育</w:t>
      </w:r>
      <w:r>
        <w:rPr>
          <w:rFonts w:ascii="仿宋_GB2312" w:eastAsia="仿宋_GB2312" w:hAnsi="仿宋_GB2312" w:cs="仿宋_GB2312" w:hint="eastAsia"/>
          <w:color w:val="000000" w:themeColor="text1"/>
          <w:sz w:val="32"/>
          <w:szCs w:val="32"/>
        </w:rPr>
        <w:lastRenderedPageBreak/>
        <w:t>先机、于变局中开新局，保持战略定力，办好自己的事，为全面建设社会主义现代化开好局、起好步，为溆浦经济社会保持平稳健康发展的良好态势、为推动新时代溆浦高质量发展奠定更加坚实的基础。</w:t>
      </w:r>
    </w:p>
    <w:p w:rsidR="000B0562" w:rsidRDefault="000B0562">
      <w:pPr>
        <w:pStyle w:val="1"/>
        <w:spacing w:before="360" w:after="60" w:line="360" w:lineRule="auto"/>
        <w:jc w:val="center"/>
        <w:rPr>
          <w:rFonts w:ascii="仿宋_GB2312" w:eastAsia="仿宋_GB2312" w:hAnsi="仿宋_GB2312" w:cs="仿宋_GB2312"/>
          <w:color w:val="000000" w:themeColor="text1"/>
          <w:sz w:val="32"/>
          <w:szCs w:val="32"/>
        </w:rPr>
        <w:sectPr w:rsidR="000B0562">
          <w:pgSz w:w="11906" w:h="16838"/>
          <w:pgMar w:top="1701" w:right="1531" w:bottom="1531" w:left="1531" w:header="822" w:footer="822" w:gutter="567"/>
          <w:cols w:space="425"/>
          <w:docGrid w:type="lines" w:linePitch="312"/>
        </w:sectPr>
      </w:pPr>
    </w:p>
    <w:p w:rsidR="000B0562" w:rsidRDefault="005B091D" w:rsidP="009978E1">
      <w:pPr>
        <w:pStyle w:val="1"/>
        <w:spacing w:before="360" w:after="240" w:line="360" w:lineRule="auto"/>
        <w:jc w:val="center"/>
        <w:rPr>
          <w:rFonts w:ascii="黑体" w:eastAsia="黑体" w:hAnsi="黑体"/>
          <w:b w:val="0"/>
          <w:bCs w:val="0"/>
          <w:color w:val="000000" w:themeColor="text1"/>
          <w:sz w:val="36"/>
          <w:szCs w:val="36"/>
        </w:rPr>
      </w:pPr>
      <w:bookmarkStart w:id="22" w:name="_Toc28877"/>
      <w:r>
        <w:rPr>
          <w:rFonts w:ascii="黑体" w:eastAsia="黑体" w:hAnsi="黑体"/>
          <w:b w:val="0"/>
          <w:bCs w:val="0"/>
          <w:color w:val="000000" w:themeColor="text1"/>
          <w:sz w:val="36"/>
          <w:szCs w:val="36"/>
        </w:rPr>
        <w:lastRenderedPageBreak/>
        <w:t>高质量推进纲要的新举措</w:t>
      </w:r>
      <w:bookmarkEnd w:id="22"/>
    </w:p>
    <w:p w:rsidR="000B0562" w:rsidRDefault="005B091D">
      <w:pPr>
        <w:pStyle w:val="a8"/>
        <w:spacing w:line="616"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为全面完成“十四五”规划目标任务，要准确把握当前宏观经济形势和溆浦发展的阶段性特征，全面贯彻落实党的二十大精神、省第十二次党代会精神，</w:t>
      </w:r>
      <w:r w:rsidR="00F13987">
        <w:rPr>
          <w:rFonts w:ascii="仿宋_GB2312" w:eastAsia="仿宋_GB2312" w:hAnsi="仿宋_GB2312" w:cs="仿宋_GB2312" w:hint="eastAsia"/>
          <w:color w:val="000000" w:themeColor="text1"/>
          <w:sz w:val="32"/>
          <w:szCs w:val="32"/>
        </w:rPr>
        <w:t>市第六次党代会精神，</w:t>
      </w:r>
      <w:r>
        <w:rPr>
          <w:rFonts w:ascii="仿宋_GB2312" w:eastAsia="仿宋_GB2312" w:hAnsi="仿宋_GB2312" w:cs="仿宋_GB2312" w:hint="eastAsia"/>
          <w:color w:val="000000" w:themeColor="text1"/>
          <w:sz w:val="32"/>
          <w:szCs w:val="32"/>
        </w:rPr>
        <w:t>进一步提升县域经济发展水平，全力打造</w:t>
      </w:r>
      <w:r w:rsidR="00F13987">
        <w:rPr>
          <w:rFonts w:ascii="仿宋_GB2312" w:eastAsia="仿宋_GB2312" w:hAnsi="仿宋_GB2312" w:cs="仿宋_GB2312" w:hint="eastAsia"/>
          <w:color w:val="000000" w:themeColor="text1"/>
          <w:sz w:val="32"/>
          <w:szCs w:val="32"/>
        </w:rPr>
        <w:t>新型工业化主导县</w:t>
      </w:r>
      <w:r>
        <w:rPr>
          <w:rFonts w:ascii="仿宋_GB2312" w:eastAsia="仿宋_GB2312" w:hAnsi="仿宋_GB2312" w:cs="仿宋_GB2312" w:hint="eastAsia"/>
          <w:color w:val="000000" w:themeColor="text1"/>
          <w:sz w:val="32"/>
          <w:szCs w:val="32"/>
        </w:rPr>
        <w:t>，力争全面完成“十四五”规划确定的各项目标任务。</w:t>
      </w:r>
      <w:r w:rsidR="009055D8">
        <w:rPr>
          <w:rFonts w:ascii="仿宋_GB2312" w:eastAsia="仿宋_GB2312" w:hAnsi="仿宋_GB2312" w:cs="仿宋_GB2312" w:hint="eastAsia"/>
          <w:color w:val="000000" w:themeColor="text1"/>
          <w:sz w:val="32"/>
          <w:szCs w:val="32"/>
        </w:rPr>
        <w:t>锚定</w:t>
      </w:r>
      <w:r>
        <w:rPr>
          <w:rFonts w:ascii="仿宋_GB2312" w:eastAsia="仿宋_GB2312" w:hAnsi="仿宋_GB2312" w:cs="仿宋_GB2312" w:hint="eastAsia"/>
          <w:color w:val="000000" w:themeColor="text1"/>
          <w:sz w:val="32"/>
          <w:szCs w:val="32"/>
        </w:rPr>
        <w:t>“三高四新”</w:t>
      </w:r>
      <w:r w:rsidR="009055D8">
        <w:rPr>
          <w:rFonts w:ascii="仿宋_GB2312" w:eastAsia="仿宋_GB2312" w:hAnsi="仿宋_GB2312" w:cs="仿宋_GB2312" w:hint="eastAsia"/>
          <w:color w:val="000000" w:themeColor="text1"/>
          <w:sz w:val="32"/>
          <w:szCs w:val="32"/>
        </w:rPr>
        <w:t>美好蓝图</w:t>
      </w:r>
      <w:r>
        <w:rPr>
          <w:rFonts w:ascii="仿宋_GB2312" w:eastAsia="仿宋_GB2312" w:hAnsi="仿宋_GB2312" w:cs="仿宋_GB2312" w:hint="eastAsia"/>
          <w:color w:val="000000" w:themeColor="text1"/>
          <w:sz w:val="32"/>
          <w:szCs w:val="32"/>
        </w:rPr>
        <w:t>，</w:t>
      </w:r>
      <w:r w:rsidR="009055D8">
        <w:rPr>
          <w:rFonts w:ascii="仿宋_GB2312" w:eastAsia="仿宋_GB2312" w:hAnsi="仿宋_GB2312" w:cs="仿宋_GB2312" w:hint="eastAsia"/>
          <w:color w:val="000000" w:themeColor="text1"/>
          <w:sz w:val="32"/>
          <w:szCs w:val="32"/>
        </w:rPr>
        <w:t>深入实施</w:t>
      </w:r>
      <w:r>
        <w:rPr>
          <w:rFonts w:ascii="仿宋_GB2312" w:eastAsia="仿宋_GB2312" w:hAnsi="仿宋_GB2312" w:cs="仿宋_GB2312" w:hint="eastAsia"/>
          <w:color w:val="000000" w:themeColor="text1"/>
          <w:sz w:val="32"/>
          <w:szCs w:val="32"/>
        </w:rPr>
        <w:t>“</w:t>
      </w:r>
      <w:r w:rsidR="00DA4744">
        <w:rPr>
          <w:rFonts w:ascii="仿宋_GB2312" w:eastAsia="仿宋_GB2312" w:hAnsi="仿宋_GB2312" w:cs="仿宋_GB2312" w:hint="eastAsia"/>
          <w:color w:val="000000" w:themeColor="text1"/>
          <w:sz w:val="32"/>
          <w:szCs w:val="32"/>
        </w:rPr>
        <w:t>五新四城</w:t>
      </w:r>
      <w:r>
        <w:rPr>
          <w:rFonts w:ascii="仿宋_GB2312" w:eastAsia="仿宋_GB2312" w:hAnsi="仿宋_GB2312" w:cs="仿宋_GB2312" w:hint="eastAsia"/>
          <w:color w:val="000000" w:themeColor="text1"/>
          <w:sz w:val="32"/>
          <w:szCs w:val="32"/>
        </w:rPr>
        <w:t>”</w:t>
      </w:r>
      <w:r w:rsidR="00DA4744">
        <w:rPr>
          <w:rFonts w:ascii="仿宋_GB2312" w:eastAsia="仿宋_GB2312" w:hAnsi="仿宋_GB2312" w:cs="仿宋_GB2312" w:hint="eastAsia"/>
          <w:color w:val="000000" w:themeColor="text1"/>
          <w:sz w:val="32"/>
          <w:szCs w:val="32"/>
        </w:rPr>
        <w:t>战略</w:t>
      </w:r>
      <w:r w:rsidR="00B9031D">
        <w:rPr>
          <w:rFonts w:ascii="仿宋_GB2312" w:eastAsia="仿宋_GB2312" w:hAnsi="仿宋_GB2312" w:cs="仿宋_GB2312" w:hint="eastAsia"/>
          <w:color w:val="000000" w:themeColor="text1"/>
          <w:sz w:val="32"/>
          <w:szCs w:val="32"/>
        </w:rPr>
        <w:t>，</w:t>
      </w:r>
      <w:r w:rsidR="00DA4744">
        <w:rPr>
          <w:rFonts w:ascii="仿宋_GB2312" w:eastAsia="仿宋_GB2312" w:hAnsi="仿宋_GB2312" w:cs="仿宋_GB2312" w:hint="eastAsia"/>
          <w:sz w:val="32"/>
          <w:szCs w:val="32"/>
        </w:rPr>
        <w:t>贯彻“四强四新”举措</w:t>
      </w:r>
      <w:r>
        <w:rPr>
          <w:rFonts w:ascii="仿宋_GB2312" w:eastAsia="仿宋_GB2312" w:hAnsi="仿宋_GB2312" w:cs="仿宋_GB2312" w:hint="eastAsia"/>
          <w:color w:val="000000" w:themeColor="text1"/>
          <w:sz w:val="32"/>
          <w:szCs w:val="32"/>
        </w:rPr>
        <w:t>，按照“兴工强县、基础提质、文旅融合、统筹城乡”工作思路，奋力建设经济成效更好、创新能力更强、改革开放更深、文明程度更高、生态环境更美、生活品质更优、治理效能更佳的社会主义现代化新溆浦。</w:t>
      </w:r>
    </w:p>
    <w:p w:rsidR="00AB0671" w:rsidRDefault="00B9031D" w:rsidP="00A769A6">
      <w:pPr>
        <w:ind w:firstLineChars="196" w:firstLine="628"/>
        <w:rPr>
          <w:rFonts w:ascii="Times New Roman" w:eastAsia="仿宋_GB2312" w:hAnsi="Times New Roman" w:cs="Times New Roman"/>
          <w:sz w:val="32"/>
          <w:szCs w:val="32"/>
        </w:rPr>
      </w:pPr>
      <w:r>
        <w:rPr>
          <w:rFonts w:ascii="楷体_GB2312" w:eastAsia="楷体_GB2312" w:hAnsi="楷体_GB2312" w:cs="楷体_GB2312" w:hint="eastAsia"/>
          <w:b/>
          <w:bCs/>
          <w:color w:val="000000" w:themeColor="text1"/>
          <w:sz w:val="32"/>
        </w:rPr>
        <w:t>一是</w:t>
      </w:r>
      <w:r w:rsidR="005B091D">
        <w:rPr>
          <w:rFonts w:ascii="楷体_GB2312" w:eastAsia="楷体_GB2312" w:hAnsi="楷体_GB2312" w:cs="楷体_GB2312" w:hint="eastAsia"/>
          <w:b/>
          <w:bCs/>
          <w:color w:val="000000" w:themeColor="text1"/>
          <w:sz w:val="32"/>
        </w:rPr>
        <w:t>着力打造</w:t>
      </w:r>
      <w:r w:rsidR="00101BB0" w:rsidRPr="001F1D4E">
        <w:rPr>
          <w:rFonts w:ascii="楷体_GB2312" w:eastAsia="楷体_GB2312" w:hAnsi="楷体_GB2312" w:cs="楷体_GB2312" w:hint="eastAsia"/>
          <w:b/>
          <w:bCs/>
          <w:color w:val="000000" w:themeColor="text1"/>
          <w:sz w:val="32"/>
        </w:rPr>
        <w:t>新型工业化主导</w:t>
      </w:r>
      <w:r w:rsidR="005B091D" w:rsidRPr="001F1D4E">
        <w:rPr>
          <w:rFonts w:ascii="楷体_GB2312" w:eastAsia="楷体_GB2312" w:hAnsi="楷体_GB2312" w:cs="楷体_GB2312" w:hint="eastAsia"/>
          <w:b/>
          <w:bCs/>
          <w:color w:val="000000" w:themeColor="text1"/>
          <w:sz w:val="32"/>
        </w:rPr>
        <w:t>县</w:t>
      </w:r>
      <w:r w:rsidR="005B091D">
        <w:rPr>
          <w:rFonts w:ascii="楷体_GB2312" w:eastAsia="楷体_GB2312" w:hAnsi="楷体_GB2312" w:cs="楷体_GB2312" w:hint="eastAsia"/>
          <w:b/>
          <w:bCs/>
          <w:color w:val="000000" w:themeColor="text1"/>
          <w:sz w:val="32"/>
        </w:rPr>
        <w:t>。</w:t>
      </w:r>
      <w:r w:rsidR="00AB0671">
        <w:rPr>
          <w:rFonts w:ascii="仿宋_GB2312" w:eastAsia="仿宋_GB2312" w:hAnsi="仿宋_GB2312" w:cs="仿宋_GB2312" w:hint="eastAsia"/>
          <w:sz w:val="32"/>
          <w:szCs w:val="32"/>
        </w:rPr>
        <w:t>着力优化产业布局，增强产业集群带动力，</w:t>
      </w:r>
      <w:r w:rsidR="00AB0671" w:rsidRPr="001F1D4E">
        <w:rPr>
          <w:rFonts w:ascii="仿宋_GB2312" w:eastAsia="仿宋_GB2312" w:hAnsi="仿宋_GB2312" w:cs="仿宋_GB2312" w:hint="eastAsia"/>
          <w:sz w:val="32"/>
          <w:szCs w:val="32"/>
        </w:rPr>
        <w:t>围绕“5+N”现代化产业新体系建设，</w:t>
      </w:r>
      <w:r w:rsidR="00AB0671">
        <w:rPr>
          <w:rFonts w:ascii="Times New Roman" w:eastAsia="仿宋_GB2312" w:hAnsi="Times New Roman" w:cs="Times New Roman"/>
          <w:sz w:val="32"/>
          <w:szCs w:val="32"/>
        </w:rPr>
        <w:t>统筹推进</w:t>
      </w:r>
      <w:r w:rsidR="00AB0671">
        <w:rPr>
          <w:rFonts w:ascii="Times New Roman" w:eastAsia="仿宋_GB2312" w:hAnsi="Times New Roman" w:cs="Times New Roman"/>
          <w:sz w:val="32"/>
          <w:szCs w:val="32"/>
        </w:rPr>
        <w:t>“10+2”</w:t>
      </w:r>
      <w:r w:rsidR="00AB0671">
        <w:rPr>
          <w:rFonts w:ascii="Times New Roman" w:eastAsia="仿宋_GB2312" w:hAnsi="Times New Roman" w:cs="Times New Roman"/>
          <w:sz w:val="32"/>
          <w:szCs w:val="32"/>
        </w:rPr>
        <w:t>产业链建设，改造提升传统产业，巩固延伸优势产业，前瞻布局新兴产业、未来产业，努力实现量质齐升。</w:t>
      </w:r>
      <w:r w:rsidR="00AB0671">
        <w:rPr>
          <w:rFonts w:ascii="Times New Roman" w:eastAsia="仿宋_GB2312" w:hAnsi="Times New Roman" w:cs="Times New Roman" w:hint="eastAsia"/>
          <w:sz w:val="32"/>
          <w:szCs w:val="32"/>
        </w:rPr>
        <w:t>发挥自然资源优势，加快打造“南部硅都”“石材基地”等地方特色产业名片，围绕</w:t>
      </w:r>
      <w:r w:rsidR="00AB0671">
        <w:rPr>
          <w:rFonts w:ascii="Times New Roman" w:eastAsia="仿宋_GB2312" w:hAnsi="Times New Roman" w:cs="Times New Roman"/>
          <w:sz w:val="32"/>
          <w:szCs w:val="32"/>
        </w:rPr>
        <w:t>矿物功能</w:t>
      </w:r>
      <w:r w:rsidR="00AB0671">
        <w:rPr>
          <w:rFonts w:ascii="Times New Roman" w:eastAsia="仿宋_GB2312" w:hAnsi="Times New Roman" w:cs="Times New Roman" w:hint="eastAsia"/>
          <w:sz w:val="32"/>
          <w:szCs w:val="32"/>
        </w:rPr>
        <w:t>、</w:t>
      </w:r>
      <w:r w:rsidR="00AB0671">
        <w:rPr>
          <w:rFonts w:ascii="仿宋_GB2312" w:eastAsia="仿宋_GB2312" w:hAnsi="仿宋_GB2312" w:cs="仿宋_GB2312" w:hint="eastAsia"/>
          <w:color w:val="000000" w:themeColor="text1"/>
          <w:sz w:val="32"/>
          <w:szCs w:val="32"/>
        </w:rPr>
        <w:t>化工新材料、石材、建材、新清洁能源等优势产业</w:t>
      </w:r>
      <w:r w:rsidR="00AB0671">
        <w:rPr>
          <w:rFonts w:ascii="Times New Roman" w:eastAsia="仿宋_GB2312" w:hAnsi="Times New Roman" w:cs="Times New Roman" w:hint="eastAsia"/>
          <w:sz w:val="32"/>
          <w:szCs w:val="32"/>
        </w:rPr>
        <w:t>，突出抓好资源整合和提质升级，推动资源向资本、资产、资金转化。加快“五好”园区创建和专业化园区建设，</w:t>
      </w:r>
      <w:r w:rsidR="00AB0671">
        <w:rPr>
          <w:rFonts w:ascii="仿宋_GB2312" w:eastAsia="仿宋_GB2312" w:hAnsi="仿宋_GB2312" w:cs="仿宋_GB2312" w:hint="eastAsia"/>
          <w:sz w:val="32"/>
          <w:szCs w:val="32"/>
        </w:rPr>
        <w:t>做到产业发展和扩区调区两手抓，</w:t>
      </w:r>
      <w:r w:rsidR="00AB0671">
        <w:rPr>
          <w:rFonts w:ascii="Times New Roman" w:eastAsia="仿宋_GB2312" w:hAnsi="Times New Roman" w:cs="Times New Roman" w:hint="eastAsia"/>
          <w:sz w:val="32"/>
          <w:szCs w:val="32"/>
        </w:rPr>
        <w:t>不断完善</w:t>
      </w:r>
      <w:r w:rsidR="00AB0671">
        <w:rPr>
          <w:rFonts w:ascii="Times New Roman" w:eastAsia="仿宋_GB2312" w:hAnsi="Times New Roman" w:cs="Times New Roman" w:hint="eastAsia"/>
          <w:sz w:val="32"/>
          <w:szCs w:val="32"/>
        </w:rPr>
        <w:lastRenderedPageBreak/>
        <w:t>园区功能布局和基础设施条件，大力培育工程机械、电子元器件等特色产业，推动资金向园区集中、企业向园区集结、产业向园区集聚。</w:t>
      </w:r>
    </w:p>
    <w:p w:rsidR="000B0562" w:rsidRDefault="00B9031D" w:rsidP="00A769A6">
      <w:pPr>
        <w:pStyle w:val="a8"/>
        <w:spacing w:line="616" w:lineRule="exact"/>
        <w:ind w:firstLine="640"/>
        <w:rPr>
          <w:rFonts w:ascii="仿宋_GB2312" w:eastAsia="仿宋_GB2312" w:hAnsi="仿宋_GB2312" w:cs="仿宋_GB2312"/>
          <w:color w:val="000000" w:themeColor="text1"/>
          <w:sz w:val="32"/>
          <w:szCs w:val="32"/>
        </w:rPr>
      </w:pPr>
      <w:r w:rsidRPr="00DF019C">
        <w:rPr>
          <w:rFonts w:ascii="楷体_GB2312" w:eastAsia="楷体_GB2312" w:hAnsi="楷体_GB2312" w:cs="楷体_GB2312" w:hint="eastAsia"/>
          <w:b/>
          <w:bCs/>
          <w:color w:val="000000" w:themeColor="text1"/>
          <w:sz w:val="32"/>
        </w:rPr>
        <w:t>二是</w:t>
      </w:r>
      <w:r w:rsidR="005B091D" w:rsidRPr="00DF019C">
        <w:rPr>
          <w:rFonts w:ascii="楷体_GB2312" w:eastAsia="楷体_GB2312" w:hAnsi="楷体_GB2312" w:cs="楷体_GB2312" w:hint="eastAsia"/>
          <w:b/>
          <w:bCs/>
          <w:color w:val="000000" w:themeColor="text1"/>
          <w:sz w:val="32"/>
        </w:rPr>
        <w:t>着力打造</w:t>
      </w:r>
      <w:r w:rsidR="00DF019C" w:rsidRPr="001F1D4E">
        <w:rPr>
          <w:rFonts w:ascii="楷体_GB2312" w:eastAsia="楷体_GB2312" w:hAnsi="楷体_GB2312" w:cs="楷体_GB2312" w:hint="eastAsia"/>
          <w:b/>
          <w:bCs/>
          <w:color w:val="000000" w:themeColor="text1"/>
          <w:sz w:val="32"/>
        </w:rPr>
        <w:t>国家文化产业和旅游产业融合发展示范区</w:t>
      </w:r>
      <w:r w:rsidR="005B091D" w:rsidRPr="001F1D4E">
        <w:rPr>
          <w:rFonts w:ascii="楷体_GB2312" w:eastAsia="楷体_GB2312" w:hAnsi="楷体_GB2312" w:cs="楷体_GB2312" w:hint="eastAsia"/>
          <w:b/>
          <w:bCs/>
          <w:color w:val="000000" w:themeColor="text1"/>
          <w:sz w:val="32"/>
        </w:rPr>
        <w:t>。</w:t>
      </w:r>
      <w:r w:rsidR="005B091D">
        <w:rPr>
          <w:rFonts w:ascii="仿宋_GB2312" w:eastAsia="仿宋_GB2312" w:hAnsi="仿宋_GB2312" w:cs="仿宋_GB2312" w:hint="eastAsia"/>
          <w:color w:val="000000" w:themeColor="text1"/>
          <w:sz w:val="32"/>
          <w:szCs w:val="32"/>
        </w:rPr>
        <w:t>构建“山、水、文、廊、城”旅游产业发展格局，促进文旅产业全区域、全要素、全产业链发展，突出“警予家乡、红色溆浦”</w:t>
      </w:r>
      <w:r w:rsidR="00DF019C">
        <w:rPr>
          <w:rFonts w:ascii="仿宋_GB2312" w:eastAsia="仿宋_GB2312" w:hAnsi="仿宋_GB2312" w:cs="仿宋_GB2312" w:hint="eastAsia"/>
          <w:color w:val="000000" w:themeColor="text1"/>
          <w:sz w:val="32"/>
          <w:szCs w:val="32"/>
        </w:rPr>
        <w:t>“屈原文化”等</w:t>
      </w:r>
      <w:r w:rsidR="005B091D">
        <w:rPr>
          <w:rFonts w:ascii="仿宋_GB2312" w:eastAsia="仿宋_GB2312" w:hAnsi="仿宋_GB2312" w:cs="仿宋_GB2312" w:hint="eastAsia"/>
          <w:color w:val="000000" w:themeColor="text1"/>
          <w:sz w:val="32"/>
          <w:szCs w:val="32"/>
        </w:rPr>
        <w:t>核心元素，树立“旅游+”理念，促进旅游与文化创意、运动康体、养生养老等业态融合发展，开发建设户外拓展、房车营地、互动游览、主题游乐等旅游项目，全面打响“红色旅游、民俗旅游、休闲旅游、研学旅游”四大品牌，</w:t>
      </w:r>
      <w:r w:rsidR="003B678C" w:rsidRPr="001F1D4E">
        <w:rPr>
          <w:rFonts w:ascii="仿宋_GB2312" w:eastAsia="仿宋_GB2312" w:hAnsi="仿宋_GB2312" w:cs="仿宋_GB2312" w:hint="eastAsia"/>
          <w:color w:val="000000" w:themeColor="text1"/>
          <w:sz w:val="32"/>
          <w:szCs w:val="32"/>
        </w:rPr>
        <w:t>强化与各大文旅联盟和文旅集团合作，</w:t>
      </w:r>
      <w:r w:rsidR="005B091D">
        <w:rPr>
          <w:rFonts w:ascii="仿宋_GB2312" w:eastAsia="仿宋_GB2312" w:hAnsi="仿宋_GB2312" w:cs="仿宋_GB2312" w:hint="eastAsia"/>
          <w:color w:val="000000" w:themeColor="text1"/>
          <w:sz w:val="32"/>
          <w:szCs w:val="32"/>
        </w:rPr>
        <w:t>积极创建</w:t>
      </w:r>
      <w:r w:rsidR="004933F1" w:rsidRPr="001F1D4E">
        <w:rPr>
          <w:rFonts w:ascii="仿宋_GB2312" w:eastAsia="仿宋_GB2312" w:hAnsi="仿宋_GB2312" w:cs="仿宋_GB2312" w:hint="eastAsia"/>
          <w:color w:val="000000" w:themeColor="text1"/>
          <w:sz w:val="32"/>
          <w:szCs w:val="32"/>
        </w:rPr>
        <w:t>国家文化产业和旅游产业融合发展示范区</w:t>
      </w:r>
      <w:r w:rsidR="005B091D" w:rsidRPr="001F1D4E">
        <w:rPr>
          <w:rFonts w:ascii="仿宋_GB2312" w:eastAsia="仿宋_GB2312" w:hAnsi="仿宋_GB2312" w:cs="仿宋_GB2312" w:hint="eastAsia"/>
          <w:color w:val="000000" w:themeColor="text1"/>
          <w:sz w:val="32"/>
          <w:szCs w:val="32"/>
        </w:rPr>
        <w:t>,</w:t>
      </w:r>
      <w:r w:rsidR="005B091D">
        <w:rPr>
          <w:rFonts w:ascii="仿宋_GB2312" w:eastAsia="仿宋_GB2312" w:hAnsi="仿宋_GB2312" w:cs="仿宋_GB2312" w:hint="eastAsia"/>
          <w:color w:val="000000" w:themeColor="text1"/>
          <w:sz w:val="32"/>
          <w:szCs w:val="32"/>
        </w:rPr>
        <w:t>着力打造全国知名生态文化旅游目的地。</w:t>
      </w:r>
    </w:p>
    <w:p w:rsidR="000B0562" w:rsidRDefault="00B9031D" w:rsidP="00A769A6">
      <w:pPr>
        <w:pStyle w:val="a8"/>
        <w:spacing w:line="616" w:lineRule="exact"/>
        <w:ind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三是</w:t>
      </w:r>
      <w:r w:rsidR="005B091D">
        <w:rPr>
          <w:rFonts w:ascii="楷体_GB2312" w:eastAsia="楷体_GB2312" w:hAnsi="楷体_GB2312" w:cs="楷体_GB2312" w:hint="eastAsia"/>
          <w:b/>
          <w:bCs/>
          <w:color w:val="000000" w:themeColor="text1"/>
          <w:sz w:val="32"/>
        </w:rPr>
        <w:t>着力打造巩固脱贫攻坚成果与乡村振兴有效衔接先行示范县。</w:t>
      </w:r>
      <w:r w:rsidR="005B091D">
        <w:rPr>
          <w:rFonts w:ascii="仿宋_GB2312" w:eastAsia="仿宋_GB2312" w:hAnsi="仿宋_GB2312" w:cs="仿宋_GB2312" w:hint="eastAsia"/>
          <w:color w:val="000000" w:themeColor="text1"/>
          <w:sz w:val="32"/>
          <w:szCs w:val="32"/>
        </w:rPr>
        <w:t>认真落实“产业兴旺、生态宜居、乡风文明、治理有效、生活富裕”方针，大力弘扬脱贫攻坚精神，坚持和发展脱贫攻坚宝贵经验，牢牢把握全省重点帮扶县机遇，巩固拓展脱贫攻坚成果，深入推进农村移风易俗、农村人居环境整治、农村综合体制改革、美丽乡村建设等行动，促进农业高质高效、农村宜居宜业、农民富裕富足，在乡村振兴上探新路、出经验、做示范。</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23" w:name="_Toc13647"/>
      <w:r>
        <w:rPr>
          <w:rFonts w:ascii="黑体" w:eastAsia="黑体" w:hAnsi="黑体" w:hint="eastAsia"/>
          <w:b w:val="0"/>
          <w:bCs w:val="0"/>
          <w:color w:val="000000" w:themeColor="text1"/>
          <w:szCs w:val="30"/>
        </w:rPr>
        <w:lastRenderedPageBreak/>
        <w:t>一、</w:t>
      </w:r>
      <w:r>
        <w:rPr>
          <w:rFonts w:ascii="黑体" w:eastAsia="黑体" w:hAnsi="黑体"/>
          <w:b w:val="0"/>
          <w:bCs w:val="0"/>
          <w:color w:val="000000" w:themeColor="text1"/>
          <w:szCs w:val="30"/>
        </w:rPr>
        <w:t>注重工业产业智造，赋能经济高质量新发展</w:t>
      </w:r>
      <w:bookmarkEnd w:id="23"/>
    </w:p>
    <w:p w:rsidR="005F6673" w:rsidRDefault="005B091D" w:rsidP="00A769A6">
      <w:pPr>
        <w:spacing w:beforeLines="50"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(一)高质量推进</w:t>
      </w:r>
      <w:r w:rsidR="005F6673" w:rsidRPr="001F1D4E">
        <w:rPr>
          <w:rFonts w:ascii="楷体_GB2312" w:eastAsia="楷体_GB2312" w:hAnsi="楷体_GB2312" w:cs="楷体_GB2312" w:hint="eastAsia"/>
          <w:b/>
          <w:bCs/>
          <w:color w:val="000000" w:themeColor="text1"/>
          <w:sz w:val="32"/>
        </w:rPr>
        <w:t>园区</w:t>
      </w:r>
      <w:r>
        <w:rPr>
          <w:rFonts w:ascii="楷体_GB2312" w:eastAsia="楷体_GB2312" w:hAnsi="楷体_GB2312" w:cs="楷体_GB2312" w:hint="eastAsia"/>
          <w:b/>
          <w:bCs/>
          <w:color w:val="000000" w:themeColor="text1"/>
          <w:sz w:val="32"/>
        </w:rPr>
        <w:t>建设，提升产业集约集聚发展水平。</w:t>
      </w:r>
      <w:r w:rsidR="005F6673" w:rsidRPr="001F1D4E">
        <w:rPr>
          <w:rFonts w:ascii="仿宋_GB2312" w:eastAsia="仿宋_GB2312" w:hAnsi="仿宋_GB2312" w:cs="仿宋_GB2312" w:hint="eastAsia"/>
          <w:color w:val="000000" w:themeColor="text1"/>
          <w:sz w:val="32"/>
          <w:szCs w:val="32"/>
        </w:rPr>
        <w:t>按照“兴工强县”总</w:t>
      </w:r>
      <w:r w:rsidR="00F13987" w:rsidRPr="001F1D4E">
        <w:rPr>
          <w:rFonts w:ascii="仿宋_GB2312" w:eastAsia="仿宋_GB2312" w:hAnsi="仿宋_GB2312" w:cs="仿宋_GB2312" w:hint="eastAsia"/>
          <w:color w:val="000000" w:themeColor="text1"/>
          <w:sz w:val="32"/>
          <w:szCs w:val="32"/>
        </w:rPr>
        <w:t>要求</w:t>
      </w:r>
      <w:r w:rsidR="005F6673" w:rsidRPr="001F1D4E">
        <w:rPr>
          <w:rFonts w:ascii="仿宋_GB2312" w:eastAsia="仿宋_GB2312" w:hAnsi="仿宋_GB2312" w:cs="仿宋_GB2312" w:hint="eastAsia"/>
          <w:color w:val="000000" w:themeColor="text1"/>
          <w:sz w:val="32"/>
          <w:szCs w:val="32"/>
        </w:rPr>
        <w:t>，</w:t>
      </w:r>
      <w:r w:rsidR="00D55445" w:rsidRPr="001F1D4E">
        <w:rPr>
          <w:rFonts w:ascii="仿宋_GB2312" w:eastAsia="仿宋_GB2312" w:hAnsi="仿宋_GB2312" w:cs="仿宋_GB2312" w:hint="eastAsia"/>
          <w:color w:val="000000" w:themeColor="text1"/>
          <w:sz w:val="32"/>
          <w:szCs w:val="32"/>
        </w:rPr>
        <w:t>围绕</w:t>
      </w:r>
      <w:r w:rsidR="005F6673" w:rsidRPr="001F1D4E">
        <w:rPr>
          <w:rFonts w:ascii="仿宋_GB2312" w:eastAsia="仿宋_GB2312" w:hAnsi="仿宋_GB2312" w:cs="仿宋_GB2312" w:hint="eastAsia"/>
          <w:color w:val="000000" w:themeColor="text1"/>
          <w:sz w:val="32"/>
          <w:szCs w:val="32"/>
        </w:rPr>
        <w:t>“一区两园两基地”</w:t>
      </w:r>
      <w:r w:rsidR="00D55445" w:rsidRPr="001F1D4E">
        <w:rPr>
          <w:rFonts w:ascii="仿宋_GB2312" w:eastAsia="仿宋_GB2312" w:hAnsi="仿宋_GB2312" w:cs="仿宋_GB2312" w:hint="eastAsia"/>
          <w:color w:val="000000" w:themeColor="text1"/>
          <w:sz w:val="32"/>
          <w:szCs w:val="32"/>
        </w:rPr>
        <w:t>总体</w:t>
      </w:r>
      <w:r w:rsidR="005F6673" w:rsidRPr="001F1D4E">
        <w:rPr>
          <w:rFonts w:ascii="仿宋_GB2312" w:eastAsia="仿宋_GB2312" w:hAnsi="仿宋_GB2312" w:cs="仿宋_GB2312" w:hint="eastAsia"/>
          <w:color w:val="000000" w:themeColor="text1"/>
          <w:sz w:val="32"/>
          <w:szCs w:val="32"/>
        </w:rPr>
        <w:t>规划</w:t>
      </w:r>
      <w:r w:rsidR="00F13987" w:rsidRPr="001F1D4E">
        <w:rPr>
          <w:rFonts w:ascii="仿宋_GB2312" w:eastAsia="仿宋_GB2312" w:hAnsi="仿宋_GB2312" w:cs="仿宋_GB2312" w:hint="eastAsia"/>
          <w:color w:val="000000" w:themeColor="text1"/>
          <w:sz w:val="32"/>
          <w:szCs w:val="32"/>
        </w:rPr>
        <w:t>（一区：溆浦产业开发区，两园：红花园工业园、大江口工业园，两基地：北部硅砂基地和南部石材基地）</w:t>
      </w:r>
      <w:r w:rsidR="00D55445" w:rsidRPr="001F1D4E">
        <w:rPr>
          <w:rFonts w:ascii="仿宋_GB2312" w:eastAsia="仿宋_GB2312" w:hAnsi="仿宋_GB2312" w:cs="仿宋_GB2312" w:hint="eastAsia"/>
          <w:color w:val="000000" w:themeColor="text1"/>
          <w:sz w:val="32"/>
          <w:szCs w:val="32"/>
        </w:rPr>
        <w:t xml:space="preserve">， </w:t>
      </w:r>
      <w:r w:rsidR="005F6673" w:rsidRPr="001F1D4E">
        <w:rPr>
          <w:rFonts w:ascii="仿宋_GB2312" w:eastAsia="仿宋_GB2312" w:hAnsi="仿宋_GB2312" w:cs="仿宋_GB2312" w:hint="eastAsia"/>
          <w:color w:val="000000" w:themeColor="text1"/>
          <w:sz w:val="32"/>
          <w:szCs w:val="32"/>
        </w:rPr>
        <w:t>“一主</w:t>
      </w:r>
      <w:r w:rsidR="00BB35B1" w:rsidRPr="001F1D4E">
        <w:rPr>
          <w:rFonts w:ascii="仿宋_GB2312" w:eastAsia="仿宋_GB2312" w:hAnsi="仿宋_GB2312" w:cs="仿宋_GB2312" w:hint="eastAsia"/>
          <w:color w:val="000000" w:themeColor="text1"/>
          <w:sz w:val="32"/>
          <w:szCs w:val="32"/>
        </w:rPr>
        <w:t>两</w:t>
      </w:r>
      <w:r w:rsidR="005F6673" w:rsidRPr="001F1D4E">
        <w:rPr>
          <w:rFonts w:ascii="仿宋_GB2312" w:eastAsia="仿宋_GB2312" w:hAnsi="仿宋_GB2312" w:cs="仿宋_GB2312" w:hint="eastAsia"/>
          <w:color w:val="000000" w:themeColor="text1"/>
          <w:sz w:val="32"/>
          <w:szCs w:val="32"/>
        </w:rPr>
        <w:t>特”</w:t>
      </w:r>
      <w:r w:rsidR="00D55445" w:rsidRPr="001F1D4E">
        <w:rPr>
          <w:rFonts w:ascii="仿宋_GB2312" w:eastAsia="仿宋_GB2312" w:hAnsi="仿宋_GB2312" w:cs="仿宋_GB2312" w:hint="eastAsia"/>
          <w:color w:val="000000" w:themeColor="text1"/>
          <w:sz w:val="32"/>
          <w:szCs w:val="32"/>
        </w:rPr>
        <w:t>重点方向</w:t>
      </w:r>
      <w:r w:rsidR="005F6673" w:rsidRPr="001F1D4E">
        <w:rPr>
          <w:rFonts w:ascii="仿宋_GB2312" w:eastAsia="仿宋_GB2312" w:hAnsi="仿宋_GB2312" w:cs="仿宋_GB2312" w:hint="eastAsia"/>
          <w:color w:val="000000" w:themeColor="text1"/>
          <w:sz w:val="32"/>
          <w:szCs w:val="32"/>
        </w:rPr>
        <w:t>，</w:t>
      </w:r>
      <w:r w:rsidR="00BB35B1" w:rsidRPr="001F1D4E">
        <w:rPr>
          <w:rFonts w:ascii="仿宋_GB2312" w:eastAsia="仿宋_GB2312" w:hAnsi="仿宋_GB2312" w:cs="仿宋_GB2312" w:hint="eastAsia"/>
          <w:color w:val="000000" w:themeColor="text1"/>
          <w:sz w:val="32"/>
          <w:szCs w:val="32"/>
        </w:rPr>
        <w:t>有序推进园区建设</w:t>
      </w:r>
      <w:r w:rsidR="005F6673" w:rsidRPr="001F1D4E">
        <w:rPr>
          <w:rFonts w:ascii="仿宋_GB2312" w:eastAsia="仿宋_GB2312" w:hAnsi="仿宋_GB2312" w:cs="仿宋_GB2312" w:hint="eastAsia"/>
          <w:color w:val="000000" w:themeColor="text1"/>
          <w:sz w:val="32"/>
          <w:szCs w:val="32"/>
        </w:rPr>
        <w:t>。同时</w:t>
      </w:r>
      <w:r w:rsidR="00D55445" w:rsidRPr="001F1D4E">
        <w:rPr>
          <w:rFonts w:ascii="仿宋_GB2312" w:eastAsia="仿宋_GB2312" w:hAnsi="仿宋_GB2312" w:cs="仿宋_GB2312" w:hint="eastAsia"/>
          <w:color w:val="000000" w:themeColor="text1"/>
          <w:sz w:val="32"/>
          <w:szCs w:val="32"/>
        </w:rPr>
        <w:t>，</w:t>
      </w:r>
      <w:r w:rsidR="005F6673">
        <w:rPr>
          <w:rFonts w:ascii="仿宋_GB2312" w:eastAsia="仿宋_GB2312" w:hAnsi="仿宋_GB2312" w:cs="仿宋_GB2312" w:hint="eastAsia"/>
          <w:color w:val="000000" w:themeColor="text1"/>
          <w:sz w:val="32"/>
          <w:szCs w:val="32"/>
        </w:rPr>
        <w:t>以</w:t>
      </w:r>
      <w:r w:rsidR="00D55445" w:rsidRPr="001F1D4E">
        <w:rPr>
          <w:rFonts w:ascii="仿宋_GB2312" w:eastAsia="仿宋_GB2312" w:hAnsi="仿宋_GB2312" w:cs="仿宋_GB2312" w:hint="eastAsia"/>
          <w:color w:val="000000" w:themeColor="text1"/>
          <w:sz w:val="32"/>
          <w:szCs w:val="32"/>
        </w:rPr>
        <w:t>共建园区</w:t>
      </w:r>
      <w:r w:rsidR="005F6673" w:rsidRPr="001F1D4E">
        <w:rPr>
          <w:rFonts w:ascii="仿宋_GB2312" w:eastAsia="仿宋_GB2312" w:hAnsi="仿宋_GB2312" w:cs="仿宋_GB2312" w:hint="eastAsia"/>
          <w:color w:val="000000" w:themeColor="text1"/>
          <w:sz w:val="32"/>
          <w:szCs w:val="32"/>
        </w:rPr>
        <w:t>为</w:t>
      </w:r>
      <w:r w:rsidR="005F6673">
        <w:rPr>
          <w:rFonts w:ascii="仿宋_GB2312" w:eastAsia="仿宋_GB2312" w:hAnsi="仿宋_GB2312" w:cs="仿宋_GB2312" w:hint="eastAsia"/>
          <w:color w:val="000000" w:themeColor="text1"/>
          <w:sz w:val="32"/>
          <w:szCs w:val="32"/>
        </w:rPr>
        <w:t>抓手，认真落实雨溆对口帮扶“一园一品一机制”，全力推进“雨溆工业园”建设。推动已签约项目和洽谈项目加快落地，</w:t>
      </w:r>
      <w:r w:rsidR="005F6673" w:rsidRPr="001F1D4E">
        <w:rPr>
          <w:rFonts w:ascii="仿宋_GB2312" w:eastAsia="仿宋_GB2312" w:hAnsi="仿宋_GB2312" w:cs="仿宋_GB2312" w:hint="eastAsia"/>
          <w:color w:val="000000" w:themeColor="text1"/>
          <w:sz w:val="32"/>
          <w:szCs w:val="32"/>
        </w:rPr>
        <w:t>确保实现伟明省长提出的2023年底实现“121”和2025年底实现“515”的目标。</w:t>
      </w:r>
      <w:r w:rsidR="005F6673">
        <w:rPr>
          <w:rFonts w:ascii="仿宋_GB2312" w:eastAsia="仿宋_GB2312" w:hAnsi="仿宋_GB2312" w:cs="仿宋_GB2312" w:hint="eastAsia"/>
          <w:color w:val="000000" w:themeColor="text1"/>
          <w:sz w:val="32"/>
          <w:szCs w:val="32"/>
        </w:rPr>
        <w:t>狠抓“五好园区”建设，着力完善道路、消防、水电等基础设施和自来水厂、仓储物流等配套设施建设，加快完成调区扩区。积极申报</w:t>
      </w:r>
      <w:r w:rsidR="005F6673" w:rsidRPr="001F1D4E">
        <w:rPr>
          <w:rFonts w:ascii="仿宋_GB2312" w:eastAsia="仿宋_GB2312" w:hAnsi="仿宋_GB2312" w:cs="仿宋_GB2312" w:hint="eastAsia"/>
          <w:color w:val="000000" w:themeColor="text1"/>
          <w:sz w:val="32"/>
          <w:szCs w:val="32"/>
        </w:rPr>
        <w:t>新设立</w:t>
      </w:r>
      <w:r w:rsidR="005F6673">
        <w:rPr>
          <w:rFonts w:ascii="仿宋_GB2312" w:eastAsia="仿宋_GB2312" w:hAnsi="仿宋_GB2312" w:cs="仿宋_GB2312" w:hint="eastAsia"/>
          <w:color w:val="000000" w:themeColor="text1"/>
          <w:sz w:val="32"/>
          <w:szCs w:val="32"/>
        </w:rPr>
        <w:t>大江口化工产业园，推动湘维公司4条老生产线和7条新生产线满负荷生产。全力确保</w:t>
      </w:r>
      <w:r w:rsidR="005F6673" w:rsidRPr="001F1D4E">
        <w:rPr>
          <w:rFonts w:ascii="仿宋_GB2312" w:eastAsia="仿宋_GB2312" w:hAnsi="仿宋_GB2312" w:cs="仿宋_GB2312" w:hint="eastAsia"/>
          <w:color w:val="000000" w:themeColor="text1"/>
          <w:sz w:val="32"/>
          <w:szCs w:val="32"/>
        </w:rPr>
        <w:t>鸿新实业新材料系列项目全面投产</w:t>
      </w:r>
      <w:r w:rsidR="005F6673">
        <w:rPr>
          <w:rFonts w:ascii="仿宋_GB2312" w:eastAsia="仿宋_GB2312" w:hAnsi="仿宋_GB2312" w:cs="仿宋_GB2312" w:hint="eastAsia"/>
          <w:color w:val="000000" w:themeColor="text1"/>
          <w:sz w:val="32"/>
          <w:szCs w:val="32"/>
        </w:rPr>
        <w:t>，全面开展硅砂资源勘探，加快福耀集团铸造砂等下游产业链重点项目落地开工。加快制造业绿色低碳转型发展，稳步推进龙潭片区石材矿权整合，推动江龙锰业技改升级。精准开展招商引资。加快制定产业招商的现状图、全景图和远景图，建好项目资源库，瞄准行业龙头领军企业定向发力。</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(二)落实工业倍增行动计划，助力传统制造业转型升级。</w:t>
      </w:r>
      <w:r>
        <w:rPr>
          <w:rFonts w:ascii="仿宋_GB2312" w:eastAsia="仿宋_GB2312" w:hAnsi="仿宋_GB2312" w:cs="仿宋_GB2312" w:hint="eastAsia"/>
          <w:color w:val="000000" w:themeColor="text1"/>
          <w:sz w:val="32"/>
          <w:szCs w:val="32"/>
        </w:rPr>
        <w:t>深入实施高新技术企业培育行动和“专精特新”中小企业培育计划，培育一批科技小巨人企业，新培育省级以上专精特新</w:t>
      </w:r>
      <w:r>
        <w:rPr>
          <w:rFonts w:ascii="仿宋_GB2312" w:eastAsia="仿宋_GB2312" w:hAnsi="仿宋_GB2312" w:cs="仿宋_GB2312" w:hint="eastAsia"/>
          <w:color w:val="000000" w:themeColor="text1"/>
          <w:sz w:val="32"/>
          <w:szCs w:val="32"/>
        </w:rPr>
        <w:lastRenderedPageBreak/>
        <w:t>“小巨人”企业</w:t>
      </w:r>
      <w:r w:rsidR="004218D6" w:rsidRPr="001F1D4E">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家、高新技术企业16家，积极发挥技术联盟、行业联盟的作用，加强大中小企业协作配套。大力发展先进制造业，打造先进硅材料制造、</w:t>
      </w:r>
      <w:r w:rsidR="004218D6" w:rsidRPr="001F1D4E">
        <w:rPr>
          <w:rFonts w:ascii="仿宋_GB2312" w:eastAsia="仿宋_GB2312" w:hAnsi="仿宋_GB2312" w:cs="仿宋_GB2312" w:hint="eastAsia"/>
          <w:color w:val="000000" w:themeColor="text1"/>
          <w:sz w:val="32"/>
          <w:szCs w:val="32"/>
        </w:rPr>
        <w:t>化工新材料</w:t>
      </w:r>
      <w:r w:rsidR="004218D6">
        <w:rPr>
          <w:rFonts w:ascii="仿宋_GB2312" w:eastAsia="仿宋_GB2312" w:hAnsi="仿宋_GB2312" w:cs="仿宋_GB2312" w:hint="eastAsia"/>
          <w:color w:val="000000" w:themeColor="text1"/>
          <w:sz w:val="32"/>
          <w:szCs w:val="32"/>
        </w:rPr>
        <w:t>、</w:t>
      </w:r>
      <w:r w:rsidR="004218D6" w:rsidRPr="001F1D4E">
        <w:rPr>
          <w:rFonts w:ascii="仿宋_GB2312" w:eastAsia="仿宋_GB2312" w:hAnsi="仿宋_GB2312" w:cs="仿宋_GB2312" w:hint="eastAsia"/>
          <w:color w:val="000000" w:themeColor="text1"/>
          <w:sz w:val="32"/>
          <w:szCs w:val="32"/>
        </w:rPr>
        <w:t>文创体育、</w:t>
      </w:r>
      <w:r>
        <w:rPr>
          <w:rFonts w:ascii="仿宋_GB2312" w:eastAsia="仿宋_GB2312" w:hAnsi="仿宋_GB2312" w:cs="仿宋_GB2312" w:hint="eastAsia"/>
          <w:color w:val="000000" w:themeColor="text1"/>
          <w:sz w:val="32"/>
          <w:szCs w:val="32"/>
        </w:rPr>
        <w:t>金属制品等重要产业基地，试点建设数字化车间、智能工厂，发展智能制造装备和产品，推动企业运用互联网技术开展各类创新，实现从制造向“制造+服务”转型升级。推动绿色发展行动，鼓励企业实施节能项目及资源综合利用项目。助推信息化发展，促进中小企业两化融合创新发展，支持两化融合重点项目建设。</w:t>
      </w:r>
    </w:p>
    <w:p w:rsidR="00564FC7"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(三)找准发力点，促进现代服务业加速发展。</w:t>
      </w:r>
      <w:r>
        <w:rPr>
          <w:rFonts w:ascii="仿宋_GB2312" w:eastAsia="仿宋_GB2312" w:hAnsi="仿宋_GB2312" w:cs="仿宋_GB2312" w:hint="eastAsia"/>
          <w:color w:val="000000" w:themeColor="text1"/>
          <w:sz w:val="32"/>
          <w:szCs w:val="32"/>
        </w:rPr>
        <w:t>大力培植高端酒店用品产业等大消费、大健康、大旅游产业，积极与中国酒店用品产业协会合作，科学承接产业转移，完善现代服务业发展政策。认真谋划高端酒店产业基地，加快建设具有区域竞争力的先进制造业和现代服务业基地。以贯通“山背—北斗溪—穿岩山—思蒙”黄金旅游通道为依托，加快推进高铁南站旅游综合服务区、山背花瑶梯田景区观光索道、桥江至思蒙公路等重点项目建设，辐射带动周边龙潭、两丫坪、三江、水东、大江口等片区优势旅游资源开发，做强做优“锦绣潇湘·神韵雪峰”旅游板块。力争将穿岩山打造成5A景区或国家级旅游度假区，加快推进山背花瑶梯田4A景区创建工作，建设四星级旅游酒店2家、五星级1家，全力支持雪峰山文旅集团上市。</w:t>
      </w:r>
    </w:p>
    <w:p w:rsidR="000B0562" w:rsidRPr="00803EF6" w:rsidRDefault="005B091D" w:rsidP="00A769A6">
      <w:pPr>
        <w:ind w:firstLineChars="200" w:firstLine="640"/>
        <w:rPr>
          <w:rFonts w:ascii="仿宋" w:eastAsia="仿宋" w:hAnsi="仿宋" w:cs="仿宋"/>
          <w:sz w:val="32"/>
          <w:szCs w:val="32"/>
        </w:rPr>
      </w:pPr>
      <w:r>
        <w:rPr>
          <w:rFonts w:ascii="楷体_GB2312" w:eastAsia="楷体_GB2312" w:hAnsi="楷体_GB2312" w:cs="楷体_GB2312" w:hint="eastAsia"/>
          <w:b/>
          <w:bCs/>
          <w:color w:val="000000" w:themeColor="text1"/>
          <w:sz w:val="32"/>
        </w:rPr>
        <w:lastRenderedPageBreak/>
        <w:t>(四)推进供给侧结构性改革，加快发展都市型现代农业。</w:t>
      </w:r>
      <w:r>
        <w:rPr>
          <w:rFonts w:ascii="仿宋_GB2312" w:eastAsia="仿宋_GB2312" w:hAnsi="仿宋_GB2312" w:cs="仿宋_GB2312" w:hint="eastAsia"/>
          <w:color w:val="000000" w:themeColor="text1"/>
          <w:sz w:val="32"/>
          <w:szCs w:val="32"/>
        </w:rPr>
        <w:t>坚持用工业化理念发展现代农业，坚定不移走园区化、标准化、规模化、科技化、市场化、品牌化道路。大力推进省级农村产业融合发展示范园、现代化农业产业园建设。开展优势特色产业提升行动，调整优化农业生产力布局，</w:t>
      </w:r>
      <w:r w:rsidR="00803EF6">
        <w:rPr>
          <w:rFonts w:ascii="仿宋_GB2312" w:eastAsia="仿宋_GB2312" w:hAnsi="仿宋_GB2312" w:cs="仿宋_GB2312" w:hint="eastAsia"/>
          <w:color w:val="000000" w:themeColor="text1"/>
          <w:sz w:val="32"/>
          <w:szCs w:val="32"/>
        </w:rPr>
        <w:t>加快推进</w:t>
      </w:r>
      <w:r w:rsidR="00B331F7" w:rsidRPr="001F1D4E">
        <w:rPr>
          <w:rFonts w:ascii="仿宋_GB2312" w:eastAsia="仿宋_GB2312" w:hAnsi="仿宋_GB2312" w:cs="仿宋_GB2312" w:hint="eastAsia"/>
          <w:color w:val="000000" w:themeColor="text1"/>
          <w:sz w:val="32"/>
          <w:szCs w:val="32"/>
        </w:rPr>
        <w:t>现代中药</w:t>
      </w:r>
      <w:r w:rsidR="00803EF6" w:rsidRPr="001F1D4E">
        <w:rPr>
          <w:rFonts w:ascii="仿宋_GB2312" w:eastAsia="仿宋_GB2312" w:hAnsi="仿宋_GB2312" w:cs="仿宋_GB2312" w:hint="eastAsia"/>
          <w:color w:val="000000" w:themeColor="text1"/>
          <w:sz w:val="32"/>
          <w:szCs w:val="32"/>
        </w:rPr>
        <w:t>种植加工、种业及粮食加工</w:t>
      </w:r>
      <w:r w:rsidR="004D6FDE" w:rsidRPr="001F1D4E">
        <w:rPr>
          <w:rFonts w:ascii="仿宋_GB2312" w:eastAsia="仿宋_GB2312" w:hAnsi="仿宋_GB2312" w:cs="仿宋_GB2312" w:hint="eastAsia"/>
          <w:color w:val="000000" w:themeColor="text1"/>
          <w:sz w:val="32"/>
          <w:szCs w:val="32"/>
        </w:rPr>
        <w:t>、油茶、水果、现代</w:t>
      </w:r>
      <w:r w:rsidR="00B331F7" w:rsidRPr="001F1D4E">
        <w:rPr>
          <w:rFonts w:ascii="仿宋_GB2312" w:eastAsia="仿宋_GB2312" w:hAnsi="仿宋_GB2312" w:cs="仿宋_GB2312" w:hint="eastAsia"/>
          <w:color w:val="000000" w:themeColor="text1"/>
          <w:sz w:val="32"/>
          <w:szCs w:val="32"/>
        </w:rPr>
        <w:t>畜牧</w:t>
      </w:r>
      <w:r w:rsidR="00803EF6" w:rsidRPr="001F1D4E">
        <w:rPr>
          <w:rFonts w:ascii="仿宋_GB2312" w:eastAsia="仿宋_GB2312" w:hAnsi="仿宋_GB2312" w:cs="仿宋_GB2312" w:hint="eastAsia"/>
          <w:color w:val="000000" w:themeColor="text1"/>
          <w:sz w:val="32"/>
          <w:szCs w:val="32"/>
        </w:rPr>
        <w:t>等</w:t>
      </w:r>
      <w:r w:rsidR="00803EF6">
        <w:rPr>
          <w:rFonts w:ascii="仿宋_GB2312" w:eastAsia="仿宋_GB2312" w:hAnsi="仿宋_GB2312" w:cs="仿宋_GB2312" w:hint="eastAsia"/>
          <w:color w:val="000000" w:themeColor="text1"/>
          <w:sz w:val="32"/>
          <w:szCs w:val="32"/>
        </w:rPr>
        <w:t>重点</w:t>
      </w:r>
      <w:r w:rsidR="00803EF6" w:rsidRPr="00803EF6">
        <w:rPr>
          <w:rFonts w:ascii="仿宋_GB2312" w:eastAsia="仿宋_GB2312" w:hAnsi="仿宋_GB2312" w:cs="仿宋_GB2312" w:hint="eastAsia"/>
          <w:color w:val="000000" w:themeColor="text1"/>
          <w:sz w:val="32"/>
          <w:szCs w:val="32"/>
        </w:rPr>
        <w:t>产业链建设</w:t>
      </w:r>
      <w:r>
        <w:rPr>
          <w:rFonts w:ascii="仿宋_GB2312" w:eastAsia="仿宋_GB2312" w:hAnsi="仿宋_GB2312" w:cs="仿宋_GB2312" w:hint="eastAsia"/>
          <w:color w:val="000000" w:themeColor="text1"/>
          <w:sz w:val="32"/>
          <w:szCs w:val="32"/>
        </w:rPr>
        <w:t>，加速培育“产业+”“乡村旅游+”“美丽乡村+”等农业发展新业态新模式。以雪峰食品、淳香果业、绿之然、翱康生物、万木春等龙头企业为引领，培育壮大柑橘、中药材、油茶、茶叶等特色产业规模，实现柑橘面积达到25万亩，中药材种植面积达到15万亩，茶叶面积达到6万亩，油茶面积达到35万亩。开展品牌农业创建行动，按照“一村一品”发展格局，重点打造区域公共品牌，鼓励企业创建“三品一标”。依靠科技、整合各级各类涉农资金，搭建各类农业载体平台，集中打造一批上规模、上档次的高效生态农业示范基地、高标准农业示范区。更好发挥农村产权交易中心作用，持续推进农村“三社合一”改革。</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24" w:name="_Toc14951"/>
      <w:r>
        <w:rPr>
          <w:rFonts w:ascii="黑体" w:eastAsia="黑体" w:hAnsi="黑体" w:hint="eastAsia"/>
          <w:b w:val="0"/>
          <w:bCs w:val="0"/>
          <w:color w:val="000000" w:themeColor="text1"/>
          <w:szCs w:val="30"/>
        </w:rPr>
        <w:t>二、</w:t>
      </w:r>
      <w:r>
        <w:rPr>
          <w:rFonts w:ascii="黑体" w:eastAsia="黑体" w:hAnsi="黑体"/>
          <w:b w:val="0"/>
          <w:bCs w:val="0"/>
          <w:color w:val="000000" w:themeColor="text1"/>
          <w:szCs w:val="30"/>
        </w:rPr>
        <w:t>推动区域联动发展，全面深入推进改革开放</w:t>
      </w:r>
      <w:bookmarkEnd w:id="24"/>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（一）</w:t>
      </w:r>
      <w:r w:rsidR="005B091D">
        <w:rPr>
          <w:rFonts w:ascii="楷体_GB2312" w:eastAsia="楷体_GB2312" w:hAnsi="楷体_GB2312" w:cs="楷体_GB2312" w:hint="eastAsia"/>
          <w:b/>
          <w:bCs/>
          <w:color w:val="000000" w:themeColor="text1"/>
          <w:sz w:val="32"/>
        </w:rPr>
        <w:t>推动区域联动发展。</w:t>
      </w:r>
      <w:r w:rsidR="005B091D">
        <w:rPr>
          <w:rFonts w:ascii="仿宋_GB2312" w:eastAsia="仿宋_GB2312" w:hAnsi="仿宋_GB2312" w:cs="仿宋_GB2312" w:hint="eastAsia"/>
          <w:color w:val="000000" w:themeColor="text1"/>
          <w:sz w:val="32"/>
          <w:szCs w:val="32"/>
        </w:rPr>
        <w:t>主动对接、积极融入怀化“西部陆海新通道战略门户城市”“国际陆港”和东盟物流产业园建设，以国家冷链物流产业合作试点为契机，以中通快递湘西</w:t>
      </w:r>
      <w:r w:rsidR="005B091D">
        <w:rPr>
          <w:rFonts w:ascii="仿宋_GB2312" w:eastAsia="仿宋_GB2312" w:hAnsi="仿宋_GB2312" w:cs="仿宋_GB2312" w:hint="eastAsia"/>
          <w:color w:val="000000" w:themeColor="text1"/>
          <w:sz w:val="32"/>
          <w:szCs w:val="32"/>
        </w:rPr>
        <w:lastRenderedPageBreak/>
        <w:t>智能科技电商产业园为平台，全力推进安溆、溆洞高速建设，统筹抓好国省干线提质升级，完善县乡村路网结构，加快形成“东出西进、南下北上”的十字立体交通体系，以交通条件“大改善”推动物流成本“大下降”，全力建设怀化东北部重要电子商贸和物流产业集聚区，着力打造东进长株潭、西连大西南的战略门户。</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（二）</w:t>
      </w:r>
      <w:r w:rsidR="005B091D">
        <w:rPr>
          <w:rFonts w:ascii="楷体_GB2312" w:eastAsia="楷体_GB2312" w:hAnsi="楷体_GB2312" w:cs="楷体_GB2312" w:hint="eastAsia"/>
          <w:b/>
          <w:bCs/>
          <w:color w:val="000000" w:themeColor="text1"/>
          <w:sz w:val="32"/>
        </w:rPr>
        <w:t>强化对外改革开放。</w:t>
      </w:r>
      <w:r w:rsidR="005B091D">
        <w:rPr>
          <w:rFonts w:ascii="仿宋_GB2312" w:eastAsia="仿宋_GB2312" w:hAnsi="仿宋_GB2312" w:cs="仿宋_GB2312" w:hint="eastAsia"/>
          <w:color w:val="000000" w:themeColor="text1"/>
          <w:sz w:val="32"/>
          <w:szCs w:val="32"/>
        </w:rPr>
        <w:t>极融入怀化国际陆港建设，按照“融港兴产、以产兴园、带动全域、辐射周边”的理念，着力将溆浦打造成为怀化东部的区域商贸中心。一是加快推进项目建设，提质升级县城、低庄、大江口3个火车货运站，打造吞吐量1000万吨的铁路货运物流中心，规划建设公铁水联运的物流产业园。大力推进安溆、溆洞高速开工建设，加快推进桥思公路等国省干线建设，全力推动溆浦大桥、大江口大桥建成通车。高规格、高起点建设快递分拣中心。二是加快培育外贸产业，突出抓好本地集货，推动湘维公司PVA等化工产品出口东盟，大力发展生物医药、家电家具、鞋服箱包等特色轻工产业，形成大宗商品出口货源。依托中通快递物流产业园，围绕木薯粉、橡胶、水果等大宗商品，加快引入与东盟产业互补的外贸型产业。三是加快发展对外贸易，与自贸雨花区、雨花经开区和“红星”“高桥”两大市场开展深度合作，积极创建湖南自贸协同联动区，大力推进外贸业绩回流专项行动。此外，抢抓湘南湘西承接产业转移示范</w:t>
      </w:r>
      <w:r w:rsidR="005B091D">
        <w:rPr>
          <w:rFonts w:ascii="仿宋_GB2312" w:eastAsia="仿宋_GB2312" w:hAnsi="仿宋_GB2312" w:cs="仿宋_GB2312" w:hint="eastAsia"/>
          <w:color w:val="000000" w:themeColor="text1"/>
          <w:sz w:val="32"/>
          <w:szCs w:val="32"/>
        </w:rPr>
        <w:lastRenderedPageBreak/>
        <w:t>区建设的难得机遇，坚持共商共建共享，积极开展“迎老乡、回故乡、建家乡”活动，加大招商引资力度，全力引进一批市场前景好、环境污染少、就业人数多、财政贡献大、带动能力强的重大产业项目，全力争取招商引资。积极参加“港洽周”“广交会”，全面落实外经外贸政策，推动县内企业由代理出口向自营出口转变，力争提升对外贸易进出口总额。</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（三）</w:t>
      </w:r>
      <w:r w:rsidR="005B091D">
        <w:rPr>
          <w:rFonts w:ascii="楷体_GB2312" w:eastAsia="楷体_GB2312" w:hAnsi="楷体_GB2312" w:cs="楷体_GB2312" w:hint="eastAsia"/>
          <w:b/>
          <w:bCs/>
          <w:color w:val="000000" w:themeColor="text1"/>
          <w:sz w:val="32"/>
        </w:rPr>
        <w:t>全面持续深化改革。</w:t>
      </w:r>
      <w:r w:rsidR="005B091D">
        <w:rPr>
          <w:rFonts w:ascii="仿宋_GB2312" w:eastAsia="仿宋_GB2312" w:hAnsi="仿宋_GB2312" w:cs="仿宋_GB2312" w:hint="eastAsia"/>
          <w:color w:val="000000" w:themeColor="text1"/>
          <w:sz w:val="32"/>
          <w:szCs w:val="32"/>
        </w:rPr>
        <w:t>保质保量完成机构改革任务，持续深化省直管县经济体制改革，全面推进供给侧结构性改革，积极抓好“三去一降一补”各项工作。深入推进“放管服”改革，落实简政放权、放管结合、优化服务各项措施。认真完成投融资平台体制改革，着力化解政府债务风险。继续抓好产业园区、新型城镇化、不动产统一登记、生态文明体制、社会保障制度、产权制度、农业农村等重点体制机制改革，不断激发工作活力。</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25" w:name="_Toc5048"/>
      <w:r>
        <w:rPr>
          <w:rFonts w:ascii="黑体" w:eastAsia="黑体" w:hAnsi="黑体" w:hint="eastAsia"/>
          <w:b w:val="0"/>
          <w:bCs w:val="0"/>
          <w:color w:val="000000" w:themeColor="text1"/>
          <w:szCs w:val="30"/>
        </w:rPr>
        <w:t>三、营造良好营商环境，助力民营经济创新发展</w:t>
      </w:r>
      <w:bookmarkEnd w:id="25"/>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（一）</w:t>
      </w:r>
      <w:r w:rsidR="00E165D5">
        <w:rPr>
          <w:rFonts w:ascii="楷体_GB2312" w:eastAsia="楷体_GB2312" w:hAnsi="楷体_GB2312" w:cs="楷体_GB2312" w:hint="eastAsia"/>
          <w:b/>
          <w:bCs/>
          <w:color w:val="000000" w:themeColor="text1"/>
          <w:sz w:val="32"/>
        </w:rPr>
        <w:t>持续优化</w:t>
      </w:r>
      <w:r w:rsidR="005B091D">
        <w:rPr>
          <w:rFonts w:ascii="楷体_GB2312" w:eastAsia="楷体_GB2312" w:hAnsi="楷体_GB2312" w:cs="楷体_GB2312" w:hint="eastAsia"/>
          <w:b/>
          <w:bCs/>
          <w:color w:val="000000" w:themeColor="text1"/>
          <w:sz w:val="32"/>
        </w:rPr>
        <w:t>发展环境。</w:t>
      </w:r>
      <w:r w:rsidR="005B091D">
        <w:rPr>
          <w:rFonts w:ascii="仿宋_GB2312" w:eastAsia="仿宋_GB2312" w:hAnsi="仿宋_GB2312" w:cs="仿宋_GB2312" w:hint="eastAsia"/>
          <w:color w:val="000000" w:themeColor="text1"/>
          <w:sz w:val="32"/>
          <w:szCs w:val="32"/>
        </w:rPr>
        <w:t>坚决贯彻落实习近平生态文明思想，持续打好污染防治攻坚战，制定实施碳达峰、碳中和行动方案，着力建设生态保护和特色产业发展区，单位GDP能耗年均下降3.2%，城市空气质量达到国家二级标准，森林覆盖率达60.00%，成功创建国家生态文明建设示范县。持续深化“一件事一次办”改革，进一步简化办事流程、提高办事效率，提供“妈妈式”服务，构建亲清政商关系，打造公</w:t>
      </w:r>
      <w:r w:rsidR="005B091D">
        <w:rPr>
          <w:rFonts w:ascii="仿宋_GB2312" w:eastAsia="仿宋_GB2312" w:hAnsi="仿宋_GB2312" w:cs="仿宋_GB2312" w:hint="eastAsia"/>
          <w:color w:val="000000" w:themeColor="text1"/>
          <w:sz w:val="32"/>
          <w:szCs w:val="32"/>
        </w:rPr>
        <w:lastRenderedPageBreak/>
        <w:t>平高效市场环境，激发市场主体活力。大力实施“建链补链延链强链”工程，抢抓产业转移机遇，依托交通优势、人口优势、资源优势，开展精准招商、产业链招商、服务半径招商，新引进“三类500强”企业。</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（二）</w:t>
      </w:r>
      <w:r w:rsidR="005B091D">
        <w:rPr>
          <w:rFonts w:ascii="楷体_GB2312" w:eastAsia="楷体_GB2312" w:hAnsi="楷体_GB2312" w:cs="楷体_GB2312" w:hint="eastAsia"/>
          <w:b/>
          <w:bCs/>
          <w:color w:val="000000" w:themeColor="text1"/>
          <w:sz w:val="32"/>
        </w:rPr>
        <w:t>全面优化</w:t>
      </w:r>
      <w:r w:rsidR="00E165D5">
        <w:rPr>
          <w:rFonts w:ascii="楷体_GB2312" w:eastAsia="楷体_GB2312" w:hAnsi="楷体_GB2312" w:cs="楷体_GB2312" w:hint="eastAsia"/>
          <w:b/>
          <w:bCs/>
          <w:color w:val="000000" w:themeColor="text1"/>
          <w:sz w:val="32"/>
        </w:rPr>
        <w:t>政务</w:t>
      </w:r>
      <w:r w:rsidR="005B091D">
        <w:rPr>
          <w:rFonts w:ascii="楷体_GB2312" w:eastAsia="楷体_GB2312" w:hAnsi="楷体_GB2312" w:cs="楷体_GB2312" w:hint="eastAsia"/>
          <w:b/>
          <w:bCs/>
          <w:color w:val="000000" w:themeColor="text1"/>
          <w:sz w:val="32"/>
        </w:rPr>
        <w:t>环境。</w:t>
      </w:r>
      <w:r w:rsidR="005B091D">
        <w:rPr>
          <w:rFonts w:ascii="仿宋_GB2312" w:eastAsia="仿宋_GB2312" w:hAnsi="仿宋_GB2312" w:cs="仿宋_GB2312" w:hint="eastAsia"/>
          <w:color w:val="000000" w:themeColor="text1"/>
          <w:sz w:val="32"/>
          <w:szCs w:val="32"/>
        </w:rPr>
        <w:t>着力构建“亲”“清”政商关系，提振民营企业家信心，推动民营经济实现“两个健康发展”。积极对接“北上广”，大力实施“互联网+政务服务”，严肃查处“不作为、慢作为、乱作为、假作为”和“索拿卡要”等行为。坚决落实“四办”要求，让群众办事最多跑一次。建立完善重大项目建设环境联合协调机制，严厉打击非法阻工、强买强卖、强装强卸、强包强揽、非法买卖土地、非法处置国有“三资”等违法犯罪行为。加强招投标监管，从严查处围标串标、“提篮子”“打鸟”等违法违规行为。继续完善守信联合激励和失信联合惩戒机制，营造守信重诺、公平公正的市场环境。</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（三）</w:t>
      </w:r>
      <w:r w:rsidR="005B091D">
        <w:rPr>
          <w:rFonts w:ascii="楷体_GB2312" w:eastAsia="楷体_GB2312" w:hAnsi="楷体_GB2312" w:cs="楷体_GB2312" w:hint="eastAsia"/>
          <w:b/>
          <w:bCs/>
          <w:color w:val="000000" w:themeColor="text1"/>
          <w:sz w:val="32"/>
        </w:rPr>
        <w:t>强化要素供给保障。</w:t>
      </w:r>
      <w:r w:rsidR="005B091D">
        <w:rPr>
          <w:rFonts w:ascii="仿宋" w:eastAsia="仿宋" w:hAnsi="仿宋" w:cs="Times New Roman" w:hint="eastAsia"/>
          <w:color w:val="000000" w:themeColor="text1"/>
          <w:sz w:val="32"/>
          <w:szCs w:val="32"/>
        </w:rPr>
        <w:t>要</w:t>
      </w:r>
      <w:r w:rsidR="005B091D">
        <w:rPr>
          <w:rFonts w:ascii="仿宋_GB2312" w:eastAsia="仿宋_GB2312" w:hAnsi="仿宋_GB2312" w:cs="仿宋_GB2312" w:hint="eastAsia"/>
          <w:color w:val="000000" w:themeColor="text1"/>
          <w:sz w:val="32"/>
          <w:szCs w:val="32"/>
        </w:rPr>
        <w:t>将供给侧结构性改革和扩大内需有机结合起来，推动供给向中高端转变。一是强化土地保障。加快完成产业开发区调区扩区，全力保障“一区两园两基地”加快发展。对园区企业供而未用、用而未尽、建而未投、投而未达标的土地，坚决依法及时收回使用权。二是强化资金保障。积极争取中央预算内投资、专项债券、国家基础设施投资基金，切实加强银企对接，用好用活产业基金、融资担保等工具，积极争取怀化国际陆港发展基金支持。三</w:t>
      </w:r>
      <w:r w:rsidR="005B091D">
        <w:rPr>
          <w:rFonts w:ascii="仿宋_GB2312" w:eastAsia="仿宋_GB2312" w:hAnsi="仿宋_GB2312" w:cs="仿宋_GB2312" w:hint="eastAsia"/>
          <w:color w:val="000000" w:themeColor="text1"/>
          <w:sz w:val="32"/>
          <w:szCs w:val="32"/>
        </w:rPr>
        <w:lastRenderedPageBreak/>
        <w:t>是强化能源保障。加快启动“风光水储”新能源项目建设，切实完善水、电、气、油、煤等基础设施，推动国家天然气主干网管道年内联通至溆浦，启动“雨溆工业园”220kv变电站项目建设，切实降低企业用能成本。四是强化用工保障。大力培养产业技能人才，强化校企合作、产业对接，推动职业院校根据园区企业用工需要，开展“订单式”职业培训。五是优化营商环境。深化“放管服”改革、“三集”审批改革、园区项目“四即”改革。严格落实“双随机</w:t>
      </w:r>
      <w:r w:rsidR="00A769A6">
        <w:rPr>
          <w:rFonts w:ascii="仿宋_GB2312" w:eastAsia="仿宋_GB2312" w:hAnsi="仿宋_GB2312" w:cs="仿宋_GB2312" w:hint="eastAsia"/>
          <w:color w:val="000000" w:themeColor="text1"/>
          <w:sz w:val="32"/>
          <w:szCs w:val="32"/>
        </w:rPr>
        <w:t>、</w:t>
      </w:r>
      <w:r w:rsidR="005B091D">
        <w:rPr>
          <w:rFonts w:ascii="仿宋_GB2312" w:eastAsia="仿宋_GB2312" w:hAnsi="仿宋_GB2312" w:cs="仿宋_GB2312" w:hint="eastAsia"/>
          <w:color w:val="000000" w:themeColor="text1"/>
          <w:sz w:val="32"/>
          <w:szCs w:val="32"/>
        </w:rPr>
        <w:t>一公开”，做到有求必应、无事不扰。持续开展“纾困增效”和百名干部联百企行动，落实减税降费政策，不遗余力支持企业家以恒心办恒业。</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26" w:name="_Toc27820"/>
      <w:r>
        <w:rPr>
          <w:rFonts w:ascii="黑体" w:eastAsia="黑体" w:hAnsi="黑体" w:hint="eastAsia"/>
          <w:b w:val="0"/>
          <w:bCs w:val="0"/>
          <w:color w:val="000000" w:themeColor="text1"/>
          <w:szCs w:val="30"/>
        </w:rPr>
        <w:t>四、实施乡村振兴战略，构建城乡融合发展局面</w:t>
      </w:r>
      <w:bookmarkEnd w:id="26"/>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（一）</w:t>
      </w:r>
      <w:r w:rsidR="005B091D">
        <w:rPr>
          <w:rFonts w:ascii="楷体_GB2312" w:eastAsia="楷体_GB2312" w:hAnsi="楷体_GB2312" w:cs="楷体_GB2312" w:hint="eastAsia"/>
          <w:b/>
          <w:bCs/>
          <w:color w:val="000000" w:themeColor="text1"/>
          <w:sz w:val="32"/>
        </w:rPr>
        <w:t>完善城区功能品质，建设新型智慧城区。</w:t>
      </w:r>
      <w:r w:rsidR="005B091D">
        <w:rPr>
          <w:rFonts w:ascii="仿宋_GB2312" w:eastAsia="仿宋_GB2312" w:hAnsi="仿宋_GB2312" w:cs="仿宋_GB2312" w:hint="eastAsia"/>
          <w:color w:val="000000" w:themeColor="text1"/>
          <w:sz w:val="32"/>
          <w:szCs w:val="32"/>
        </w:rPr>
        <w:t>围绕“一核三极七星”区域发展布局，加快推进以人为核心的新型城镇化，坚持规划引领，推动“多规合一”。做好城市基础设施规划，以重大项目为基点，结合城镇开发边界、城区用地和功能布局规划，优化城镇发展和产业空间布局。大力推进县城西北、西南片区开发，畅通城区道路“循环圈”。以解决城乡居民“六位”问题为抓手，推动城乡基础设施、公共服务全面提质</w:t>
      </w:r>
      <w:r w:rsidR="00A920D3">
        <w:rPr>
          <w:rFonts w:ascii="仿宋_GB2312" w:eastAsia="仿宋_GB2312" w:hAnsi="仿宋_GB2312" w:cs="仿宋_GB2312" w:hint="eastAsia"/>
          <w:color w:val="000000" w:themeColor="text1"/>
          <w:sz w:val="32"/>
          <w:szCs w:val="32"/>
        </w:rPr>
        <w:t>。</w:t>
      </w:r>
      <w:r w:rsidR="005B091D">
        <w:rPr>
          <w:rFonts w:ascii="仿宋_GB2312" w:eastAsia="仿宋_GB2312" w:hAnsi="仿宋_GB2312" w:cs="仿宋_GB2312" w:hint="eastAsia"/>
          <w:color w:val="000000" w:themeColor="text1"/>
          <w:sz w:val="32"/>
          <w:szCs w:val="32"/>
        </w:rPr>
        <w:t>加快推进以县城为重要载体的新型城镇化</w:t>
      </w:r>
      <w:r w:rsidR="00A920D3">
        <w:rPr>
          <w:rFonts w:ascii="仿宋_GB2312" w:eastAsia="仿宋_GB2312" w:hAnsi="仿宋_GB2312" w:cs="仿宋_GB2312" w:hint="eastAsia"/>
          <w:color w:val="000000" w:themeColor="text1"/>
          <w:sz w:val="32"/>
          <w:szCs w:val="32"/>
        </w:rPr>
        <w:t>，推动实现县城人口达到22万人以上、县城面积达到22平方公里以上</w:t>
      </w:r>
      <w:r w:rsidR="005B091D">
        <w:rPr>
          <w:rFonts w:ascii="仿宋_GB2312" w:eastAsia="仿宋_GB2312" w:hAnsi="仿宋_GB2312" w:cs="仿宋_GB2312" w:hint="eastAsia"/>
          <w:color w:val="000000" w:themeColor="text1"/>
          <w:sz w:val="32"/>
          <w:szCs w:val="32"/>
        </w:rPr>
        <w:t>。进一步完善城市路网，全力推动溆浦大桥建成通车。</w:t>
      </w:r>
      <w:r w:rsidR="00C55129" w:rsidRPr="001F1D4E">
        <w:rPr>
          <w:rFonts w:ascii="仿宋_GB2312" w:eastAsia="仿宋_GB2312" w:hAnsi="仿宋_GB2312" w:cs="仿宋_GB2312" w:hint="eastAsia"/>
          <w:color w:val="000000" w:themeColor="text1"/>
          <w:sz w:val="32"/>
          <w:szCs w:val="32"/>
        </w:rPr>
        <w:t>加快城市更新改造，</w:t>
      </w:r>
      <w:r w:rsidR="005B091D">
        <w:rPr>
          <w:rFonts w:ascii="仿宋_GB2312" w:eastAsia="仿宋_GB2312" w:hAnsi="仿宋_GB2312" w:cs="仿宋_GB2312" w:hint="eastAsia"/>
          <w:color w:val="000000" w:themeColor="text1"/>
          <w:sz w:val="32"/>
          <w:szCs w:val="32"/>
        </w:rPr>
        <w:t>全面推进城区东风、解放、团结等十个社区83个老</w:t>
      </w:r>
      <w:r w:rsidR="005B091D">
        <w:rPr>
          <w:rFonts w:ascii="仿宋_GB2312" w:eastAsia="仿宋_GB2312" w:hAnsi="仿宋_GB2312" w:cs="仿宋_GB2312" w:hint="eastAsia"/>
          <w:color w:val="000000" w:themeColor="text1"/>
          <w:sz w:val="32"/>
          <w:szCs w:val="32"/>
        </w:rPr>
        <w:lastRenderedPageBreak/>
        <w:t>旧小区改造，加快城南入城口棚户区综合治理工程、灵翠山公园南大门片区棚户区改造、老旧小区及配套设施改造、长冲口片区棚户改造、城北片区（老制药厂）保障性租赁住房、湘运公司棚户区改造、溆浦县煤炭系统工矿棚户区改造等项目，不断扩大住房保障覆盖面。推进管道燃气、城市防涝、污水处理、充电桩、智慧化停车场等城区基础设施建设。</w:t>
      </w:r>
    </w:p>
    <w:p w:rsidR="000B0562" w:rsidRPr="001F1D4E"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（二）</w:t>
      </w:r>
      <w:r w:rsidR="005B091D">
        <w:rPr>
          <w:rFonts w:ascii="楷体_GB2312" w:eastAsia="楷体_GB2312" w:hAnsi="楷体_GB2312" w:cs="楷体_GB2312" w:hint="eastAsia"/>
          <w:b/>
          <w:bCs/>
          <w:color w:val="000000" w:themeColor="text1"/>
          <w:sz w:val="32"/>
        </w:rPr>
        <w:t>做好特色小镇建设，推动新城老镇融合发展。</w:t>
      </w:r>
      <w:r w:rsidR="005B091D">
        <w:rPr>
          <w:rFonts w:ascii="仿宋_GB2312" w:eastAsia="仿宋_GB2312" w:hAnsi="仿宋_GB2312" w:cs="仿宋_GB2312" w:hint="eastAsia"/>
          <w:color w:val="000000" w:themeColor="text1"/>
          <w:sz w:val="32"/>
          <w:szCs w:val="32"/>
        </w:rPr>
        <w:t>加快城镇建设步伐，分类推进特色产业小镇建设，将大江口、桥江等乡镇打造成特色农业小镇，将低庄、龙潭打造成特色工业小镇，将统溪河、思蒙等乡镇打造成特色文旅小镇。兑现乡镇招商奖励，加快推进一批乡镇企业建成投产。完成龙潭、观音阁、桥江、祖师殿等乡镇管道燃气管网铺设，</w:t>
      </w:r>
      <w:r w:rsidR="006B54CD" w:rsidRPr="001F1D4E">
        <w:rPr>
          <w:rFonts w:ascii="仿宋_GB2312" w:eastAsia="仿宋_GB2312" w:hAnsi="仿宋_GB2312" w:cs="仿宋_GB2312" w:hint="eastAsia"/>
          <w:color w:val="000000" w:themeColor="text1"/>
          <w:sz w:val="32"/>
          <w:szCs w:val="32"/>
        </w:rPr>
        <w:t>完成</w:t>
      </w:r>
      <w:r w:rsidR="005B091D">
        <w:rPr>
          <w:rFonts w:ascii="仿宋_GB2312" w:eastAsia="仿宋_GB2312" w:hAnsi="仿宋_GB2312" w:cs="仿宋_GB2312" w:hint="eastAsia"/>
          <w:color w:val="000000" w:themeColor="text1"/>
          <w:sz w:val="32"/>
          <w:szCs w:val="32"/>
        </w:rPr>
        <w:t>龙庄湾、小横垅、油洋等乡镇污水处理设施建设。以开展全域旅游、美丽乡村建设为契机，完善乡镇基础设施，丰富产业业态，营造宜居宜业环境，提高集聚人口能力和人民群众获得感。</w:t>
      </w:r>
      <w:r w:rsidR="00E51B20" w:rsidRPr="001F1D4E">
        <w:rPr>
          <w:rFonts w:ascii="仿宋_GB2312" w:eastAsia="仿宋_GB2312" w:hAnsi="仿宋_GB2312" w:cs="仿宋_GB2312" w:hint="eastAsia"/>
          <w:color w:val="000000" w:themeColor="text1"/>
          <w:sz w:val="32"/>
          <w:szCs w:val="32"/>
        </w:rPr>
        <w:t>利用清华大学乡村振兴实践工作站优质资源，加快推进北斗溪特色文旅小镇建设。</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（三）</w:t>
      </w:r>
      <w:r w:rsidR="005B091D">
        <w:rPr>
          <w:rFonts w:ascii="楷体_GB2312" w:eastAsia="楷体_GB2312" w:hAnsi="楷体_GB2312" w:cs="楷体_GB2312" w:hint="eastAsia"/>
          <w:b/>
          <w:bCs/>
          <w:color w:val="000000" w:themeColor="text1"/>
          <w:sz w:val="32"/>
        </w:rPr>
        <w:t>实施乡村振兴战略，补齐农业农村发展短板。</w:t>
      </w:r>
      <w:r w:rsidR="005B091D">
        <w:rPr>
          <w:rFonts w:ascii="仿宋_GB2312" w:eastAsia="仿宋_GB2312" w:hAnsi="仿宋_GB2312" w:cs="仿宋_GB2312" w:hint="eastAsia"/>
          <w:color w:val="000000" w:themeColor="text1"/>
          <w:sz w:val="32"/>
          <w:szCs w:val="32"/>
        </w:rPr>
        <w:t>牢牢把握“五个振兴”要求，把乡村振兴作为“三农”工作的重要抓手，努力走出一条新时代具有溆浦特色的乡村振兴之路。抓好溆浦农业发展优势资源，重点做好产业兴旺文章，提升农业农村现代化发展水平。实施农村人居环境整治三年行动计</w:t>
      </w:r>
      <w:r w:rsidR="005B091D">
        <w:rPr>
          <w:rFonts w:ascii="仿宋_GB2312" w:eastAsia="仿宋_GB2312" w:hAnsi="仿宋_GB2312" w:cs="仿宋_GB2312" w:hint="eastAsia"/>
          <w:color w:val="000000" w:themeColor="text1"/>
          <w:sz w:val="32"/>
          <w:szCs w:val="32"/>
        </w:rPr>
        <w:lastRenderedPageBreak/>
        <w:t>划，广泛开展农村垃圾治理，“一体化”推进农村污水、厕所整治，全面开展村庄清洁活动，推进畜禽粪污资源化利用、村庄规划建设提升、美丽乡村建设，确保环境整洁。推动农村基础设施提档升级，全面提升污水、供电、供气等关键保障水平。实施农村道路巩固提升行动，全面推进“四好农村路”建设，加快实施通村组硬化路建设，建立健溆浦镇村三级农村公路路长制管理体系。深入推进农村综合改革，激发农村内生发展动力，推动各类要素在城乡之间双向流动。</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sidRPr="00327C21">
        <w:rPr>
          <w:rFonts w:ascii="楷体_GB2312" w:eastAsia="楷体_GB2312" w:hAnsi="楷体_GB2312" w:cs="楷体_GB2312" w:hint="eastAsia"/>
          <w:b/>
          <w:bCs/>
          <w:color w:val="000000" w:themeColor="text1"/>
          <w:sz w:val="32"/>
        </w:rPr>
        <w:t>（四）</w:t>
      </w:r>
      <w:r w:rsidR="005B091D" w:rsidRPr="00327C21">
        <w:rPr>
          <w:rFonts w:ascii="楷体_GB2312" w:eastAsia="楷体_GB2312" w:hAnsi="楷体_GB2312" w:cs="楷体_GB2312" w:hint="eastAsia"/>
          <w:b/>
          <w:bCs/>
          <w:color w:val="000000" w:themeColor="text1"/>
          <w:sz w:val="32"/>
        </w:rPr>
        <w:t>实施城市精细化管理，</w:t>
      </w:r>
      <w:r w:rsidRPr="00327C21">
        <w:rPr>
          <w:rFonts w:ascii="楷体_GB2312" w:eastAsia="楷体_GB2312" w:hAnsi="楷体_GB2312" w:cs="楷体_GB2312" w:hint="eastAsia"/>
          <w:b/>
          <w:bCs/>
          <w:color w:val="000000" w:themeColor="text1"/>
          <w:sz w:val="32"/>
        </w:rPr>
        <w:t>全面提升城市形象。</w:t>
      </w:r>
      <w:r w:rsidR="005B091D">
        <w:rPr>
          <w:rFonts w:ascii="仿宋_GB2312" w:eastAsia="仿宋_GB2312" w:hAnsi="仿宋_GB2312" w:cs="仿宋_GB2312" w:hint="eastAsia"/>
          <w:color w:val="000000" w:themeColor="text1"/>
          <w:sz w:val="32"/>
          <w:szCs w:val="32"/>
        </w:rPr>
        <w:t>扎实开展市政设施和园林绿化设施改造提升行动，滚动实施市政环卫基础设施建设，大力推动物联网、大数据、云计算、人工智能、块数据等新一代信息技术创新应用，把我县打造成为管理高效、服务便捷、产业智能、绿色生态的新型智慧城区典范，大力提升城市开放、共建、共享、智慧化、公共服务均等化及便捷化的城市品质。强城市精细管理，深入开展爱国卫生运动，巩固“国家卫生县城”成果，争创“全国文明城市”。深入推进城乡环卫“一体化”，大力实施城市生活垃圾分类。严格执行城市规划，大力整治“两违”、乱搭乱建等违法行为。全面落实《怀化市住宅物业管理若干规定》，促物业“上心”，让业主“舒心”。</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27" w:name="_Toc5894"/>
      <w:r>
        <w:rPr>
          <w:rFonts w:ascii="黑体" w:eastAsia="黑体" w:hAnsi="黑体" w:hint="eastAsia"/>
          <w:b w:val="0"/>
          <w:bCs w:val="0"/>
          <w:color w:val="000000" w:themeColor="text1"/>
          <w:szCs w:val="30"/>
        </w:rPr>
        <w:t>五、</w:t>
      </w:r>
      <w:r>
        <w:rPr>
          <w:rFonts w:ascii="黑体" w:eastAsia="黑体" w:hAnsi="黑体"/>
          <w:b w:val="0"/>
          <w:bCs w:val="0"/>
          <w:color w:val="000000" w:themeColor="text1"/>
          <w:szCs w:val="30"/>
        </w:rPr>
        <w:t>践行绿色发展理念，</w:t>
      </w:r>
      <w:r w:rsidR="00C66E5D">
        <w:rPr>
          <w:rFonts w:ascii="黑体" w:eastAsia="黑体" w:hAnsi="黑体" w:hint="eastAsia"/>
          <w:b w:val="0"/>
          <w:bCs w:val="0"/>
          <w:color w:val="000000" w:themeColor="text1"/>
          <w:szCs w:val="30"/>
        </w:rPr>
        <w:t>提升</w:t>
      </w:r>
      <w:r>
        <w:rPr>
          <w:rFonts w:ascii="黑体" w:eastAsia="黑体" w:hAnsi="黑体"/>
          <w:b w:val="0"/>
          <w:bCs w:val="0"/>
          <w:color w:val="000000" w:themeColor="text1"/>
          <w:szCs w:val="30"/>
        </w:rPr>
        <w:t>县域生态格局</w:t>
      </w:r>
      <w:bookmarkEnd w:id="27"/>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（一）</w:t>
      </w:r>
      <w:r w:rsidR="005B091D">
        <w:rPr>
          <w:rFonts w:ascii="楷体_GB2312" w:eastAsia="楷体_GB2312" w:hAnsi="楷体_GB2312" w:cs="楷体_GB2312" w:hint="eastAsia"/>
          <w:b/>
          <w:bCs/>
          <w:color w:val="000000" w:themeColor="text1"/>
          <w:sz w:val="32"/>
        </w:rPr>
        <w:t>大力发展生态产业。</w:t>
      </w:r>
      <w:r w:rsidR="005B091D">
        <w:rPr>
          <w:rFonts w:ascii="仿宋_GB2312" w:eastAsia="仿宋_GB2312" w:hAnsi="仿宋_GB2312" w:cs="仿宋_GB2312" w:hint="eastAsia"/>
          <w:color w:val="000000" w:themeColor="text1"/>
          <w:sz w:val="32"/>
          <w:szCs w:val="32"/>
        </w:rPr>
        <w:t>推动国家储备林项目开工建</w:t>
      </w:r>
      <w:r w:rsidR="005B091D">
        <w:rPr>
          <w:rFonts w:ascii="仿宋_GB2312" w:eastAsia="仿宋_GB2312" w:hAnsi="仿宋_GB2312" w:cs="仿宋_GB2312" w:hint="eastAsia"/>
          <w:color w:val="000000" w:themeColor="text1"/>
          <w:sz w:val="32"/>
          <w:szCs w:val="32"/>
        </w:rPr>
        <w:lastRenderedPageBreak/>
        <w:t>设，加快推进溆水仲夏区域生态产品价值实现项目。加快大江口抽水蓄能电站、观音阁化学储能电站和低庄、龙庄湾风电项目建设。切实做好GEP核算准备，包装申报一批EOD模式项目。强化生态保护修复。以“林长制”促“林长治”，扎实推进国土绿化行动、植树造林、封山育林、森林质量精准提升工程。建设绿色矿山,加快实施矿山生态修复工程。严格落实“河长制”，精心筹备沅水省级河长现场会。全力推进污染防治。深入打好污染防治攻坚战，坚决抓好环保督察反馈问题整改。持续打好蓝天碧水净土保卫战，确保县城空气质量优良率达到96%以上，饮用水源考核断面水质达到Ⅱ类以上，受污染耕地安全利用率达到90%以上。</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（二）</w:t>
      </w:r>
      <w:r w:rsidR="005B091D">
        <w:rPr>
          <w:rFonts w:ascii="楷体_GB2312" w:eastAsia="楷体_GB2312" w:hAnsi="楷体_GB2312" w:cs="楷体_GB2312" w:hint="eastAsia"/>
          <w:b/>
          <w:bCs/>
          <w:color w:val="000000" w:themeColor="text1"/>
          <w:sz w:val="32"/>
        </w:rPr>
        <w:t>推进环境污染整治。</w:t>
      </w:r>
      <w:r w:rsidR="005B091D">
        <w:rPr>
          <w:rFonts w:ascii="仿宋_GB2312" w:eastAsia="仿宋_GB2312" w:hAnsi="仿宋_GB2312" w:cs="仿宋_GB2312" w:hint="eastAsia"/>
          <w:color w:val="000000" w:themeColor="text1"/>
          <w:sz w:val="32"/>
          <w:szCs w:val="32"/>
        </w:rPr>
        <w:t>稳步推进“四整治四提升”，重点抓好燃煤小锅炉、施工工地等源头污染治理。加快完善城镇污水处理和管网收集能力，提升城镇污水处理率，继续开展规划化畜禽养殖污染治理工作。编制土壤污染防治方案，加强固废（危</w:t>
      </w:r>
      <w:r w:rsidR="005B091D">
        <w:rPr>
          <w:rFonts w:ascii="仿宋_GB2312" w:eastAsia="仿宋_GB2312" w:hAnsi="仿宋_GB2312" w:cs="仿宋_GB2312" w:hint="eastAsia"/>
          <w:color w:val="000000" w:themeColor="text1"/>
          <w:spacing w:val="-6"/>
          <w:sz w:val="32"/>
          <w:szCs w:val="32"/>
        </w:rPr>
        <w:t>废）管理。推进农村垃圾、污水、厕所专项整治“三大革命”。做好垃圾分类准备工作，通过“进村居、进学校、进大集”宣传活动，对村民进行农村垃圾分类知识宣传，并印制宣传手册、倡议书。</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（三）</w:t>
      </w:r>
      <w:r w:rsidR="005B091D">
        <w:rPr>
          <w:rFonts w:ascii="楷体_GB2312" w:eastAsia="楷体_GB2312" w:hAnsi="楷体_GB2312" w:cs="楷体_GB2312" w:hint="eastAsia"/>
          <w:b/>
          <w:bCs/>
          <w:color w:val="000000" w:themeColor="text1"/>
          <w:sz w:val="32"/>
        </w:rPr>
        <w:t>加快低碳循环发展转型。</w:t>
      </w:r>
      <w:r w:rsidR="005B091D">
        <w:rPr>
          <w:rFonts w:ascii="仿宋_GB2312" w:eastAsia="仿宋_GB2312" w:hAnsi="仿宋_GB2312" w:cs="仿宋_GB2312" w:hint="eastAsia"/>
          <w:color w:val="000000" w:themeColor="text1"/>
          <w:sz w:val="32"/>
          <w:szCs w:val="32"/>
        </w:rPr>
        <w:t>落实《怀化市碳达蜂实施方案》总体部署，持续完善碳达蜂碳中和"l+N"政策体系，有计划分步骤实施“碳达蜂十大行动”。积极开展碳达峰县城和</w:t>
      </w:r>
      <w:r w:rsidR="005B091D">
        <w:rPr>
          <w:rFonts w:ascii="仿宋_GB2312" w:eastAsia="仿宋_GB2312" w:hAnsi="仿宋_GB2312" w:cs="仿宋_GB2312" w:hint="eastAsia"/>
          <w:color w:val="000000" w:themeColor="text1"/>
          <w:sz w:val="32"/>
          <w:szCs w:val="32"/>
        </w:rPr>
        <w:lastRenderedPageBreak/>
        <w:t>园区的创建工作，深入实施绿色低碳全民行动，开展绿色低碳社会行动示范创建活动，扩大新能源汽车、绿色建筑、节能家电等绿色产品消费。加快建设全县统一规范的碳排放统计核算体系，按规定建设重点用能单位能耗在线监测的接入端系统，持续加大污染治理和节能减碳项目开发力度。进一步推动溆浦企业清洁生产审核工作，加快淘汰落后产能，坚决遏制”两高”项目低水平发展。</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28" w:name="_Toc3202"/>
      <w:r>
        <w:rPr>
          <w:rFonts w:ascii="黑体" w:eastAsia="黑体" w:hAnsi="黑体" w:hint="eastAsia"/>
          <w:b w:val="0"/>
          <w:bCs w:val="0"/>
          <w:color w:val="000000" w:themeColor="text1"/>
          <w:szCs w:val="30"/>
        </w:rPr>
        <w:t>六、补齐民生领域短板，切实促进社会公平公正</w:t>
      </w:r>
      <w:bookmarkEnd w:id="28"/>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（一）</w:t>
      </w:r>
      <w:r w:rsidR="005B091D">
        <w:rPr>
          <w:rFonts w:ascii="楷体_GB2312" w:eastAsia="楷体_GB2312" w:hAnsi="楷体_GB2312" w:cs="楷体_GB2312" w:hint="eastAsia"/>
          <w:b/>
          <w:bCs/>
          <w:color w:val="000000" w:themeColor="text1"/>
          <w:sz w:val="32"/>
        </w:rPr>
        <w:t>稳步推进民生工程，全力筑牢民生底线。</w:t>
      </w:r>
      <w:r w:rsidR="005B091D">
        <w:rPr>
          <w:rFonts w:ascii="仿宋_GB2312" w:eastAsia="仿宋_GB2312" w:hAnsi="仿宋_GB2312" w:cs="仿宋_GB2312" w:hint="eastAsia"/>
          <w:color w:val="000000" w:themeColor="text1"/>
          <w:sz w:val="32"/>
          <w:szCs w:val="32"/>
        </w:rPr>
        <w:t>把保障和改善民生作为一切工作的出发点和落脚点，强化民生工程资金筹集和管理，确保民生资金保障到位，着力提高民生工程资金使用绩效。努力扩大社会保障体系的覆盖面，落实城镇职工医保、城镇居民医保、失业保险、工伤保险、生育保险、城乡基本养老保险等社会保险扩面工作，真正实现“应保尽保”，提升城乡低保标准和残疾人“两补”水平。加大社会救助力度，积极发展普惠性社会福利事业和社会慈善事业，提升城乡困难群众临时生活救助水平，保障困难群众的基本生活权益。积极推进公办养老院转型升级和养老机构社会化运营，大力推进特殊困难老年人家庭适老化改造。维护军人军属合法权益，让军人成为全社会尊重的职业。加快推进县殡仪馆搬迁和公墓一期建设。</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（二）</w:t>
      </w:r>
      <w:r w:rsidR="005B091D">
        <w:rPr>
          <w:rFonts w:ascii="楷体_GB2312" w:eastAsia="楷体_GB2312" w:hAnsi="楷体_GB2312" w:cs="楷体_GB2312" w:hint="eastAsia"/>
          <w:b/>
          <w:bCs/>
          <w:color w:val="000000" w:themeColor="text1"/>
          <w:sz w:val="32"/>
        </w:rPr>
        <w:t>大力发展社会事业，完善公共服务体系。</w:t>
      </w:r>
      <w:r w:rsidR="005B091D">
        <w:rPr>
          <w:rFonts w:ascii="仿宋_GB2312" w:eastAsia="仿宋_GB2312" w:hAnsi="仿宋_GB2312" w:cs="仿宋_GB2312" w:hint="eastAsia"/>
          <w:color w:val="000000" w:themeColor="text1"/>
          <w:sz w:val="32"/>
          <w:szCs w:val="32"/>
        </w:rPr>
        <w:t>积极引</w:t>
      </w:r>
      <w:r w:rsidR="005B091D">
        <w:rPr>
          <w:rFonts w:ascii="仿宋_GB2312" w:eastAsia="仿宋_GB2312" w:hAnsi="仿宋_GB2312" w:cs="仿宋_GB2312" w:hint="eastAsia"/>
          <w:color w:val="000000" w:themeColor="text1"/>
          <w:sz w:val="32"/>
          <w:szCs w:val="32"/>
        </w:rPr>
        <w:lastRenderedPageBreak/>
        <w:t>进优质教育、医疗、文化、体育等资源，健全养老、育幼、助残等基本公共服务，引导共享经济模式进入公共服务领域，推进公共服务配套设施不断完善升级和公共服务均等化，改善生活条件，提升生活水平。推进教育评价改革，落实“双减”政策，促进教育公平和优质均衡发展。努力实施乡镇学前教育提质改造工程，</w:t>
      </w:r>
      <w:r w:rsidR="00994080" w:rsidRPr="001F1D4E">
        <w:rPr>
          <w:rFonts w:ascii="仿宋_GB2312" w:eastAsia="仿宋_GB2312" w:hAnsi="仿宋_GB2312" w:cs="仿宋_GB2312" w:hint="eastAsia"/>
          <w:color w:val="000000" w:themeColor="text1"/>
          <w:sz w:val="32"/>
          <w:szCs w:val="32"/>
        </w:rPr>
        <w:t>全面完成</w:t>
      </w:r>
      <w:r w:rsidR="005B091D">
        <w:rPr>
          <w:rFonts w:ascii="仿宋_GB2312" w:eastAsia="仿宋_GB2312" w:hAnsi="仿宋_GB2312" w:cs="仿宋_GB2312" w:hint="eastAsia"/>
          <w:color w:val="000000" w:themeColor="text1"/>
          <w:sz w:val="32"/>
          <w:szCs w:val="32"/>
        </w:rPr>
        <w:t>溆浦县一中和江维中学徐特立项目，完成县职中二期改扩建项目，积极推进乡镇标准化寄宿制学校建设和城区学位扩容，努力促进城乡优质均衡发展。完善公共文化服务体系，推进“四馆一中心”建设，完成有线电视模拟网络向数字网络平稳过渡。推动竞技体育和全民健身协调发展，办好各类体育赛事和群众文化活动。大力引进长沙、怀化优质教育资源，争取长沙、怀化先进医疗、教育机构设立分院（校）。深化落实异地就医和医保合作机制，积极做好养老保障对接。</w:t>
      </w:r>
    </w:p>
    <w:p w:rsidR="000B0562" w:rsidRDefault="00327C21"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rPr>
        <w:t>（四）</w:t>
      </w:r>
      <w:r w:rsidR="005B091D">
        <w:rPr>
          <w:rFonts w:ascii="楷体_GB2312" w:eastAsia="楷体_GB2312" w:hAnsi="楷体_GB2312" w:cs="楷体_GB2312" w:hint="eastAsia"/>
          <w:b/>
          <w:bCs/>
          <w:color w:val="000000" w:themeColor="text1"/>
          <w:sz w:val="32"/>
        </w:rPr>
        <w:t>创新社会治理方式，深化平安溆浦建设。</w:t>
      </w:r>
      <w:r w:rsidR="005B091D">
        <w:rPr>
          <w:rFonts w:ascii="仿宋_GB2312" w:eastAsia="仿宋_GB2312" w:hAnsi="仿宋_GB2312" w:cs="仿宋_GB2312" w:hint="eastAsia"/>
          <w:color w:val="000000" w:themeColor="text1"/>
          <w:sz w:val="32"/>
          <w:szCs w:val="32"/>
        </w:rPr>
        <w:t>深入实施网格化管理，强化网络信息安全和信息化管理，健全社会治安防控体系，依法打击和惩治各类违法犯罪活动，切实维护社会和谐稳定。做好社会维稳工作，健全矛盾纠纷多元化解机制，做好拆迁安置、征地补偿、劳资纠纷、医患纠纷、贫困户信访维稳、“涉老”群体调解工作。深化户籍制度改革，提高流动人口服务和管理水平，促进城市和谐稳定。全面落实政府监管责任，强化企业主体责任，健全应急管理机制，</w:t>
      </w:r>
      <w:r w:rsidR="005B091D">
        <w:rPr>
          <w:rFonts w:ascii="仿宋_GB2312" w:eastAsia="仿宋_GB2312" w:hAnsi="仿宋_GB2312" w:cs="仿宋_GB2312" w:hint="eastAsia"/>
          <w:color w:val="000000" w:themeColor="text1"/>
          <w:sz w:val="32"/>
          <w:szCs w:val="32"/>
        </w:rPr>
        <w:lastRenderedPageBreak/>
        <w:t>提高突发事件应急处置能力。</w:t>
      </w:r>
    </w:p>
    <w:p w:rsidR="000B0562" w:rsidRDefault="00327C21" w:rsidP="00A769A6">
      <w:pPr>
        <w:spacing w:line="616" w:lineRule="exact"/>
        <w:ind w:firstLineChars="200" w:firstLine="640"/>
        <w:rPr>
          <w:rFonts w:ascii="仿宋" w:eastAsia="仿宋" w:hAnsi="仿宋" w:cs="Times New Roman"/>
          <w:color w:val="000000" w:themeColor="text1"/>
          <w:sz w:val="32"/>
          <w:szCs w:val="32"/>
        </w:rPr>
      </w:pPr>
      <w:r>
        <w:rPr>
          <w:rFonts w:ascii="楷体_GB2312" w:eastAsia="楷体_GB2312" w:hAnsi="楷体_GB2312" w:cs="楷体_GB2312" w:hint="eastAsia"/>
          <w:b/>
          <w:bCs/>
          <w:color w:val="000000" w:themeColor="text1"/>
          <w:sz w:val="32"/>
        </w:rPr>
        <w:t>（五）</w:t>
      </w:r>
      <w:r w:rsidR="005B091D">
        <w:rPr>
          <w:rFonts w:ascii="楷体_GB2312" w:eastAsia="楷体_GB2312" w:hAnsi="楷体_GB2312" w:cs="楷体_GB2312" w:hint="eastAsia"/>
          <w:b/>
          <w:bCs/>
          <w:color w:val="000000" w:themeColor="text1"/>
          <w:sz w:val="32"/>
        </w:rPr>
        <w:t>提高安全治理水平，维护地方政治安全。</w:t>
      </w:r>
      <w:r w:rsidR="005B091D">
        <w:rPr>
          <w:rFonts w:ascii="仿宋_GB2312" w:eastAsia="仿宋_GB2312" w:hAnsi="仿宋_GB2312" w:cs="仿宋_GB2312" w:hint="eastAsia"/>
          <w:color w:val="000000" w:themeColor="text1"/>
          <w:sz w:val="32"/>
          <w:szCs w:val="32"/>
        </w:rPr>
        <w:t>扎实做好新一轮县域警务工作，常态化开展扫黑除恶斗争，持续打好禁毒人民战争，严厉打击“黄赌毒”、非法集资、电信网络诈骗等各类违法犯罪。巩固提升“溆浦经验”，强化信访源头治理。严格落实安全生产责任制，持续排查整治自建房、非煤矿山、管道燃气、食品药品、交通、消防等领域安全隐患，坚决杜绝较大事故发生，全力遏制一般性事故发生。统筹做好防汛抗旱、森林防灭火、冰冻雨雪极端天气应对准备工作，确保“一方安澜”。大力支持驻溆部队、武警和民兵预备役建设，关心关注工会、文联、老龄、共青团、社科联、妇女儿童等群团工作，进一步做好统计、移民、档案、史志、气象、民族宗教等各项</w:t>
      </w:r>
      <w:r w:rsidR="005B091D">
        <w:rPr>
          <w:rFonts w:ascii="仿宋" w:eastAsia="仿宋" w:hAnsi="仿宋" w:cs="Times New Roman" w:hint="eastAsia"/>
          <w:color w:val="000000" w:themeColor="text1"/>
          <w:sz w:val="32"/>
          <w:szCs w:val="32"/>
        </w:rPr>
        <w:t>工作。</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29" w:name="_Toc20960"/>
      <w:r>
        <w:rPr>
          <w:rFonts w:ascii="黑体" w:eastAsia="黑体" w:hAnsi="黑体" w:hint="eastAsia"/>
          <w:b w:val="0"/>
          <w:bCs w:val="0"/>
          <w:color w:val="000000" w:themeColor="text1"/>
          <w:szCs w:val="30"/>
        </w:rPr>
        <w:t>七、</w:t>
      </w:r>
      <w:r>
        <w:rPr>
          <w:rFonts w:ascii="黑体" w:eastAsia="黑体" w:hAnsi="黑体"/>
          <w:b w:val="0"/>
          <w:bCs w:val="0"/>
          <w:color w:val="000000" w:themeColor="text1"/>
          <w:szCs w:val="30"/>
        </w:rPr>
        <w:t>做好规划总结研究，备战下一个五年规划</w:t>
      </w:r>
      <w:bookmarkEnd w:id="29"/>
    </w:p>
    <w:p w:rsidR="000B0562" w:rsidRDefault="005B091D">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五五”规划是党的二十大开启社会主义现代化新征程后将要制定的第一个五年规划，做深做实前期研究对于我县高起点、高标准、高质量编制“十五五”规划意义重大。坚持以习近平新时代中国特色社会主义思想为指导，聚焦高质量发展，重点围绕“十五五”时期关系溆浦的经济社会发展战略和基本思路、破解发展瓶颈、产业转型发展、创新驱动发展、新旧动能转换、深化改革扩大开放、区域协调发展以及关系人民群众切身利益的热点难点等方面开展“十五五”规划前期</w:t>
      </w:r>
      <w:r>
        <w:rPr>
          <w:rFonts w:ascii="仿宋_GB2312" w:eastAsia="仿宋_GB2312" w:hAnsi="仿宋_GB2312" w:cs="仿宋_GB2312" w:hint="eastAsia"/>
          <w:color w:val="000000" w:themeColor="text1"/>
          <w:sz w:val="32"/>
          <w:szCs w:val="32"/>
        </w:rPr>
        <w:lastRenderedPageBreak/>
        <w:t>研究工作，科学研判“十五五”时期我县发展的阶段性特征、具备的基础支撑条件、需面对的经济社会主要矛盾，并提出发展战略，为科学编制“十五五”规划做好准备。</w:t>
      </w:r>
    </w:p>
    <w:p w:rsidR="000B0562" w:rsidRDefault="000B0562">
      <w:pPr>
        <w:spacing w:line="360" w:lineRule="auto"/>
        <w:ind w:firstLine="720"/>
        <w:rPr>
          <w:rFonts w:ascii="仿宋_GB2312" w:eastAsia="仿宋_GB2312" w:hAnsi="仿宋_GB2312" w:cs="仿宋_GB2312"/>
          <w:color w:val="000000" w:themeColor="text1"/>
          <w:sz w:val="32"/>
          <w:szCs w:val="32"/>
        </w:rPr>
        <w:sectPr w:rsidR="000B0562">
          <w:pgSz w:w="11906" w:h="16838"/>
          <w:pgMar w:top="1701" w:right="1531" w:bottom="1531" w:left="1531" w:header="822" w:footer="822" w:gutter="567"/>
          <w:cols w:space="425"/>
          <w:docGrid w:type="lines" w:linePitch="312"/>
        </w:sectPr>
      </w:pPr>
    </w:p>
    <w:p w:rsidR="000B0562" w:rsidRDefault="005B091D" w:rsidP="009978E1">
      <w:pPr>
        <w:pStyle w:val="1"/>
        <w:spacing w:before="360" w:after="240" w:line="360" w:lineRule="auto"/>
        <w:jc w:val="center"/>
        <w:rPr>
          <w:rFonts w:ascii="黑体" w:eastAsia="黑体" w:hAnsi="黑体"/>
          <w:b w:val="0"/>
          <w:bCs w:val="0"/>
          <w:color w:val="000000" w:themeColor="text1"/>
          <w:sz w:val="36"/>
          <w:szCs w:val="36"/>
        </w:rPr>
      </w:pPr>
      <w:bookmarkStart w:id="30" w:name="_Toc17922"/>
      <w:r>
        <w:rPr>
          <w:rFonts w:ascii="黑体" w:eastAsia="黑体" w:hAnsi="黑体"/>
          <w:b w:val="0"/>
          <w:bCs w:val="0"/>
          <w:color w:val="000000" w:themeColor="text1"/>
          <w:sz w:val="36"/>
          <w:szCs w:val="36"/>
        </w:rPr>
        <w:lastRenderedPageBreak/>
        <w:t>部分滞后指标的情况说明</w:t>
      </w:r>
      <w:bookmarkEnd w:id="30"/>
    </w:p>
    <w:p w:rsidR="000B0562" w:rsidRDefault="005B091D">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通过对我县“十四五”规划纲要指标体系进行研究分析，综合各指标相关主管部门的意见，对不能按序时进度完成的指标、部分将按序时进度完成的指标作如下说明。</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31" w:name="_Toc15322"/>
      <w:r>
        <w:rPr>
          <w:rFonts w:ascii="黑体" w:eastAsia="黑体" w:hAnsi="黑体" w:hint="eastAsia"/>
          <w:b w:val="0"/>
          <w:bCs w:val="0"/>
          <w:color w:val="000000" w:themeColor="text1"/>
        </w:rPr>
        <w:t>一、预期性指标难以实现的情况说明</w:t>
      </w:r>
      <w:bookmarkEnd w:id="31"/>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最终消费支出对地区生产总值贡献率(预期性)</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十四五”以来，国内经济下行压力加大，居民收入水平增长放缓（如近年来溆浦县城镇、农村居民人均可支配收入增幅分别在5.2%左右和7.7%左右，与湖南省平均水平相差不大5.6%和6.8%），居民消费能力受限、消费预期下降，消费变得更理性、更谨慎；城镇新增人口较少，对县内零售业、餐饮业和住宿业的提振力不强；网络购物抢占了本地传统消费市场的份额，影响了本地消费数据增长，统计数据未能完全真实地反映我县的消费增长速度。同时，以服务消费、信息消费、绿色消费、品质消费为重点的新消费需求不足，消费难以实现持续快速增长，2021年社会消费品零售总额75.6亿元、同比增长14.03%，2022年社会消费品零售总额77.42亿元、同比增长2.41%，其增长速度均未达到“十四五”规划的总额154.56亿元、增速大于18.44%的目标。与湖南省同期的指标相比，其增速18.44%比湖南省的平均增速7.7%高</w:t>
      </w:r>
      <w:r>
        <w:rPr>
          <w:rFonts w:ascii="仿宋_GB2312" w:eastAsia="仿宋_GB2312" w:hAnsi="仿宋_GB2312" w:cs="仿宋_GB2312" w:hint="eastAsia"/>
          <w:color w:val="000000" w:themeColor="text1"/>
          <w:sz w:val="32"/>
          <w:szCs w:val="32"/>
        </w:rPr>
        <w:lastRenderedPageBreak/>
        <w:t>10.74%、其占国民生产总值的比例60%比湖南省的48.51%高11.49%，从目前的消费基础和今后趋势来看，预计实现难度较大，</w:t>
      </w:r>
      <w:r w:rsidR="002454D0">
        <w:rPr>
          <w:rFonts w:ascii="仿宋_GB2312" w:eastAsia="仿宋_GB2312" w:hAnsi="仿宋_GB2312" w:cs="仿宋_GB2312" w:hint="eastAsia"/>
          <w:color w:val="000000" w:themeColor="text1"/>
          <w:sz w:val="32"/>
          <w:szCs w:val="32"/>
        </w:rPr>
        <w:t>建议合理</w:t>
      </w:r>
      <w:r>
        <w:rPr>
          <w:rFonts w:ascii="仿宋_GB2312" w:eastAsia="仿宋_GB2312" w:hAnsi="仿宋_GB2312" w:cs="仿宋_GB2312" w:hint="eastAsia"/>
          <w:color w:val="000000" w:themeColor="text1"/>
          <w:sz w:val="32"/>
          <w:szCs w:val="32"/>
        </w:rPr>
        <w:t>修正相关指标。</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常住人口城镇化率（%，预期性）。</w:t>
      </w:r>
      <w:r w:rsidRPr="00383DEE">
        <w:rPr>
          <w:rFonts w:ascii="仿宋_GB2312" w:eastAsia="仿宋_GB2312" w:hAnsi="仿宋_GB2312" w:cs="仿宋_GB2312" w:hint="eastAsia"/>
          <w:color w:val="000000" w:themeColor="text1"/>
          <w:sz w:val="32"/>
          <w:szCs w:val="32"/>
        </w:rPr>
        <w:t>根据第七次人口普查数据可知，我县2020年城镇化率水平为27.37，根据政府统计公报可知，我县2021年、2022年城镇化率水平分别为30.13、30.75。2020年至202</w:t>
      </w:r>
      <w:r w:rsidR="001B5EC9" w:rsidRPr="00383DEE">
        <w:rPr>
          <w:rFonts w:ascii="仿宋_GB2312" w:eastAsia="仿宋_GB2312" w:hAnsi="仿宋_GB2312" w:cs="仿宋_GB2312" w:hint="eastAsia"/>
          <w:color w:val="000000" w:themeColor="text1"/>
          <w:sz w:val="32"/>
          <w:szCs w:val="32"/>
        </w:rPr>
        <w:t>2</w:t>
      </w:r>
      <w:r w:rsidRPr="00383DEE">
        <w:rPr>
          <w:rFonts w:ascii="仿宋_GB2312" w:eastAsia="仿宋_GB2312" w:hAnsi="仿宋_GB2312" w:cs="仿宋_GB2312" w:hint="eastAsia"/>
          <w:color w:val="000000" w:themeColor="text1"/>
          <w:sz w:val="32"/>
          <w:szCs w:val="32"/>
        </w:rPr>
        <w:t>年共增长了</w:t>
      </w:r>
      <w:r w:rsidR="001B5EC9" w:rsidRPr="00383DEE">
        <w:rPr>
          <w:rFonts w:ascii="仿宋_GB2312" w:eastAsia="仿宋_GB2312" w:hAnsi="仿宋_GB2312" w:cs="仿宋_GB2312" w:hint="eastAsia"/>
          <w:color w:val="000000" w:themeColor="text1"/>
          <w:sz w:val="32"/>
          <w:szCs w:val="32"/>
        </w:rPr>
        <w:t>3.38个百分点</w:t>
      </w:r>
      <w:r w:rsidRPr="00383DEE">
        <w:rPr>
          <w:rFonts w:ascii="仿宋_GB2312" w:eastAsia="仿宋_GB2312" w:hAnsi="仿宋_GB2312" w:cs="仿宋_GB2312" w:hint="eastAsia"/>
          <w:color w:val="000000" w:themeColor="text1"/>
          <w:sz w:val="32"/>
          <w:szCs w:val="32"/>
        </w:rPr>
        <w:t>，年均</w:t>
      </w:r>
      <w:r w:rsidR="004F07F9" w:rsidRPr="00383DEE">
        <w:rPr>
          <w:rFonts w:ascii="仿宋_GB2312" w:eastAsia="仿宋_GB2312" w:hAnsi="仿宋_GB2312" w:cs="仿宋_GB2312" w:hint="eastAsia"/>
          <w:color w:val="000000" w:themeColor="text1"/>
          <w:sz w:val="32"/>
          <w:szCs w:val="32"/>
        </w:rPr>
        <w:t>增长1.69个</w:t>
      </w:r>
      <w:r w:rsidR="004F07F9" w:rsidRPr="00383DEE">
        <w:rPr>
          <w:rFonts w:ascii="仿宋_GB2312" w:eastAsia="仿宋_GB2312" w:hAnsi="仿宋_GB2312" w:cs="仿宋_GB2312"/>
          <w:color w:val="000000" w:themeColor="text1"/>
          <w:sz w:val="32"/>
          <w:szCs w:val="32"/>
        </w:rPr>
        <w:t>百分点</w:t>
      </w:r>
      <w:r w:rsidRPr="00383DEE">
        <w:rPr>
          <w:rFonts w:ascii="仿宋_GB2312" w:eastAsia="仿宋_GB2312" w:hAnsi="仿宋_GB2312" w:cs="仿宋_GB2312" w:hint="eastAsia"/>
          <w:color w:val="000000" w:themeColor="text1"/>
          <w:sz w:val="32"/>
          <w:szCs w:val="32"/>
        </w:rPr>
        <w:t>，照此增速到2025年我县城镇化率水平预期将达到</w:t>
      </w:r>
      <w:r w:rsidR="004F07F9" w:rsidRPr="00383DEE">
        <w:rPr>
          <w:rFonts w:ascii="仿宋_GB2312" w:eastAsia="仿宋_GB2312" w:hAnsi="仿宋_GB2312" w:cs="仿宋_GB2312" w:hint="eastAsia"/>
          <w:color w:val="000000" w:themeColor="text1"/>
          <w:sz w:val="32"/>
          <w:szCs w:val="32"/>
        </w:rPr>
        <w:t>35.82</w:t>
      </w:r>
      <w:r w:rsidRPr="00383DEE">
        <w:rPr>
          <w:rFonts w:ascii="仿宋_GB2312" w:eastAsia="仿宋_GB2312" w:hAnsi="仿宋_GB2312" w:cs="仿宋_GB2312" w:hint="eastAsia"/>
          <w:color w:val="000000" w:themeColor="text1"/>
          <w:sz w:val="32"/>
          <w:szCs w:val="32"/>
        </w:rPr>
        <w:t>，与预期的50存在</w:t>
      </w:r>
      <w:r w:rsidR="004F07F9" w:rsidRPr="00383DEE">
        <w:rPr>
          <w:rFonts w:ascii="仿宋_GB2312" w:eastAsia="仿宋_GB2312" w:hAnsi="仿宋_GB2312" w:cs="仿宋_GB2312" w:hint="eastAsia"/>
          <w:color w:val="000000" w:themeColor="text1"/>
          <w:sz w:val="32"/>
          <w:szCs w:val="32"/>
        </w:rPr>
        <w:t>14.18</w:t>
      </w:r>
      <w:r w:rsidR="00485C4E" w:rsidRPr="00383DEE">
        <w:rPr>
          <w:rFonts w:ascii="仿宋_GB2312" w:eastAsia="仿宋_GB2312" w:hAnsi="仿宋_GB2312" w:cs="仿宋_GB2312" w:hint="eastAsia"/>
          <w:color w:val="000000" w:themeColor="text1"/>
          <w:sz w:val="32"/>
          <w:szCs w:val="32"/>
        </w:rPr>
        <w:t>个百分点的差距。</w:t>
      </w:r>
      <w:r w:rsidRPr="00383DEE">
        <w:rPr>
          <w:rFonts w:ascii="仿宋_GB2312" w:eastAsia="仿宋_GB2312" w:hAnsi="仿宋_GB2312" w:cs="仿宋_GB2312" w:hint="eastAsia"/>
          <w:color w:val="000000" w:themeColor="text1"/>
          <w:sz w:val="32"/>
          <w:szCs w:val="32"/>
        </w:rPr>
        <w:t>怀化市</w:t>
      </w:r>
      <w:r w:rsidR="00485C4E" w:rsidRPr="00383DEE">
        <w:rPr>
          <w:rFonts w:ascii="仿宋_GB2312" w:eastAsia="仿宋_GB2312" w:hAnsi="仿宋_GB2312" w:cs="仿宋_GB2312" w:hint="eastAsia"/>
          <w:color w:val="000000" w:themeColor="text1"/>
          <w:sz w:val="32"/>
          <w:szCs w:val="32"/>
        </w:rPr>
        <w:t>2</w:t>
      </w:r>
      <w:r w:rsidR="00485C4E" w:rsidRPr="00383DEE">
        <w:rPr>
          <w:rFonts w:ascii="仿宋_GB2312" w:eastAsia="仿宋_GB2312" w:hAnsi="仿宋_GB2312" w:cs="仿宋_GB2312"/>
          <w:color w:val="000000" w:themeColor="text1"/>
          <w:sz w:val="32"/>
          <w:szCs w:val="32"/>
        </w:rPr>
        <w:t>020年、</w:t>
      </w:r>
      <w:r w:rsidR="00485C4E" w:rsidRPr="00383DEE">
        <w:rPr>
          <w:rFonts w:ascii="仿宋_GB2312" w:eastAsia="仿宋_GB2312" w:hAnsi="仿宋_GB2312" w:cs="仿宋_GB2312" w:hint="eastAsia"/>
          <w:color w:val="000000" w:themeColor="text1"/>
          <w:sz w:val="32"/>
          <w:szCs w:val="32"/>
        </w:rPr>
        <w:t>2</w:t>
      </w:r>
      <w:r w:rsidR="00485C4E" w:rsidRPr="00383DEE">
        <w:rPr>
          <w:rFonts w:ascii="仿宋_GB2312" w:eastAsia="仿宋_GB2312" w:hAnsi="仿宋_GB2312" w:cs="仿宋_GB2312"/>
          <w:color w:val="000000" w:themeColor="text1"/>
          <w:sz w:val="32"/>
          <w:szCs w:val="32"/>
        </w:rPr>
        <w:t>021年、</w:t>
      </w:r>
      <w:r w:rsidR="00485C4E" w:rsidRPr="00383DEE">
        <w:rPr>
          <w:rFonts w:ascii="仿宋_GB2312" w:eastAsia="仿宋_GB2312" w:hAnsi="仿宋_GB2312" w:cs="仿宋_GB2312" w:hint="eastAsia"/>
          <w:color w:val="000000" w:themeColor="text1"/>
          <w:sz w:val="32"/>
          <w:szCs w:val="32"/>
        </w:rPr>
        <w:t>2</w:t>
      </w:r>
      <w:r w:rsidR="00485C4E" w:rsidRPr="00383DEE">
        <w:rPr>
          <w:rFonts w:ascii="仿宋_GB2312" w:eastAsia="仿宋_GB2312" w:hAnsi="仿宋_GB2312" w:cs="仿宋_GB2312"/>
          <w:color w:val="000000" w:themeColor="text1"/>
          <w:sz w:val="32"/>
          <w:szCs w:val="32"/>
        </w:rPr>
        <w:t>022年</w:t>
      </w:r>
      <w:r w:rsidR="00485C4E" w:rsidRPr="00383DEE">
        <w:rPr>
          <w:rFonts w:ascii="仿宋_GB2312" w:eastAsia="仿宋_GB2312" w:hAnsi="仿宋_GB2312" w:cs="仿宋_GB2312" w:hint="eastAsia"/>
          <w:color w:val="000000" w:themeColor="text1"/>
          <w:sz w:val="32"/>
          <w:szCs w:val="32"/>
        </w:rPr>
        <w:t>的城镇化率分别为</w:t>
      </w:r>
      <w:r w:rsidRPr="00383DEE">
        <w:rPr>
          <w:rFonts w:ascii="仿宋_GB2312" w:eastAsia="仿宋_GB2312" w:hAnsi="仿宋_GB2312" w:cs="仿宋_GB2312" w:hint="eastAsia"/>
          <w:color w:val="000000" w:themeColor="text1"/>
          <w:sz w:val="32"/>
          <w:szCs w:val="32"/>
        </w:rPr>
        <w:t>47.18、48.11、48.77，年均</w:t>
      </w:r>
      <w:r w:rsidR="004F07F9" w:rsidRPr="00383DEE">
        <w:rPr>
          <w:rFonts w:ascii="仿宋_GB2312" w:eastAsia="仿宋_GB2312" w:hAnsi="仿宋_GB2312" w:cs="仿宋_GB2312" w:hint="eastAsia"/>
          <w:color w:val="000000" w:themeColor="text1"/>
          <w:sz w:val="32"/>
          <w:szCs w:val="32"/>
        </w:rPr>
        <w:t>增长</w:t>
      </w:r>
      <w:r w:rsidRPr="00383DEE">
        <w:rPr>
          <w:rFonts w:ascii="仿宋_GB2312" w:eastAsia="仿宋_GB2312" w:hAnsi="仿宋_GB2312" w:cs="仿宋_GB2312" w:hint="eastAsia"/>
          <w:color w:val="000000" w:themeColor="text1"/>
          <w:sz w:val="32"/>
          <w:szCs w:val="32"/>
        </w:rPr>
        <w:t>0.8</w:t>
      </w:r>
      <w:r w:rsidR="004F07F9" w:rsidRPr="00383DEE">
        <w:rPr>
          <w:rFonts w:ascii="仿宋_GB2312" w:eastAsia="仿宋_GB2312" w:hAnsi="仿宋_GB2312" w:cs="仿宋_GB2312" w:hint="eastAsia"/>
          <w:color w:val="000000" w:themeColor="text1"/>
          <w:sz w:val="32"/>
          <w:szCs w:val="32"/>
        </w:rPr>
        <w:t>个百分点</w:t>
      </w:r>
      <w:r w:rsidRPr="00383DEE">
        <w:rPr>
          <w:rFonts w:ascii="仿宋_GB2312" w:eastAsia="仿宋_GB2312" w:hAnsi="仿宋_GB2312" w:cs="仿宋_GB2312" w:hint="eastAsia"/>
          <w:color w:val="000000" w:themeColor="text1"/>
          <w:sz w:val="32"/>
          <w:szCs w:val="32"/>
        </w:rPr>
        <w:t>；湖南省</w:t>
      </w:r>
      <w:r w:rsidR="00485C4E" w:rsidRPr="00383DEE">
        <w:rPr>
          <w:rFonts w:ascii="仿宋_GB2312" w:eastAsia="仿宋_GB2312" w:hAnsi="仿宋_GB2312" w:cs="仿宋_GB2312" w:hint="eastAsia"/>
          <w:color w:val="000000" w:themeColor="text1"/>
          <w:sz w:val="32"/>
          <w:szCs w:val="32"/>
        </w:rPr>
        <w:t>2</w:t>
      </w:r>
      <w:r w:rsidR="00485C4E" w:rsidRPr="00383DEE">
        <w:rPr>
          <w:rFonts w:ascii="仿宋_GB2312" w:eastAsia="仿宋_GB2312" w:hAnsi="仿宋_GB2312" w:cs="仿宋_GB2312"/>
          <w:color w:val="000000" w:themeColor="text1"/>
          <w:sz w:val="32"/>
          <w:szCs w:val="32"/>
        </w:rPr>
        <w:t>020年、</w:t>
      </w:r>
      <w:r w:rsidR="00485C4E" w:rsidRPr="00383DEE">
        <w:rPr>
          <w:rFonts w:ascii="仿宋_GB2312" w:eastAsia="仿宋_GB2312" w:hAnsi="仿宋_GB2312" w:cs="仿宋_GB2312" w:hint="eastAsia"/>
          <w:color w:val="000000" w:themeColor="text1"/>
          <w:sz w:val="32"/>
          <w:szCs w:val="32"/>
        </w:rPr>
        <w:t>2</w:t>
      </w:r>
      <w:r w:rsidR="00485C4E" w:rsidRPr="00383DEE">
        <w:rPr>
          <w:rFonts w:ascii="仿宋_GB2312" w:eastAsia="仿宋_GB2312" w:hAnsi="仿宋_GB2312" w:cs="仿宋_GB2312"/>
          <w:color w:val="000000" w:themeColor="text1"/>
          <w:sz w:val="32"/>
          <w:szCs w:val="32"/>
        </w:rPr>
        <w:t>021年、</w:t>
      </w:r>
      <w:r w:rsidR="00485C4E" w:rsidRPr="00383DEE">
        <w:rPr>
          <w:rFonts w:ascii="仿宋_GB2312" w:eastAsia="仿宋_GB2312" w:hAnsi="仿宋_GB2312" w:cs="仿宋_GB2312" w:hint="eastAsia"/>
          <w:color w:val="000000" w:themeColor="text1"/>
          <w:sz w:val="32"/>
          <w:szCs w:val="32"/>
        </w:rPr>
        <w:t>2</w:t>
      </w:r>
      <w:r w:rsidR="00485C4E" w:rsidRPr="00383DEE">
        <w:rPr>
          <w:rFonts w:ascii="仿宋_GB2312" w:eastAsia="仿宋_GB2312" w:hAnsi="仿宋_GB2312" w:cs="仿宋_GB2312"/>
          <w:color w:val="000000" w:themeColor="text1"/>
          <w:sz w:val="32"/>
          <w:szCs w:val="32"/>
        </w:rPr>
        <w:t>022年</w:t>
      </w:r>
      <w:r w:rsidR="00485C4E" w:rsidRPr="00383DEE">
        <w:rPr>
          <w:rFonts w:ascii="仿宋_GB2312" w:eastAsia="仿宋_GB2312" w:hAnsi="仿宋_GB2312" w:cs="仿宋_GB2312" w:hint="eastAsia"/>
          <w:color w:val="000000" w:themeColor="text1"/>
          <w:sz w:val="32"/>
          <w:szCs w:val="32"/>
        </w:rPr>
        <w:t>的</w:t>
      </w:r>
      <w:r w:rsidRPr="00383DEE">
        <w:rPr>
          <w:rFonts w:ascii="仿宋_GB2312" w:eastAsia="仿宋_GB2312" w:hAnsi="仿宋_GB2312" w:cs="仿宋_GB2312" w:hint="eastAsia"/>
          <w:color w:val="000000" w:themeColor="text1"/>
          <w:sz w:val="32"/>
          <w:szCs w:val="32"/>
        </w:rPr>
        <w:t>城镇化率水平为57.20、59.71、60.31，年均增</w:t>
      </w:r>
      <w:r w:rsidR="004F07F9" w:rsidRPr="00383DEE">
        <w:rPr>
          <w:rFonts w:ascii="仿宋_GB2312" w:eastAsia="仿宋_GB2312" w:hAnsi="仿宋_GB2312" w:cs="仿宋_GB2312" w:hint="eastAsia"/>
          <w:color w:val="000000" w:themeColor="text1"/>
          <w:sz w:val="32"/>
          <w:szCs w:val="32"/>
        </w:rPr>
        <w:t>长</w:t>
      </w:r>
      <w:r w:rsidRPr="00383DEE">
        <w:rPr>
          <w:rFonts w:ascii="仿宋_GB2312" w:eastAsia="仿宋_GB2312" w:hAnsi="仿宋_GB2312" w:cs="仿宋_GB2312" w:hint="eastAsia"/>
          <w:color w:val="000000" w:themeColor="text1"/>
          <w:sz w:val="32"/>
          <w:szCs w:val="32"/>
        </w:rPr>
        <w:t>1.5</w:t>
      </w:r>
      <w:r w:rsidR="004F07F9" w:rsidRPr="00383DEE">
        <w:rPr>
          <w:rFonts w:ascii="仿宋_GB2312" w:eastAsia="仿宋_GB2312" w:hAnsi="仿宋_GB2312" w:cs="仿宋_GB2312" w:hint="eastAsia"/>
          <w:color w:val="000000" w:themeColor="text1"/>
          <w:sz w:val="32"/>
          <w:szCs w:val="32"/>
        </w:rPr>
        <w:t>6个百分点</w:t>
      </w:r>
      <w:r w:rsidRPr="00383DEE">
        <w:rPr>
          <w:rFonts w:ascii="仿宋_GB2312" w:eastAsia="仿宋_GB2312" w:hAnsi="仿宋_GB2312" w:cs="仿宋_GB2312" w:hint="eastAsia"/>
          <w:color w:val="000000" w:themeColor="text1"/>
          <w:sz w:val="32"/>
          <w:szCs w:val="32"/>
        </w:rPr>
        <w:t>。</w:t>
      </w:r>
      <w:r w:rsidR="00485C4E" w:rsidRPr="00383DEE">
        <w:rPr>
          <w:rFonts w:ascii="仿宋_GB2312" w:eastAsia="仿宋_GB2312" w:hAnsi="仿宋_GB2312" w:cs="仿宋_GB2312" w:hint="eastAsia"/>
          <w:color w:val="000000" w:themeColor="text1"/>
          <w:sz w:val="32"/>
          <w:szCs w:val="32"/>
        </w:rPr>
        <w:t>我县城镇化率水平低于</w:t>
      </w:r>
      <w:r w:rsidR="008173D3" w:rsidRPr="00383DEE">
        <w:rPr>
          <w:rFonts w:ascii="仿宋_GB2312" w:eastAsia="仿宋_GB2312" w:hAnsi="仿宋_GB2312" w:cs="仿宋_GB2312" w:hint="eastAsia"/>
          <w:color w:val="000000" w:themeColor="text1"/>
          <w:sz w:val="32"/>
          <w:szCs w:val="32"/>
        </w:rPr>
        <w:t>同期怀化市、湖南省的</w:t>
      </w:r>
      <w:r w:rsidR="00CE4642" w:rsidRPr="00383DEE">
        <w:rPr>
          <w:rFonts w:ascii="仿宋_GB2312" w:eastAsia="仿宋_GB2312" w:hAnsi="仿宋_GB2312" w:cs="仿宋_GB2312" w:hint="eastAsia"/>
          <w:color w:val="000000" w:themeColor="text1"/>
          <w:sz w:val="32"/>
          <w:szCs w:val="32"/>
        </w:rPr>
        <w:t>同期</w:t>
      </w:r>
      <w:r w:rsidR="008173D3" w:rsidRPr="00383DEE">
        <w:rPr>
          <w:rFonts w:ascii="仿宋_GB2312" w:eastAsia="仿宋_GB2312" w:hAnsi="仿宋_GB2312" w:cs="仿宋_GB2312" w:hint="eastAsia"/>
          <w:color w:val="000000" w:themeColor="text1"/>
          <w:sz w:val="32"/>
          <w:szCs w:val="32"/>
        </w:rPr>
        <w:t>水平</w:t>
      </w:r>
      <w:r w:rsidR="00485C4E" w:rsidRPr="00383DEE">
        <w:rPr>
          <w:rFonts w:ascii="仿宋_GB2312" w:eastAsia="仿宋_GB2312" w:hAnsi="仿宋_GB2312" w:cs="仿宋_GB2312" w:hint="eastAsia"/>
          <w:color w:val="000000" w:themeColor="text1"/>
          <w:sz w:val="32"/>
          <w:szCs w:val="32"/>
        </w:rPr>
        <w:t>，但</w:t>
      </w:r>
      <w:r w:rsidR="00CE4642" w:rsidRPr="00383DEE">
        <w:rPr>
          <w:rFonts w:ascii="仿宋_GB2312" w:eastAsia="仿宋_GB2312" w:hAnsi="仿宋_GB2312" w:cs="仿宋_GB2312" w:hint="eastAsia"/>
          <w:color w:val="000000" w:themeColor="text1"/>
          <w:sz w:val="32"/>
          <w:szCs w:val="32"/>
        </w:rPr>
        <w:t>年</w:t>
      </w:r>
      <w:r w:rsidR="00485C4E" w:rsidRPr="00383DEE">
        <w:rPr>
          <w:rFonts w:ascii="仿宋_GB2312" w:eastAsia="仿宋_GB2312" w:hAnsi="仿宋_GB2312" w:cs="仿宋_GB2312" w:hint="eastAsia"/>
          <w:color w:val="000000" w:themeColor="text1"/>
          <w:sz w:val="32"/>
          <w:szCs w:val="32"/>
        </w:rPr>
        <w:t>均增</w:t>
      </w:r>
      <w:r w:rsidR="00CE4642" w:rsidRPr="00383DEE">
        <w:rPr>
          <w:rFonts w:ascii="仿宋_GB2312" w:eastAsia="仿宋_GB2312" w:hAnsi="仿宋_GB2312" w:cs="仿宋_GB2312" w:hint="eastAsia"/>
          <w:color w:val="000000" w:themeColor="text1"/>
          <w:sz w:val="32"/>
          <w:szCs w:val="32"/>
        </w:rPr>
        <w:t>长</w:t>
      </w:r>
      <w:r w:rsidRPr="00383DEE">
        <w:rPr>
          <w:rFonts w:ascii="仿宋_GB2312" w:eastAsia="仿宋_GB2312" w:hAnsi="仿宋_GB2312" w:cs="仿宋_GB2312" w:hint="eastAsia"/>
          <w:color w:val="000000" w:themeColor="text1"/>
          <w:sz w:val="32"/>
          <w:szCs w:val="32"/>
        </w:rPr>
        <w:t>高于怀化市</w:t>
      </w:r>
      <w:r w:rsidR="00CE4642" w:rsidRPr="00383DEE">
        <w:rPr>
          <w:rFonts w:ascii="仿宋_GB2312" w:eastAsia="仿宋_GB2312" w:hAnsi="仿宋_GB2312" w:cs="仿宋_GB2312" w:hint="eastAsia"/>
          <w:color w:val="000000" w:themeColor="text1"/>
          <w:sz w:val="32"/>
          <w:szCs w:val="32"/>
        </w:rPr>
        <w:t>、</w:t>
      </w:r>
      <w:r w:rsidRPr="00383DEE">
        <w:rPr>
          <w:rFonts w:ascii="仿宋_GB2312" w:eastAsia="仿宋_GB2312" w:hAnsi="仿宋_GB2312" w:cs="仿宋_GB2312" w:hint="eastAsia"/>
          <w:color w:val="000000" w:themeColor="text1"/>
          <w:sz w:val="32"/>
          <w:szCs w:val="32"/>
        </w:rPr>
        <w:t>湖南省水平。</w:t>
      </w:r>
      <w:r>
        <w:rPr>
          <w:rFonts w:ascii="仿宋_GB2312" w:eastAsia="仿宋_GB2312" w:hAnsi="仿宋_GB2312" w:cs="仿宋_GB2312" w:hint="eastAsia"/>
          <w:color w:val="000000" w:themeColor="text1"/>
          <w:sz w:val="32"/>
          <w:szCs w:val="32"/>
        </w:rPr>
        <w:t>从目前的城镇化水平和今后趋势来看，预计实现难度较大，造成目标难以实现的主要原因是由于2020-2021年我县第七次人口普查数据统计口径的缘故，主要是行政区划调整在对街道、人口聚集区的确定时对村(居)委会的城镇属性划分量过少，导致常住人口统计范围过窄，城镇化率偏低，</w:t>
      </w:r>
      <w:r w:rsidR="002454D0" w:rsidRPr="00383DEE">
        <w:rPr>
          <w:rFonts w:ascii="仿宋_GB2312" w:eastAsia="仿宋_GB2312" w:hAnsi="仿宋_GB2312" w:cs="仿宋_GB2312" w:hint="eastAsia"/>
          <w:color w:val="000000" w:themeColor="text1"/>
          <w:sz w:val="32"/>
          <w:szCs w:val="32"/>
        </w:rPr>
        <w:t>建议</w:t>
      </w:r>
      <w:r w:rsidRPr="00383DEE">
        <w:rPr>
          <w:rFonts w:ascii="仿宋_GB2312" w:eastAsia="仿宋_GB2312" w:hAnsi="仿宋_GB2312" w:cs="仿宋_GB2312" w:hint="eastAsia"/>
          <w:color w:val="000000" w:themeColor="text1"/>
          <w:sz w:val="32"/>
          <w:szCs w:val="32"/>
        </w:rPr>
        <w:t>合理修正相关指标</w:t>
      </w:r>
      <w:r>
        <w:rPr>
          <w:rFonts w:ascii="仿宋_GB2312" w:eastAsia="仿宋_GB2312" w:hAnsi="仿宋_GB2312" w:cs="仿宋_GB2312" w:hint="eastAsia"/>
          <w:color w:val="000000" w:themeColor="text1"/>
          <w:sz w:val="32"/>
          <w:szCs w:val="32"/>
        </w:rPr>
        <w:t>。</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32" w:name="_Toc18118"/>
      <w:r>
        <w:rPr>
          <w:rFonts w:ascii="黑体" w:eastAsia="黑体" w:hAnsi="黑体" w:hint="eastAsia"/>
          <w:b w:val="0"/>
          <w:bCs w:val="0"/>
          <w:color w:val="000000" w:themeColor="text1"/>
        </w:rPr>
        <w:t>二、约束性指标难以实现的情况说明</w:t>
      </w:r>
      <w:bookmarkEnd w:id="32"/>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劳动年龄人口平均受教育年限(年，约束性)。</w:t>
      </w:r>
      <w:r>
        <w:rPr>
          <w:rFonts w:ascii="仿宋_GB2312" w:eastAsia="仿宋_GB2312" w:hAnsi="仿宋_GB2312" w:cs="仿宋_GB2312" w:hint="eastAsia"/>
          <w:color w:val="000000" w:themeColor="text1"/>
          <w:sz w:val="32"/>
          <w:szCs w:val="32"/>
        </w:rPr>
        <w:t>我县暂未</w:t>
      </w:r>
      <w:r>
        <w:rPr>
          <w:rFonts w:ascii="仿宋_GB2312" w:eastAsia="仿宋_GB2312" w:hAnsi="仿宋_GB2312" w:cs="仿宋_GB2312" w:hint="eastAsia"/>
          <w:color w:val="000000" w:themeColor="text1"/>
          <w:sz w:val="32"/>
          <w:szCs w:val="32"/>
        </w:rPr>
        <w:lastRenderedPageBreak/>
        <w:t>每年组织编纂年度统计年鉴，现有资料中暂时缺乏历年相关统计数据，现根据县教育局反馈数据进行评估。我县劳动年龄人口平均受教育年限相关指标数如下：2020年完成情况为9.65年，2021年完成情况为9.82年（全市平均10.09年），较上年增加了0.17年；2022年完成情况为9.93年（全市平均10.16年），较上年增加了0.11年；2023年1-6月完成情况暂缺数据。根据前三年的完成情况增长值，预测2023年达到10.03年，2024年达到10.13年，2025年达到10.23年，2025年难以完成目标值12年的任务，且全市的增长速度也较低，</w:t>
      </w:r>
      <w:r w:rsidR="002454D0">
        <w:rPr>
          <w:rFonts w:ascii="仿宋_GB2312" w:eastAsia="仿宋_GB2312" w:hAnsi="仿宋_GB2312" w:cs="仿宋_GB2312" w:hint="eastAsia"/>
          <w:color w:val="000000" w:themeColor="text1"/>
          <w:sz w:val="32"/>
          <w:szCs w:val="32"/>
        </w:rPr>
        <w:t>建议合理</w:t>
      </w:r>
      <w:r>
        <w:rPr>
          <w:rFonts w:ascii="仿宋_GB2312" w:eastAsia="仿宋_GB2312" w:hAnsi="仿宋_GB2312" w:cs="仿宋_GB2312" w:hint="eastAsia"/>
          <w:color w:val="000000" w:themeColor="text1"/>
          <w:sz w:val="32"/>
          <w:szCs w:val="32"/>
        </w:rPr>
        <w:t>修正相关指标。</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森林覆盖率(约束性)。</w:t>
      </w:r>
      <w:r>
        <w:rPr>
          <w:rFonts w:ascii="仿宋_GB2312" w:eastAsia="仿宋_GB2312" w:hAnsi="仿宋_GB2312" w:cs="仿宋_GB2312" w:hint="eastAsia"/>
          <w:color w:val="000000" w:themeColor="text1"/>
          <w:sz w:val="32"/>
          <w:szCs w:val="32"/>
        </w:rPr>
        <w:t>2025年森林覆盖率达到67.8%,由于国土三调的林地和耕地统计口径有变化，林地面积减少导致森林覆盖率会降低，预计森林覆盖率在60.0%左右，</w:t>
      </w:r>
      <w:r w:rsidR="002454D0" w:rsidRPr="00383DEE">
        <w:rPr>
          <w:rFonts w:ascii="仿宋_GB2312" w:eastAsia="仿宋_GB2312" w:hAnsi="仿宋_GB2312" w:cs="仿宋_GB2312" w:hint="eastAsia"/>
          <w:color w:val="000000" w:themeColor="text1"/>
          <w:sz w:val="32"/>
          <w:szCs w:val="32"/>
        </w:rPr>
        <w:t>建议合理</w:t>
      </w:r>
      <w:r w:rsidRPr="00383DEE">
        <w:rPr>
          <w:rFonts w:ascii="仿宋_GB2312" w:eastAsia="仿宋_GB2312" w:hAnsi="仿宋_GB2312" w:cs="仿宋_GB2312" w:hint="eastAsia"/>
          <w:color w:val="000000" w:themeColor="text1"/>
          <w:sz w:val="32"/>
          <w:szCs w:val="32"/>
        </w:rPr>
        <w:t>修正相关指标</w:t>
      </w:r>
      <w:r>
        <w:rPr>
          <w:rFonts w:ascii="仿宋_GB2312" w:eastAsia="仿宋_GB2312" w:hAnsi="仿宋_GB2312" w:cs="仿宋_GB2312" w:hint="eastAsia"/>
          <w:color w:val="000000" w:themeColor="text1"/>
          <w:sz w:val="32"/>
          <w:szCs w:val="32"/>
        </w:rPr>
        <w:t>。</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亿元GDP生产安全事故死亡率(约束性)。</w:t>
      </w:r>
      <w:r>
        <w:rPr>
          <w:rFonts w:ascii="仿宋_GB2312" w:eastAsia="仿宋_GB2312" w:hAnsi="仿宋_GB2312" w:cs="仿宋_GB2312" w:hint="eastAsia"/>
          <w:color w:val="000000" w:themeColor="text1"/>
          <w:sz w:val="32"/>
          <w:szCs w:val="32"/>
        </w:rPr>
        <w:t>2020年发生各类生产经营性安全事故6起，死亡6人，亿元GDP生产安全事故死亡人数为0.033人；2021年累计发生各类生产安全事故10起，死亡10人，亿元GDP生产安全事故死亡人数为0.049人；2022年累计发生各类生产安全事故5起，死亡6人，亿元GDP生产安全事故死亡人数为0.027人。至2025年的目标值是累计减少25%，我县2020年的基期值为0.033,2021年和2022年亿元GDP生产安全责任事故</w:t>
      </w:r>
      <w:r>
        <w:rPr>
          <w:rFonts w:ascii="仿宋_GB2312" w:eastAsia="仿宋_GB2312" w:hAnsi="仿宋_GB2312" w:cs="仿宋_GB2312" w:hint="eastAsia"/>
          <w:color w:val="000000" w:themeColor="text1"/>
          <w:sz w:val="32"/>
          <w:szCs w:val="32"/>
        </w:rPr>
        <w:lastRenderedPageBreak/>
        <w:t>死亡人数均存在该值附近呈现上下起伏趋势。从我县的近5年亿元GDP生产安全事故死亡人数数据分析看，年平均亿元GDP生产安全事故死亡人数虽总体呈下降趋势，但中期起伏极大。我县安全生产在当前经济发展形势和安全管理基础面临较大压力，从安全科学发展规律来看，</w:t>
      </w:r>
      <w:r w:rsidR="002454D0">
        <w:rPr>
          <w:rFonts w:ascii="仿宋_GB2312" w:eastAsia="仿宋_GB2312" w:hAnsi="仿宋_GB2312" w:cs="仿宋_GB2312" w:hint="eastAsia"/>
          <w:color w:val="000000" w:themeColor="text1"/>
          <w:sz w:val="32"/>
          <w:szCs w:val="32"/>
        </w:rPr>
        <w:t>建议合理</w:t>
      </w:r>
      <w:r>
        <w:rPr>
          <w:rFonts w:ascii="仿宋_GB2312" w:eastAsia="仿宋_GB2312" w:hAnsi="仿宋_GB2312" w:cs="仿宋_GB2312" w:hint="eastAsia"/>
          <w:color w:val="000000" w:themeColor="text1"/>
          <w:sz w:val="32"/>
          <w:szCs w:val="32"/>
        </w:rPr>
        <w:t>修正相关指标。</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33" w:name="_Toc30488"/>
      <w:r>
        <w:rPr>
          <w:rFonts w:ascii="黑体" w:eastAsia="黑体" w:hAnsi="黑体" w:hint="eastAsia"/>
          <w:b w:val="0"/>
          <w:bCs w:val="0"/>
          <w:color w:val="000000" w:themeColor="text1"/>
        </w:rPr>
        <w:t>三、约束性指标预计可实现预期目标</w:t>
      </w:r>
      <w:bookmarkEnd w:id="33"/>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单位地区生产总值能源消耗降幅（%）和单位地区生产总值二氧化碳排放降幅（%）目标值。</w:t>
      </w:r>
      <w:r>
        <w:rPr>
          <w:rFonts w:ascii="仿宋_GB2312" w:eastAsia="仿宋_GB2312" w:hAnsi="仿宋_GB2312" w:cs="仿宋_GB2312" w:hint="eastAsia"/>
          <w:color w:val="000000" w:themeColor="text1"/>
          <w:sz w:val="32"/>
          <w:szCs w:val="32"/>
        </w:rPr>
        <w:t>这两项任务的目标值均由省市直接下达任务，前者2021年和2022年的完成数值为-4.10%和-3.80%，2023年数据暂缺，后者我县现有资料中暂缺历年相关统计数据，参考历年的任务完成情况，2项指标预计能按序时进度完成规划目标。</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rPr>
      </w:pPr>
      <w:bookmarkStart w:id="34" w:name="_Toc28557"/>
      <w:r>
        <w:rPr>
          <w:rFonts w:ascii="黑体" w:eastAsia="黑体" w:hAnsi="黑体" w:hint="eastAsia"/>
          <w:b w:val="0"/>
          <w:bCs w:val="0"/>
          <w:color w:val="000000" w:themeColor="text1"/>
        </w:rPr>
        <w:t>四、</w:t>
      </w:r>
      <w:r>
        <w:rPr>
          <w:rFonts w:ascii="黑体" w:eastAsia="黑体" w:hAnsi="黑体"/>
          <w:b w:val="0"/>
          <w:bCs w:val="0"/>
          <w:color w:val="000000" w:themeColor="text1"/>
        </w:rPr>
        <w:t>预期性指标预计可实现预期目标</w:t>
      </w:r>
      <w:bookmarkEnd w:id="34"/>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地区生产总值(预期性)。</w:t>
      </w:r>
      <w:r>
        <w:rPr>
          <w:rFonts w:ascii="仿宋_GB2312" w:eastAsia="仿宋_GB2312" w:hAnsi="仿宋_GB2312" w:cs="仿宋_GB2312" w:hint="eastAsia"/>
          <w:color w:val="000000" w:themeColor="text1"/>
          <w:sz w:val="32"/>
          <w:szCs w:val="32"/>
        </w:rPr>
        <w:t>受近年来宏观环境复杂多变，中美贸易摩擦等因素影响，以及国内去杠杆、控债务、严监管、强环保等多项政策效应叠加，拉动经济增长的三驾马车——投资、内需和外贸均出现下行，全省、全市GDP增速近两年增长放缓。从我县GDP的主要支撑指标来看，投资和消费两大主要动力“十四五”以来增长乏力、增速放缓，出口虽然有所增长但占比太低，难以支撑拉动经济快速增长的任务；社会消费品总额增速下滑、规模工业增长乏力、财政</w:t>
      </w:r>
      <w:r>
        <w:rPr>
          <w:rFonts w:ascii="仿宋_GB2312" w:eastAsia="仿宋_GB2312" w:hAnsi="仿宋_GB2312" w:cs="仿宋_GB2312" w:hint="eastAsia"/>
          <w:color w:val="000000" w:themeColor="text1"/>
          <w:sz w:val="32"/>
          <w:szCs w:val="32"/>
        </w:rPr>
        <w:lastRenderedPageBreak/>
        <w:t>八项支出增长受限、商品房销售面积难以持续高速增长等因素也导致GDP增长放缓。2021、2022年GDP、2023年上半年总量分别达到200.32亿元、213.41亿元、101.72亿，比上年增长8.40%、5.00%、3.90%，2022年和2023年上半年经济增速均未超过7.00%的规划目标。而同期，怀化市的GDP增速分别为8.40%、3.80%、3.00%，我县GDP增速均高于或等于同期怀化市水平。我县若要完成规划目标，后三年需年均增长6.47%，与怀化市十四五中期评估后修正值6.00%比高0.47%，从当前我县经济增长面临的宏观形势和近年来我县经济发展规律来看，预计能按序时进度完成规划目标。</w:t>
      </w:r>
    </w:p>
    <w:p w:rsidR="00B545CE" w:rsidRPr="00B545CE" w:rsidRDefault="00B545CE" w:rsidP="00B545CE">
      <w:pPr>
        <w:sectPr w:rsidR="00B545CE" w:rsidRPr="00B545CE">
          <w:pgSz w:w="11906" w:h="16838"/>
          <w:pgMar w:top="1701" w:right="1531" w:bottom="1531" w:left="1531" w:header="822" w:footer="822" w:gutter="567"/>
          <w:cols w:space="425"/>
          <w:docGrid w:type="lines" w:linePitch="312"/>
        </w:sectPr>
      </w:pPr>
    </w:p>
    <w:p w:rsidR="000B0562" w:rsidRDefault="005B091D" w:rsidP="009978E1">
      <w:pPr>
        <w:pStyle w:val="1"/>
        <w:spacing w:before="360" w:after="240" w:line="360" w:lineRule="auto"/>
        <w:jc w:val="center"/>
        <w:rPr>
          <w:rFonts w:ascii="黑体" w:eastAsia="黑体" w:hAnsi="黑体"/>
          <w:b w:val="0"/>
          <w:bCs w:val="0"/>
          <w:color w:val="000000" w:themeColor="text1"/>
          <w:sz w:val="36"/>
          <w:szCs w:val="36"/>
        </w:rPr>
      </w:pPr>
      <w:bookmarkStart w:id="35" w:name="_Toc16383"/>
      <w:r>
        <w:rPr>
          <w:rFonts w:ascii="黑体" w:eastAsia="黑体" w:hAnsi="黑体"/>
          <w:b w:val="0"/>
          <w:bCs w:val="0"/>
          <w:color w:val="000000" w:themeColor="text1"/>
          <w:sz w:val="36"/>
          <w:szCs w:val="36"/>
        </w:rPr>
        <w:lastRenderedPageBreak/>
        <w:t>纲要局部修改的内容建议</w:t>
      </w:r>
      <w:bookmarkEnd w:id="35"/>
    </w:p>
    <w:p w:rsidR="000B0562" w:rsidRDefault="005B091D">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四五”以来，溆浦县的发展使命、发展趋势发生了重大变化，为更好体现县情新变化、发展新要求、建设新任务，更好地发挥《纲要》对“十四五”后半期的引导、指导作用，确保较好或提前完成“十四五”时期的各项任务，建议对《纲要》进行局部修改。</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36" w:name="_Toc10699"/>
      <w:r>
        <w:rPr>
          <w:rFonts w:ascii="黑体" w:eastAsia="黑体" w:hAnsi="黑体" w:hint="eastAsia"/>
          <w:b w:val="0"/>
          <w:bCs w:val="0"/>
          <w:color w:val="000000" w:themeColor="text1"/>
          <w:szCs w:val="30"/>
        </w:rPr>
        <w:t>一、</w:t>
      </w:r>
      <w:r>
        <w:rPr>
          <w:rFonts w:ascii="黑体" w:eastAsia="黑体" w:hAnsi="黑体"/>
          <w:b w:val="0"/>
          <w:bCs w:val="0"/>
          <w:color w:val="000000" w:themeColor="text1"/>
          <w:szCs w:val="30"/>
        </w:rPr>
        <w:t>纲要修改的缘由</w:t>
      </w:r>
      <w:bookmarkEnd w:id="36"/>
    </w:p>
    <w:p w:rsidR="000B0562" w:rsidRDefault="005B091D">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省委、省政府高度重视、大力支持怀化奋起二次创业、推动高水平开放高质量发展，要求怀化抢抓战略机遇，发挥比较优势，为湖南打造内陆地区改革开放高地作出新贡献。溆浦作为怀化的第一人口大县，要勇担使命，聚焦实现“三高四新”美好蓝图，团结带领全县百万干群，坚持以开放促发展，以改革强动力，以溆浦一域之光为全省全市打造改革开放高地添彩。抓住国家实施“一带一路”战略和湖南打造怀化国际陆港战略机遇，依托溆浦毗邻怀化国际陆港地缘优势，加快打造溆浦周边7县1市商贸物流中心。抢抓国家支持民营经济发展壮大和湘商回归的机遇，贯彻落实好促进民营经济发展壮大政策措施，加大招商力度，积极引进、培育好民营经济。抢抓国家促进内外贸一体化试点和湖南实施长株潭城市圈一体化战略机遇，利用好溆浦产业开发区成为中国（湖南）</w:t>
      </w:r>
      <w:r>
        <w:rPr>
          <w:rFonts w:ascii="仿宋_GB2312" w:eastAsia="仿宋_GB2312" w:hAnsi="仿宋_GB2312" w:cs="仿宋_GB2312" w:hint="eastAsia"/>
          <w:color w:val="000000" w:themeColor="text1"/>
          <w:sz w:val="32"/>
          <w:szCs w:val="32"/>
        </w:rPr>
        <w:lastRenderedPageBreak/>
        <w:t>自由贸易试验区协同联动区的平台优势，以及长沙市雨花区对口帮扶时机，大力开展与国内、国际市场的对接合作、资源共享，有机融入省、市打造内陆地区改革开放高地进程。主动适应发展变化的新担当新作为。在“十四五”规划基础上，县委县政府对标党的二十大新部署新要求，结合溆浦发展实际，进一步明确目标定位，找准方向路径，推动各项工作的关键环节、重点领域、主攻方向更加清晰，内在逻辑更加严密。这些重点工作都建成了成熟定型的体制机制，形成了市县一体推进的良好态势。“十四五”后半程，应当对《纲要》进一步优化完善，确保更加适应时代要求、符合发展规律、彰显溆浦特色。</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37" w:name="_Toc13725"/>
      <w:r>
        <w:rPr>
          <w:rFonts w:ascii="黑体" w:eastAsia="黑体" w:hAnsi="黑体" w:hint="eastAsia"/>
          <w:b w:val="0"/>
          <w:bCs w:val="0"/>
          <w:color w:val="000000" w:themeColor="text1"/>
          <w:szCs w:val="30"/>
        </w:rPr>
        <w:t>二、</w:t>
      </w:r>
      <w:r>
        <w:rPr>
          <w:rFonts w:ascii="黑体" w:eastAsia="黑体" w:hAnsi="黑体"/>
          <w:b w:val="0"/>
          <w:bCs w:val="0"/>
          <w:color w:val="000000" w:themeColor="text1"/>
          <w:szCs w:val="30"/>
        </w:rPr>
        <w:t>纲要修改的原则</w:t>
      </w:r>
      <w:bookmarkEnd w:id="37"/>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坚持目标导向</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确保《纲要》修编的科学性和规范性。《纲要》是政府履行经济调节、市场监管、社会管理、公共服务、生态环境保护职能的重要依据，具有较强的战略导向作用。因此，修编必须与省市“十四五”规划纲要保持一致，既保持现有逻辑体例结构不变，同时，又结合新形势新要求，根据国家、省市和县委县政府对溆浦发展作出的新部署新定位，对相应内容进行调整充实完善，更好地发挥《纲要》对“十四五”后半程的引领指导作用。</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坚持问题导向，</w:t>
      </w:r>
      <w:r>
        <w:rPr>
          <w:rFonts w:ascii="仿宋_GB2312" w:eastAsia="仿宋_GB2312" w:hAnsi="仿宋_GB2312" w:cs="仿宋_GB2312" w:hint="eastAsia"/>
          <w:color w:val="000000" w:themeColor="text1"/>
          <w:sz w:val="32"/>
          <w:szCs w:val="32"/>
        </w:rPr>
        <w:t>确保《纲要》修编的精准性和实效性。既要突出重点，又要兼顾全面。围绕湖南打造怀化国际陆港</w:t>
      </w:r>
      <w:r>
        <w:rPr>
          <w:rFonts w:ascii="仿宋_GB2312" w:eastAsia="仿宋_GB2312" w:hAnsi="仿宋_GB2312" w:cs="仿宋_GB2312" w:hint="eastAsia"/>
          <w:color w:val="000000" w:themeColor="text1"/>
          <w:sz w:val="32"/>
          <w:szCs w:val="32"/>
        </w:rPr>
        <w:lastRenderedPageBreak/>
        <w:t>战略机遇，依托我县毗邻怀化国际陆港地缘优势，加快打造溆浦周边7县1市商贸物流中心等重点方面，以及《纲要》实施中出现的新情况新问题，有侧重有针对性地进行修编。同时，还要兼顾“十四五”规划总体布局，聚焦补短板、强弱项、调结构，促进经济社会全面发展。</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坚持结果导向，</w:t>
      </w:r>
      <w:r>
        <w:rPr>
          <w:rFonts w:ascii="仿宋_GB2312" w:eastAsia="仿宋_GB2312" w:hAnsi="仿宋_GB2312" w:cs="仿宋_GB2312" w:hint="eastAsia"/>
          <w:color w:val="000000" w:themeColor="text1"/>
          <w:sz w:val="32"/>
          <w:szCs w:val="32"/>
        </w:rPr>
        <w:t>确保《纲要》修编的约束力和可操作性。既要立足当前，又着眼长远，正确处理好“十四五”发展目标与省委、市委、县委各次全会部署的战略目标的关系。特别是全面衔接市委“五新四城”战略和“四强四新”举措，明确“十四五”后半程的发展目标、重点任务，为全面建设现代化新溆浦打下坚实基础。</w:t>
      </w:r>
    </w:p>
    <w:p w:rsidR="000B0562" w:rsidRDefault="005B091D">
      <w:pPr>
        <w:pStyle w:val="3"/>
        <w:numPr>
          <w:ilvl w:val="2"/>
          <w:numId w:val="0"/>
        </w:numPr>
        <w:spacing w:before="0" w:after="0" w:line="616" w:lineRule="exact"/>
        <w:ind w:firstLineChars="200" w:firstLine="640"/>
        <w:rPr>
          <w:rFonts w:ascii="黑体" w:eastAsia="黑体" w:hAnsi="黑体"/>
          <w:b w:val="0"/>
          <w:bCs w:val="0"/>
          <w:color w:val="000000" w:themeColor="text1"/>
          <w:szCs w:val="30"/>
        </w:rPr>
      </w:pPr>
      <w:bookmarkStart w:id="38" w:name="_Toc7033"/>
      <w:r>
        <w:rPr>
          <w:rFonts w:ascii="黑体" w:eastAsia="黑体" w:hAnsi="黑体" w:hint="eastAsia"/>
          <w:b w:val="0"/>
          <w:bCs w:val="0"/>
          <w:color w:val="000000" w:themeColor="text1"/>
          <w:szCs w:val="30"/>
        </w:rPr>
        <w:t>三、纲要修改的建议</w:t>
      </w:r>
      <w:bookmarkEnd w:id="38"/>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关于“指导思想”。</w:t>
      </w:r>
      <w:r>
        <w:rPr>
          <w:rFonts w:ascii="仿宋_GB2312" w:eastAsia="仿宋_GB2312" w:hAnsi="仿宋_GB2312" w:cs="仿宋_GB2312" w:hint="eastAsia"/>
          <w:color w:val="000000" w:themeColor="text1"/>
          <w:sz w:val="32"/>
          <w:szCs w:val="32"/>
        </w:rPr>
        <w:t>在指导思想中充分贯彻党的二十大精神和习近平新时代中国特色社会主义思想，落实省委书记沈晓明来怀考察讲话指示精神与为湖南打造内陆地区改革开放高地作出新贡献的重大要求，把握省委、省政府对怀化未来发展的系列要求，与市委“五新四城”战略充分衔接。建议将《纲要》中“大力实施‘三高四新’战略，推动高质量发展、加快建设富饶美丽幸福新溆浦”调整为“</w:t>
      </w:r>
      <w:r w:rsidR="00715F63">
        <w:rPr>
          <w:rFonts w:ascii="仿宋_GB2312" w:eastAsia="仿宋_GB2312" w:hAnsi="仿宋_GB2312" w:cs="仿宋_GB2312" w:hint="eastAsia"/>
          <w:color w:val="000000" w:themeColor="text1"/>
          <w:sz w:val="32"/>
          <w:szCs w:val="32"/>
        </w:rPr>
        <w:t>锚定</w:t>
      </w:r>
      <w:r>
        <w:rPr>
          <w:rFonts w:ascii="仿宋_GB2312" w:eastAsia="仿宋_GB2312" w:hAnsi="仿宋_GB2312" w:cs="仿宋_GB2312" w:hint="eastAsia"/>
          <w:color w:val="000000" w:themeColor="text1"/>
          <w:sz w:val="32"/>
          <w:szCs w:val="32"/>
        </w:rPr>
        <w:t>‘三高四新’美好蓝图，深入实施‘五新四城’战略，不断加快现代化新溆浦建设，全县各项事业取得了新进展、新成效”。</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关于“发展定位”。</w:t>
      </w:r>
      <w:r>
        <w:rPr>
          <w:rFonts w:ascii="仿宋_GB2312" w:eastAsia="仿宋_GB2312" w:hAnsi="仿宋_GB2312" w:cs="仿宋_GB2312" w:hint="eastAsia"/>
          <w:color w:val="000000" w:themeColor="text1"/>
          <w:sz w:val="32"/>
          <w:szCs w:val="32"/>
        </w:rPr>
        <w:t>准确把握党的二十大报告深刻内涵，进</w:t>
      </w:r>
      <w:r>
        <w:rPr>
          <w:rFonts w:ascii="仿宋_GB2312" w:eastAsia="仿宋_GB2312" w:hAnsi="仿宋_GB2312" w:cs="仿宋_GB2312" w:hint="eastAsia"/>
          <w:color w:val="000000" w:themeColor="text1"/>
          <w:sz w:val="32"/>
          <w:szCs w:val="32"/>
        </w:rPr>
        <w:lastRenderedPageBreak/>
        <w:t>一步明确溆浦在全省、全市经济社会发展大局中的角色定位。建议将《纲要》中“坚决按照市委着力打造西部陆海新通道战略门户城市、建设五省边区生态文明中心城市、建设武陵山片区高质量发展示范区的战略部署”调整为“坚决按照市委着力建设国际陆港之城、建设生态绿色之城、建设创新创业之城、建设宜居智慧之城的战略部署”。建议将《纲要》中“加快构建</w:t>
      </w:r>
      <w:r w:rsidR="004F2B1E">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一心三区产业发展新格局，将溆浦工业集中区打造成溆浦经济发展的增长中心，将溆浦建设成为优质特色农产品供应区，生态休闲旅游示范区，电子商贸与物流产业集聚区”</w:t>
      </w:r>
      <w:r w:rsidR="00EE5894">
        <w:rPr>
          <w:rFonts w:ascii="仿宋_GB2312" w:eastAsia="仿宋_GB2312" w:hAnsi="仿宋_GB2312" w:cs="仿宋_GB2312" w:hint="eastAsia"/>
          <w:color w:val="000000" w:themeColor="text1"/>
          <w:sz w:val="32"/>
          <w:szCs w:val="32"/>
        </w:rPr>
        <w:t>加入</w:t>
      </w:r>
      <w:r>
        <w:rPr>
          <w:rFonts w:ascii="仿宋_GB2312" w:eastAsia="仿宋_GB2312" w:hAnsi="仿宋_GB2312" w:cs="仿宋_GB2312" w:hint="eastAsia"/>
          <w:color w:val="000000" w:themeColor="text1"/>
          <w:sz w:val="32"/>
          <w:szCs w:val="32"/>
        </w:rPr>
        <w:t>“积极融入“一带一路”战略和怀化</w:t>
      </w:r>
      <w:r>
        <w:rPr>
          <w:rFonts w:ascii="仿宋_GB2312" w:eastAsia="仿宋_GB2312" w:hAnsi="仿宋_GB2312" w:cs="仿宋_GB2312" w:hint="eastAsia"/>
          <w:color w:val="000000" w:themeColor="text1"/>
          <w:spacing w:val="6"/>
          <w:sz w:val="32"/>
          <w:szCs w:val="32"/>
        </w:rPr>
        <w:t>国际陆港建设，基本建成怀化国际陆港东部集货中心和怀邵娄益边区商贸物流中心，围绕</w:t>
      </w:r>
      <w:r w:rsidR="0022522C">
        <w:rPr>
          <w:rFonts w:ascii="仿宋_GB2312" w:eastAsia="仿宋_GB2312" w:hAnsi="仿宋_GB2312" w:cs="仿宋_GB2312" w:hint="eastAsia"/>
          <w:color w:val="000000" w:themeColor="text1"/>
          <w:spacing w:val="6"/>
          <w:sz w:val="32"/>
          <w:szCs w:val="32"/>
        </w:rPr>
        <w:t>“一主两特”</w:t>
      </w:r>
      <w:r>
        <w:rPr>
          <w:rFonts w:ascii="仿宋_GB2312" w:eastAsia="仿宋_GB2312" w:hAnsi="仿宋_GB2312" w:cs="仿宋_GB2312" w:hint="eastAsia"/>
          <w:color w:val="000000" w:themeColor="text1"/>
          <w:spacing w:val="6"/>
          <w:sz w:val="32"/>
          <w:szCs w:val="32"/>
        </w:rPr>
        <w:t>，持续“补链强链延链”，做大做强县域特色产业”</w:t>
      </w:r>
      <w:r w:rsidR="00EE5894">
        <w:rPr>
          <w:rFonts w:ascii="仿宋_GB2312" w:eastAsia="仿宋_GB2312" w:hAnsi="仿宋_GB2312" w:cs="仿宋_GB2312" w:hint="eastAsia"/>
          <w:color w:val="000000" w:themeColor="text1"/>
          <w:spacing w:val="6"/>
          <w:sz w:val="32"/>
          <w:szCs w:val="32"/>
        </w:rPr>
        <w:t>等表述</w:t>
      </w:r>
      <w:r>
        <w:rPr>
          <w:rFonts w:ascii="仿宋_GB2312" w:eastAsia="仿宋_GB2312" w:hAnsi="仿宋_GB2312" w:cs="仿宋_GB2312" w:hint="eastAsia"/>
          <w:color w:val="000000" w:themeColor="text1"/>
          <w:spacing w:val="6"/>
          <w:sz w:val="32"/>
          <w:szCs w:val="32"/>
        </w:rPr>
        <w:t>。</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color w:val="000000" w:themeColor="text1"/>
          <w:sz w:val="32"/>
          <w:szCs w:val="32"/>
        </w:rPr>
        <w:t>关于“主要指标”。</w:t>
      </w:r>
      <w:r>
        <w:rPr>
          <w:rFonts w:ascii="仿宋_GB2312" w:eastAsia="仿宋_GB2312" w:hAnsi="仿宋_GB2312" w:cs="仿宋_GB2312" w:hint="eastAsia"/>
          <w:color w:val="000000" w:themeColor="text1"/>
          <w:sz w:val="32"/>
          <w:szCs w:val="32"/>
        </w:rPr>
        <w:t>根据对《纲要》指标体系的评估，为促进“十四五”发展目标顺利实现，有必要对实际基数及指标值作相应调整。</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一是调减</w:t>
      </w:r>
      <w:r w:rsidR="009A2977">
        <w:rPr>
          <w:rFonts w:ascii="仿宋_GB2312" w:eastAsia="仿宋_GB2312" w:hAnsi="仿宋_GB2312" w:cs="仿宋_GB2312" w:hint="eastAsia"/>
          <w:b/>
          <w:color w:val="000000" w:themeColor="text1"/>
          <w:sz w:val="32"/>
          <w:szCs w:val="32"/>
        </w:rPr>
        <w:t>五</w:t>
      </w:r>
      <w:r>
        <w:rPr>
          <w:rFonts w:ascii="仿宋_GB2312" w:eastAsia="仿宋_GB2312" w:hAnsi="仿宋_GB2312" w:cs="仿宋_GB2312" w:hint="eastAsia"/>
          <w:b/>
          <w:color w:val="000000" w:themeColor="text1"/>
          <w:sz w:val="32"/>
          <w:szCs w:val="32"/>
        </w:rPr>
        <w:t>项指标值</w:t>
      </w:r>
      <w:r>
        <w:rPr>
          <w:rFonts w:ascii="仿宋_GB2312" w:eastAsia="仿宋_GB2312" w:hAnsi="仿宋_GB2312" w:cs="仿宋_GB2312" w:hint="eastAsia"/>
          <w:color w:val="000000" w:themeColor="text1"/>
          <w:sz w:val="32"/>
          <w:szCs w:val="32"/>
        </w:rPr>
        <w:t>。对于因为客观原因完成确有困难的指标，特别是约束性指标，建议认清形势、正视差距，适当调低目标值，确保信心不减、奋力赶超。</w:t>
      </w:r>
      <w:r>
        <w:rPr>
          <w:rFonts w:ascii="仿宋_GB2312" w:eastAsia="仿宋_GB2312" w:hAnsi="仿宋_GB2312" w:cs="仿宋_GB2312" w:hint="eastAsia"/>
          <w:b/>
          <w:color w:val="000000" w:themeColor="text1"/>
          <w:sz w:val="32"/>
          <w:szCs w:val="32"/>
        </w:rPr>
        <w:t>(一)最终消费支出对地区生产总值贡献率(预期性)</w:t>
      </w:r>
      <w:r>
        <w:rPr>
          <w:rFonts w:ascii="仿宋_GB2312" w:eastAsia="仿宋_GB2312" w:hAnsi="仿宋_GB2312" w:cs="仿宋_GB2312" w:hint="eastAsia"/>
          <w:color w:val="000000" w:themeColor="text1"/>
          <w:sz w:val="32"/>
          <w:szCs w:val="32"/>
        </w:rPr>
        <w:t>。2021-2023年我县的社会消费品零售总额与湖南省同期的指标相比，其增速18.44%比湖南省的平均增速7.7%高10.74%、其占国民生产总值的</w:t>
      </w:r>
      <w:r>
        <w:rPr>
          <w:rFonts w:ascii="仿宋_GB2312" w:eastAsia="仿宋_GB2312" w:hAnsi="仿宋_GB2312" w:cs="仿宋_GB2312" w:hint="eastAsia"/>
          <w:color w:val="000000" w:themeColor="text1"/>
          <w:sz w:val="32"/>
          <w:szCs w:val="32"/>
        </w:rPr>
        <w:lastRenderedPageBreak/>
        <w:t>比例60%比湖南省的48.51%高11.49%，从目前的消费基础和今后趋势来看，预计实现难度较大。最终消费支出对地区生产总值贡献率，2021-2023年一直在35.00-37.74%之间徘徊，距离60.00%有22.26-25.00%的差距，建议考虑我县的实际情况将2025年规划目标值从60.00%调整为45.00%。</w:t>
      </w:r>
      <w:r>
        <w:rPr>
          <w:rFonts w:ascii="仿宋_GB2312" w:eastAsia="仿宋_GB2312" w:hAnsi="仿宋_GB2312" w:cs="仿宋_GB2312" w:hint="eastAsia"/>
          <w:b/>
          <w:color w:val="000000" w:themeColor="text1"/>
          <w:sz w:val="32"/>
          <w:szCs w:val="32"/>
        </w:rPr>
        <w:t>(二)常住人口城镇化率（%，预期性）</w:t>
      </w:r>
      <w:r>
        <w:rPr>
          <w:rFonts w:ascii="仿宋_GB2312" w:eastAsia="仿宋_GB2312" w:hAnsi="仿宋_GB2312" w:cs="仿宋_GB2312" w:hint="eastAsia"/>
          <w:color w:val="000000" w:themeColor="text1"/>
          <w:sz w:val="32"/>
          <w:szCs w:val="32"/>
        </w:rPr>
        <w:t>。由于2020-2021年我县第七次人口普查数据统计口径的缘故，主要是行政区划调整在对街道、人口聚集区的确定时对村(居)委会的城镇</w:t>
      </w:r>
      <w:bookmarkStart w:id="39" w:name="_GoBack"/>
      <w:bookmarkEnd w:id="39"/>
      <w:r>
        <w:rPr>
          <w:rFonts w:ascii="仿宋_GB2312" w:eastAsia="仿宋_GB2312" w:hAnsi="仿宋_GB2312" w:cs="仿宋_GB2312" w:hint="eastAsia"/>
          <w:color w:val="000000" w:themeColor="text1"/>
          <w:sz w:val="32"/>
          <w:szCs w:val="32"/>
        </w:rPr>
        <w:t>属性划分量过少，导致常住人口统计范围过窄，导致城镇常住人口基数过低。以我县2020年常住人口(75.78万人)和城镇人口(20.74万人)为基数，到2025年实现50.00%的目标，需增加17.15万城镇人口(2025年末城镇人口预测约为37.89万人)。而我县2020-2023年仅增加5.02万城镇人口，不到目标值的三分之一。充分考虑怀化市中心城区对城镇人口的集聚效应和我县历年城镇化率增长的平均增速，</w:t>
      </w:r>
      <w:r w:rsidRPr="00383DEE">
        <w:rPr>
          <w:rFonts w:ascii="仿宋_GB2312" w:eastAsia="仿宋_GB2312" w:hAnsi="仿宋_GB2312" w:cs="仿宋_GB2312" w:hint="eastAsia"/>
          <w:color w:val="000000" w:themeColor="text1"/>
          <w:sz w:val="32"/>
          <w:szCs w:val="32"/>
        </w:rPr>
        <w:t>建议将2025年规划目标从50.00%调整为35.00%。</w:t>
      </w:r>
      <w:r>
        <w:rPr>
          <w:rFonts w:ascii="仿宋_GB2312" w:eastAsia="仿宋_GB2312" w:hAnsi="仿宋_GB2312" w:cs="仿宋_GB2312" w:hint="eastAsia"/>
          <w:b/>
          <w:color w:val="000000" w:themeColor="text1"/>
          <w:sz w:val="32"/>
          <w:szCs w:val="32"/>
        </w:rPr>
        <w:t>(三)劳动年龄人口平均受教育年限(年，约束性)</w:t>
      </w:r>
      <w:r>
        <w:rPr>
          <w:rFonts w:ascii="仿宋_GB2312" w:eastAsia="仿宋_GB2312" w:hAnsi="仿宋_GB2312" w:cs="仿宋_GB2312" w:hint="eastAsia"/>
          <w:color w:val="000000" w:themeColor="text1"/>
          <w:sz w:val="32"/>
          <w:szCs w:val="32"/>
        </w:rPr>
        <w:t>。2021年、2022年，我县劳动年龄人口平均受教育年限分别为9.82年、9.93年，2023年1-6月暂无数据。根据前两年的完成情况，预测2023年达到10.03年，2024年达到10.13年，2025年达到10.23年，难以完成目标值12.00年的任务，且全市的增长速度也比较低，建议将2025年目标值从12.00年调整</w:t>
      </w:r>
      <w:r>
        <w:rPr>
          <w:rFonts w:ascii="仿宋_GB2312" w:eastAsia="仿宋_GB2312" w:hAnsi="仿宋_GB2312" w:cs="仿宋_GB2312" w:hint="eastAsia"/>
          <w:color w:val="000000" w:themeColor="text1"/>
          <w:sz w:val="32"/>
          <w:szCs w:val="32"/>
        </w:rPr>
        <w:lastRenderedPageBreak/>
        <w:t>为10.23年。</w:t>
      </w:r>
      <w:r>
        <w:rPr>
          <w:rFonts w:ascii="仿宋_GB2312" w:eastAsia="仿宋_GB2312" w:hAnsi="仿宋_GB2312" w:cs="仿宋_GB2312" w:hint="eastAsia"/>
          <w:b/>
          <w:color w:val="000000" w:themeColor="text1"/>
          <w:sz w:val="32"/>
          <w:szCs w:val="32"/>
        </w:rPr>
        <w:t>(四)森林覆盖率(约束性)。</w:t>
      </w:r>
      <w:r>
        <w:rPr>
          <w:rFonts w:ascii="仿宋_GB2312" w:eastAsia="仿宋_GB2312" w:hAnsi="仿宋_GB2312" w:cs="仿宋_GB2312" w:hint="eastAsia"/>
          <w:color w:val="000000" w:themeColor="text1"/>
          <w:sz w:val="32"/>
          <w:szCs w:val="32"/>
        </w:rPr>
        <w:t>由于国土三调的林地和耕地统计口径有变化，林地面积减少而导致森林覆盖率降低，预计森林覆盖率将保持60.0%左右，建议将2025年目标值从67.8%调整为60.0%。</w:t>
      </w:r>
      <w:r w:rsidR="009A2977">
        <w:rPr>
          <w:rFonts w:ascii="仿宋_GB2312" w:eastAsia="仿宋_GB2312" w:hAnsi="仿宋_GB2312" w:cs="仿宋_GB2312" w:hint="eastAsia"/>
          <w:b/>
          <w:color w:val="000000" w:themeColor="text1"/>
          <w:sz w:val="32"/>
          <w:szCs w:val="32"/>
        </w:rPr>
        <w:t>(五)</w:t>
      </w:r>
      <w:r>
        <w:rPr>
          <w:rFonts w:ascii="仿宋_GB2312" w:eastAsia="仿宋_GB2312" w:hAnsi="仿宋_GB2312" w:cs="仿宋_GB2312" w:hint="eastAsia"/>
          <w:b/>
          <w:color w:val="000000" w:themeColor="text1"/>
          <w:sz w:val="32"/>
          <w:szCs w:val="32"/>
        </w:rPr>
        <w:t>亿元GDP生产安全事故死亡率(约束性)</w:t>
      </w:r>
      <w:r>
        <w:rPr>
          <w:rFonts w:ascii="仿宋_GB2312" w:eastAsia="仿宋_GB2312" w:hAnsi="仿宋_GB2312" w:cs="仿宋_GB2312" w:hint="eastAsia"/>
          <w:color w:val="000000" w:themeColor="text1"/>
          <w:sz w:val="32"/>
          <w:szCs w:val="32"/>
        </w:rPr>
        <w:t>。至2025年的目标值是累计减少25%，我县2020年的基期值为0.033,2021年和2022年亿元GDP生产安全责任事故死亡人数均在该值附近上下起伏。从我县近5年亿元GDP生产安全事故死亡人数数据分析看，年平均亿元GDP生产安全事故死亡人数均在虽总体呈下降趋势，但中期起伏极大，我县安全生产在当前经济发展形势和安全管理基础面临较大压力。从安全科学发展规律来看，预计只能按累计减少20%完成目标，建议将2025年目标值从-25%调整为-20%。</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二是对个别指标的单位进行修正</w:t>
      </w:r>
      <w:r>
        <w:rPr>
          <w:rFonts w:ascii="仿宋_GB2312" w:eastAsia="仿宋_GB2312" w:hAnsi="仿宋_GB2312" w:cs="仿宋_GB2312" w:hint="eastAsia"/>
          <w:color w:val="000000" w:themeColor="text1"/>
          <w:sz w:val="32"/>
          <w:szCs w:val="32"/>
        </w:rPr>
        <w:t>。《纲要》第25项指标“亿元地区生产总值生产安全事故死亡率”单位为“%” 与“人/亿元”均正确，可自由统一选择修正，为简单直观，建议采用亿元GDP生产安全事故死亡人数的单位：人/亿元。</w:t>
      </w:r>
    </w:p>
    <w:p w:rsidR="000B0562" w:rsidRDefault="005B091D" w:rsidP="00A769A6">
      <w:pPr>
        <w:spacing w:line="616" w:lineRule="exact"/>
        <w:ind w:firstLineChars="200" w:firstLine="640"/>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关于“重要任务”。</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一是“坚持创新引领，全面打造发展新优势”篇章</w:t>
      </w:r>
      <w:r>
        <w:rPr>
          <w:rFonts w:ascii="仿宋_GB2312" w:eastAsia="仿宋_GB2312" w:hAnsi="仿宋_GB2312" w:cs="仿宋_GB2312" w:hint="eastAsia"/>
          <w:color w:val="000000" w:themeColor="text1"/>
          <w:sz w:val="32"/>
          <w:szCs w:val="32"/>
        </w:rPr>
        <w:t>。根据县委十三届历次全会的新要求，要实施开放平台能级提升行动，依托省自贸协同联动区这一平台，融入怀化国际陆港建设，大力推进现代农业产业园、“雨溆工业园”、多式联运物流</w:t>
      </w:r>
      <w:r>
        <w:rPr>
          <w:rFonts w:ascii="仿宋_GB2312" w:eastAsia="仿宋_GB2312" w:hAnsi="仿宋_GB2312" w:cs="仿宋_GB2312" w:hint="eastAsia"/>
          <w:color w:val="000000" w:themeColor="text1"/>
          <w:sz w:val="32"/>
          <w:szCs w:val="32"/>
        </w:rPr>
        <w:lastRenderedPageBreak/>
        <w:t>园与溆浦产业开发区融合发展，争创省级物流园区、先进制造业与现代服务业两业融合示范园区、省跨境电商聚集区，将溆浦产业开发区建成数字赋能农、工、贸、服，资金高度集聚、内外商品和服务贸易繁荣的溆浦开放名片，建议对“加快创新平台建设中的搭建科技创新服务平台”章节内容进行调整完善。</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二是“加快构建现代产业体系，着力壮大实体经济”篇章</w:t>
      </w:r>
      <w:r>
        <w:rPr>
          <w:rFonts w:ascii="仿宋_GB2312" w:eastAsia="仿宋_GB2312" w:hAnsi="仿宋_GB2312" w:cs="仿宋_GB2312" w:hint="eastAsia"/>
          <w:color w:val="000000" w:themeColor="text1"/>
          <w:sz w:val="32"/>
          <w:szCs w:val="32"/>
        </w:rPr>
        <w:t>。根据县委十三届历次全会的新要求，要实施临港工业集群发展行动，统筹推进“10+2”现代化产业新体系建设。重点依托硅砂资源优势，推进精深加工，打造“百亿企业”“千亿产业”；充分发挥石材资源优势和湖南开发西部的政策优势，打造中部地区石材产业集散基地；发挥化工传统优势，全力争取化工园区申报认定，着力壮大化工新材料产业，打造全省重点化工新材料基地；以现有文创企业为基础，推动动漫文创产业与文旅融合，打造全市“产学研用”融合示范县；以纳纳家居、舒小福新材料等企业为龙头，引进金属制品关联企业，加速产业聚集，打造外贸型金属制品基地，建议对“产业发展布局”章节内容进行调整完善。建议将专栏2现代物流体系建设工程的相关内容根据怀化国际陆港东部（溆浦）集散中心、溆浦县三级物流配送体系县城快递物流分拣中心、湖南省溆浦县汽车及配件物流园区项目、溆浦县农产品交易及冷链物流仓储建设项目等项目的建设实际进行完善。</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lastRenderedPageBreak/>
        <w:t>三是“加快构建现代产业体系，着力壮大实体经济”篇章</w:t>
      </w:r>
      <w:r>
        <w:rPr>
          <w:rFonts w:ascii="仿宋_GB2312" w:eastAsia="仿宋_GB2312" w:hAnsi="仿宋_GB2312" w:cs="仿宋_GB2312" w:hint="eastAsia"/>
          <w:color w:val="000000" w:themeColor="text1"/>
          <w:sz w:val="32"/>
          <w:szCs w:val="32"/>
        </w:rPr>
        <w:t>。根据县委十三届历次全会的新要求，要实施现代物流集聚发展行动，严格执行《溆浦县推进商贸物流产业高质量发展2023-2025年三年行动计划》，明确产业链建设方向，积极组织企业参加湖南（怀化）RCEP经贸博览会和中非经贸博览会；整合快递资源，推动运输集约化、设备标准化和流程信息化；积极融入怀化国际陆港，加强引导对接，帮助物流企业发展国际业务。加快推进“一纵一横”高速公路网络建设，加快构建“四横两纵”综合运输通道，着力提升货物集散能力，建议对“加快发展现代服务业中的商贸物流业”章节内容进行调整完善。</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四是“加快构建现代产业体系，着力壮大实体经济”篇章</w:t>
      </w:r>
      <w:r>
        <w:rPr>
          <w:rFonts w:ascii="仿宋_GB2312" w:eastAsia="仿宋_GB2312" w:hAnsi="仿宋_GB2312" w:cs="仿宋_GB2312" w:hint="eastAsia"/>
          <w:color w:val="000000" w:themeColor="text1"/>
          <w:sz w:val="32"/>
          <w:szCs w:val="32"/>
        </w:rPr>
        <w:t>。根据县委十三届历次全会的新要求，要实施商贸服务提质行动，组建溆浦县外贸（跨境电商）综合服务中心，强化对现有外贸企业的跟踪服务，支持龙头企业开拓国际市场，着力打造具有溆浦特色的外贸产业集群。按照供应链一体化整合的要求，加强政策支撑和引导，鼓励跨境电商企业、传统外贸企业和物流企业等多元主体综合运用多种投融资方式参与海外仓建设，建议对“加快发展现代服务业中的电子商务业”章节内容进行调整完善。</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五是“全面深化改革扩大开放，构建有利于高质量发展的体制机制”篇章</w:t>
      </w:r>
      <w:r>
        <w:rPr>
          <w:rFonts w:ascii="仿宋_GB2312" w:eastAsia="仿宋_GB2312" w:hAnsi="仿宋_GB2312" w:cs="仿宋_GB2312" w:hint="eastAsia"/>
          <w:color w:val="000000" w:themeColor="text1"/>
          <w:sz w:val="32"/>
          <w:szCs w:val="32"/>
        </w:rPr>
        <w:t>。根据县委十三届历次全会的新要求，要实施</w:t>
      </w:r>
      <w:r>
        <w:rPr>
          <w:rFonts w:ascii="仿宋_GB2312" w:eastAsia="仿宋_GB2312" w:hAnsi="仿宋_GB2312" w:cs="仿宋_GB2312" w:hint="eastAsia"/>
          <w:color w:val="000000" w:themeColor="text1"/>
          <w:sz w:val="32"/>
          <w:szCs w:val="32"/>
        </w:rPr>
        <w:lastRenderedPageBreak/>
        <w:t>国际交流深化拓展行动，依托湖南（怀化）RCEP经贸博览会、“怀化—北部湾港”铁海联运、湖南自贸区雨花区块等对外交流平台，推动湘维、龙潭片区的石材资源等“走出去”，拓展国际市场。支持研发升级，开发智能化产品，不断扩大溆浦产品在全球家居用品市场份额。发挥溆浦文旅资源优势，定期举办“大江口大端午”龙舟文化节、花瑶文化节、腊八节、“楚辞之源·涉江溆浦”屈原文化论坛等文旅活动，进一步打响溆浦文旅品牌，吸引国际游客，建议对“推进更高水平开放中的高水平引进来走出去”章节内容进行调整完善。</w:t>
      </w:r>
    </w:p>
    <w:p w:rsidR="000B0562" w:rsidRDefault="005B091D" w:rsidP="00A769A6">
      <w:pPr>
        <w:spacing w:line="616" w:lineRule="exact"/>
        <w:ind w:firstLineChars="200"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六是“着力扩大内需，在融入新发展格局中展现新作</w:t>
      </w:r>
      <w:r w:rsidR="004543AE">
        <w:rPr>
          <w:rFonts w:ascii="仿宋_GB2312" w:eastAsia="仿宋_GB2312" w:hAnsi="仿宋_GB2312" w:cs="仿宋_GB2312" w:hint="eastAsia"/>
          <w:b/>
          <w:color w:val="000000" w:themeColor="text1"/>
          <w:sz w:val="32"/>
          <w:szCs w:val="32"/>
        </w:rPr>
        <w:t>为</w:t>
      </w:r>
      <w:r>
        <w:rPr>
          <w:rFonts w:ascii="仿宋_GB2312" w:eastAsia="仿宋_GB2312" w:hAnsi="仿宋_GB2312" w:cs="仿宋_GB2312" w:hint="eastAsia"/>
          <w:b/>
          <w:color w:val="000000" w:themeColor="text1"/>
          <w:sz w:val="32"/>
          <w:szCs w:val="32"/>
        </w:rPr>
        <w:t>”篇章。</w:t>
      </w:r>
      <w:r>
        <w:rPr>
          <w:rFonts w:ascii="仿宋_GB2312" w:eastAsia="仿宋_GB2312" w:hAnsi="仿宋_GB2312" w:cs="仿宋_GB2312" w:hint="eastAsia"/>
          <w:color w:val="000000" w:themeColor="text1"/>
          <w:sz w:val="32"/>
          <w:szCs w:val="32"/>
        </w:rPr>
        <w:t>建议按照我县交通项目推进情况修改完善乡镇通三级公路、旅游通景路、资源产业路、农村公路改造目标，国省干线公路大中修、完成安全生命防护栏公里数和公路桥隧建设或改造数值。</w:t>
      </w:r>
    </w:p>
    <w:p w:rsidR="000B0562" w:rsidRDefault="005B091D" w:rsidP="00A769A6">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七是关于其他部分。</w:t>
      </w:r>
      <w:r>
        <w:rPr>
          <w:rFonts w:ascii="仿宋_GB2312" w:eastAsia="仿宋_GB2312" w:hAnsi="仿宋_GB2312" w:cs="仿宋_GB2312" w:hint="eastAsia"/>
          <w:color w:val="000000" w:themeColor="text1"/>
          <w:sz w:val="32"/>
          <w:szCs w:val="32"/>
        </w:rPr>
        <w:t>除上述内容外，按照省第十二次党代会、省委十二届三次、四次全会和市第六次党代会、市委六届三次、四次、五次全会决策部署，以及县委十三届历次全会及相关重要会议和文件及现实工作实际对部分规划内容、形式、表述、提法进行修订完善。</w:t>
      </w:r>
    </w:p>
    <w:p w:rsidR="000B0562" w:rsidRDefault="005B091D" w:rsidP="00AB4814">
      <w:pPr>
        <w:spacing w:line="61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八是关于重大工程项目。</w:t>
      </w:r>
      <w:r>
        <w:rPr>
          <w:rFonts w:ascii="仿宋_GB2312" w:eastAsia="仿宋_GB2312" w:hAnsi="仿宋_GB2312" w:cs="仿宋_GB2312" w:hint="eastAsia"/>
          <w:color w:val="000000" w:themeColor="text1"/>
          <w:sz w:val="32"/>
          <w:szCs w:val="32"/>
        </w:rPr>
        <w:t>随着国家投资政策的变化，县委、县政府不断加大投资力度支持重大项目建设，2021年以来我县重新谋划、包装、储备、实施了一批重点项目，建</w:t>
      </w:r>
      <w:r>
        <w:rPr>
          <w:rFonts w:ascii="仿宋_GB2312" w:eastAsia="仿宋_GB2312" w:hAnsi="仿宋_GB2312" w:cs="仿宋_GB2312" w:hint="eastAsia"/>
          <w:color w:val="000000" w:themeColor="text1"/>
          <w:sz w:val="32"/>
          <w:szCs w:val="32"/>
        </w:rPr>
        <w:lastRenderedPageBreak/>
        <w:t>议按照“在建有项目、近期有开工、长远有谋划”的原则，把部门协调与专班推进结合起来，按照“谋划一批、论证一批、落地一批、建设一批”的要求，围绕以下重点方面，加大项目谋划储备力度，力争更多项目进入省市盘子，确保“十四五”重大项目建设工作高质高效推进：一是已纳入国、省、市“十四五”专项规划的重大项目；二是正在实施的省市重点项目；三是正在实施的中央预算内投资、专项债券和基金项目；四是已纳入中央预算内、专项债券储备库的项目；五是“5+N”现代化产业新体系招商落地项目；六是各部门储备的2024-2025年拟开工的项目。</w:t>
      </w:r>
    </w:p>
    <w:sectPr w:rsidR="000B0562" w:rsidSect="000B0562">
      <w:pgSz w:w="11906" w:h="16838"/>
      <w:pgMar w:top="1701" w:right="1531" w:bottom="1531" w:left="1531" w:header="822" w:footer="822" w:gutter="56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3DD" w:rsidRDefault="006B23DD" w:rsidP="000B0562">
      <w:r>
        <w:separator/>
      </w:r>
    </w:p>
  </w:endnote>
  <w:endnote w:type="continuationSeparator" w:id="1">
    <w:p w:rsidR="006B23DD" w:rsidRDefault="006B23DD" w:rsidP="000B0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b/>
        <w:sz w:val="21"/>
      </w:rPr>
      <w:id w:val="1479799797"/>
    </w:sdtPr>
    <w:sdtContent>
      <w:p w:rsidR="00DB7747" w:rsidRDefault="00DB7747">
        <w:pPr>
          <w:pStyle w:val="a4"/>
          <w:jc w:val="center"/>
          <w:rPr>
            <w:rFonts w:ascii="仿宋" w:eastAsia="仿宋" w:hAnsi="仿宋"/>
            <w:b/>
            <w:sz w:val="21"/>
          </w:rPr>
        </w:pPr>
        <w:r>
          <w:rPr>
            <w:rFonts w:ascii="仿宋" w:eastAsia="仿宋" w:hAnsi="仿宋"/>
            <w:b/>
            <w:sz w:val="21"/>
          </w:rPr>
          <w:t>-</w:t>
        </w:r>
        <w:r w:rsidR="00AB4814">
          <w:rPr>
            <w:rFonts w:ascii="仿宋" w:eastAsia="仿宋" w:hAnsi="仿宋"/>
            <w:b/>
            <w:sz w:val="21"/>
          </w:rPr>
          <w:fldChar w:fldCharType="begin"/>
        </w:r>
        <w:r>
          <w:rPr>
            <w:rFonts w:ascii="仿宋" w:eastAsia="仿宋" w:hAnsi="仿宋"/>
            <w:b/>
            <w:sz w:val="21"/>
          </w:rPr>
          <w:instrText>PAGE   \* MERGEFORMAT</w:instrText>
        </w:r>
        <w:r w:rsidR="00AB4814">
          <w:rPr>
            <w:rFonts w:ascii="仿宋" w:eastAsia="仿宋" w:hAnsi="仿宋"/>
            <w:b/>
            <w:sz w:val="21"/>
          </w:rPr>
          <w:fldChar w:fldCharType="separate"/>
        </w:r>
        <w:r>
          <w:rPr>
            <w:rFonts w:ascii="仿宋" w:eastAsia="仿宋" w:hAnsi="仿宋"/>
            <w:b/>
            <w:sz w:val="21"/>
            <w:lang w:val="zh-CN"/>
          </w:rPr>
          <w:t>4</w:t>
        </w:r>
        <w:r w:rsidR="00AB4814">
          <w:rPr>
            <w:rFonts w:ascii="仿宋" w:eastAsia="仿宋" w:hAnsi="仿宋"/>
            <w:b/>
            <w:sz w:val="21"/>
          </w:rPr>
          <w:fldChar w:fldCharType="end"/>
        </w:r>
        <w:r>
          <w:rPr>
            <w:rFonts w:ascii="仿宋" w:eastAsia="仿宋" w:hAnsi="仿宋" w:hint="eastAsia"/>
            <w:b/>
            <w:sz w:val="21"/>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747" w:rsidRDefault="00DB7747">
    <w:pPr>
      <w:pStyle w:val="a4"/>
      <w:rPr>
        <w:rFonts w:ascii="宋体" w:eastAsia="宋体" w:hAnsi="宋体" w:cs="宋体"/>
        <w:bCs/>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747" w:rsidRDefault="00DB7747">
    <w:pPr>
      <w:pStyle w:val="a4"/>
      <w:rPr>
        <w:rFonts w:ascii="宋体" w:eastAsia="宋体" w:hAnsi="宋体" w:cs="宋体"/>
        <w:bCs/>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b/>
        <w:sz w:val="21"/>
      </w:rPr>
      <w:id w:val="705304715"/>
    </w:sdtPr>
    <w:sdtEndPr>
      <w:rPr>
        <w:rFonts w:ascii="宋体" w:eastAsia="宋体" w:hAnsi="宋体" w:cs="宋体" w:hint="eastAsia"/>
        <w:b w:val="0"/>
        <w:bCs/>
        <w:sz w:val="24"/>
        <w:szCs w:val="24"/>
      </w:rPr>
    </w:sdtEndPr>
    <w:sdtContent>
      <w:p w:rsidR="00DB7747" w:rsidRDefault="00DB7747">
        <w:pPr>
          <w:pStyle w:val="a4"/>
          <w:jc w:val="center"/>
          <w:rPr>
            <w:rFonts w:ascii="宋体" w:eastAsia="宋体" w:hAnsi="宋体" w:cs="宋体"/>
            <w:bCs/>
            <w:sz w:val="24"/>
            <w:szCs w:val="24"/>
          </w:rPr>
        </w:pPr>
        <w:r>
          <w:rPr>
            <w:rFonts w:ascii="宋体" w:eastAsia="宋体" w:hAnsi="宋体" w:cs="宋体" w:hint="eastAsia"/>
            <w:bCs/>
            <w:sz w:val="24"/>
            <w:szCs w:val="24"/>
          </w:rPr>
          <w:t>-</w:t>
        </w:r>
        <w:r w:rsidR="00AB4814">
          <w:rPr>
            <w:rFonts w:ascii="宋体" w:eastAsia="宋体" w:hAnsi="宋体" w:cs="宋体" w:hint="eastAsia"/>
            <w:bCs/>
            <w:sz w:val="24"/>
            <w:szCs w:val="24"/>
          </w:rPr>
          <w:fldChar w:fldCharType="begin"/>
        </w:r>
        <w:r>
          <w:rPr>
            <w:rFonts w:ascii="宋体" w:eastAsia="宋体" w:hAnsi="宋体" w:cs="宋体" w:hint="eastAsia"/>
            <w:bCs/>
            <w:sz w:val="24"/>
            <w:szCs w:val="24"/>
          </w:rPr>
          <w:instrText>PAGE   \* MERGEFORMAT</w:instrText>
        </w:r>
        <w:r w:rsidR="00AB4814">
          <w:rPr>
            <w:rFonts w:ascii="宋体" w:eastAsia="宋体" w:hAnsi="宋体" w:cs="宋体" w:hint="eastAsia"/>
            <w:bCs/>
            <w:sz w:val="24"/>
            <w:szCs w:val="24"/>
          </w:rPr>
          <w:fldChar w:fldCharType="separate"/>
        </w:r>
        <w:r w:rsidR="00A769A6" w:rsidRPr="00A769A6">
          <w:rPr>
            <w:rFonts w:ascii="宋体" w:eastAsia="宋体" w:hAnsi="宋体" w:cs="宋体"/>
            <w:bCs/>
            <w:noProof/>
            <w:sz w:val="24"/>
            <w:szCs w:val="24"/>
            <w:lang w:val="zh-CN"/>
          </w:rPr>
          <w:t>50</w:t>
        </w:r>
        <w:r w:rsidR="00AB4814">
          <w:rPr>
            <w:rFonts w:ascii="宋体" w:eastAsia="宋体" w:hAnsi="宋体" w:cs="宋体" w:hint="eastAsia"/>
            <w:bCs/>
            <w:sz w:val="24"/>
            <w:szCs w:val="24"/>
          </w:rPr>
          <w:fldChar w:fldCharType="end"/>
        </w:r>
        <w:r>
          <w:rPr>
            <w:rFonts w:ascii="宋体" w:eastAsia="宋体" w:hAnsi="宋体" w:cs="宋体" w:hint="eastAsia"/>
            <w:bCs/>
            <w:sz w:val="24"/>
            <w:szCs w:val="24"/>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3DD" w:rsidRDefault="006B23DD" w:rsidP="000B0562">
      <w:r>
        <w:separator/>
      </w:r>
    </w:p>
  </w:footnote>
  <w:footnote w:type="continuationSeparator" w:id="1">
    <w:p w:rsidR="006B23DD" w:rsidRDefault="006B23DD" w:rsidP="000B0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2056"/>
    <w:multiLevelType w:val="multilevel"/>
    <w:tmpl w:val="16D52056"/>
    <w:lvl w:ilvl="0">
      <w:start w:val="1"/>
      <w:numFmt w:val="chineseCountingThousand"/>
      <w:pStyle w:val="1"/>
      <w:suff w:val="space"/>
      <w:lvlText w:val="第%1章"/>
      <w:lvlJc w:val="center"/>
      <w:pPr>
        <w:ind w:left="0" w:firstLine="0"/>
      </w:pPr>
      <w:rPr>
        <w:rFonts w:eastAsia="黑体" w:hint="eastAsia"/>
        <w:b w:val="0"/>
        <w:bCs/>
        <w:i w:val="0"/>
        <w:sz w:val="36"/>
      </w:rPr>
    </w:lvl>
    <w:lvl w:ilvl="1">
      <w:start w:val="1"/>
      <w:numFmt w:val="chineseCountingThousand"/>
      <w:suff w:val="space"/>
      <w:lvlText w:val="第%2节"/>
      <w:lvlJc w:val="center"/>
      <w:pPr>
        <w:ind w:left="0" w:firstLine="0"/>
      </w:pPr>
      <w:rPr>
        <w:rFonts w:eastAsia="黑体" w:hint="eastAsia"/>
        <w:sz w:val="32"/>
      </w:rPr>
    </w:lvl>
    <w:lvl w:ilvl="2">
      <w:start w:val="1"/>
      <w:numFmt w:val="chineseCountingThousand"/>
      <w:pStyle w:val="3"/>
      <w:suff w:val="space"/>
      <w:lvlText w:val="%3"/>
      <w:lvlJc w:val="left"/>
      <w:pPr>
        <w:ind w:left="0" w:firstLine="720"/>
      </w:pPr>
      <w:rPr>
        <w:rFonts w:eastAsia="黑体" w:hint="eastAsia"/>
        <w:sz w:val="32"/>
      </w:rPr>
    </w:lvl>
    <w:lvl w:ilvl="3">
      <w:start w:val="1"/>
      <w:numFmt w:val="chineseCountingThousand"/>
      <w:pStyle w:val="4"/>
      <w:suff w:val="space"/>
      <w:lvlText w:val="(%4)"/>
      <w:lvlJc w:val="left"/>
      <w:pPr>
        <w:ind w:left="0" w:firstLine="720"/>
      </w:pPr>
      <w:rPr>
        <w:rFonts w:eastAsia="黑体" w:hint="eastAsia"/>
        <w:sz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60B30DD2"/>
    <w:multiLevelType w:val="multilevel"/>
    <w:tmpl w:val="60B30DD2"/>
    <w:lvl w:ilvl="0">
      <w:start w:val="1"/>
      <w:numFmt w:val="decimal"/>
      <w:lvlText w:val="(%1)"/>
      <w:lvlJc w:val="left"/>
      <w:pPr>
        <w:ind w:left="1140" w:hanging="420"/>
      </w:pPr>
      <w:rPr>
        <w:rFonts w:hint="eastAsia"/>
        <w:b/>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E4NTZiMGZkZTIyYmM3MWZiN2Y5YmQ3ZjUzZTMwODcifQ=="/>
  </w:docVars>
  <w:rsids>
    <w:rsidRoot w:val="00827AEA"/>
    <w:rsid w:val="000119B8"/>
    <w:rsid w:val="00013838"/>
    <w:rsid w:val="00017F8C"/>
    <w:rsid w:val="00037C78"/>
    <w:rsid w:val="000442AE"/>
    <w:rsid w:val="0005265D"/>
    <w:rsid w:val="00054860"/>
    <w:rsid w:val="00055388"/>
    <w:rsid w:val="000668A1"/>
    <w:rsid w:val="000705B4"/>
    <w:rsid w:val="000961B7"/>
    <w:rsid w:val="000B0562"/>
    <w:rsid w:val="000B6831"/>
    <w:rsid w:val="000C0DF0"/>
    <w:rsid w:val="000C2643"/>
    <w:rsid w:val="000D3C26"/>
    <w:rsid w:val="000E0402"/>
    <w:rsid w:val="000F5DC7"/>
    <w:rsid w:val="00101BB0"/>
    <w:rsid w:val="00145B39"/>
    <w:rsid w:val="001671A7"/>
    <w:rsid w:val="00173B71"/>
    <w:rsid w:val="00181DE2"/>
    <w:rsid w:val="001828BD"/>
    <w:rsid w:val="00195B97"/>
    <w:rsid w:val="001B5EC9"/>
    <w:rsid w:val="001B6F15"/>
    <w:rsid w:val="001C2972"/>
    <w:rsid w:val="001D4785"/>
    <w:rsid w:val="001E05DE"/>
    <w:rsid w:val="001E4EA1"/>
    <w:rsid w:val="001E7169"/>
    <w:rsid w:val="001F103E"/>
    <w:rsid w:val="001F1D4E"/>
    <w:rsid w:val="001F79FA"/>
    <w:rsid w:val="00200026"/>
    <w:rsid w:val="00206DE1"/>
    <w:rsid w:val="00206E03"/>
    <w:rsid w:val="0022522C"/>
    <w:rsid w:val="0023243D"/>
    <w:rsid w:val="00240408"/>
    <w:rsid w:val="002425DC"/>
    <w:rsid w:val="002454D0"/>
    <w:rsid w:val="002606A5"/>
    <w:rsid w:val="00274E5F"/>
    <w:rsid w:val="0028077C"/>
    <w:rsid w:val="002B01C7"/>
    <w:rsid w:val="002B1754"/>
    <w:rsid w:val="002E2233"/>
    <w:rsid w:val="002F623D"/>
    <w:rsid w:val="00310CE0"/>
    <w:rsid w:val="00312C5B"/>
    <w:rsid w:val="003223A4"/>
    <w:rsid w:val="00327651"/>
    <w:rsid w:val="00327C21"/>
    <w:rsid w:val="0033053F"/>
    <w:rsid w:val="00335DEE"/>
    <w:rsid w:val="00337256"/>
    <w:rsid w:val="00345AA5"/>
    <w:rsid w:val="00351D32"/>
    <w:rsid w:val="00355A37"/>
    <w:rsid w:val="00356A26"/>
    <w:rsid w:val="00356BA5"/>
    <w:rsid w:val="003755B4"/>
    <w:rsid w:val="003770F7"/>
    <w:rsid w:val="00383DEE"/>
    <w:rsid w:val="00384F61"/>
    <w:rsid w:val="00394A29"/>
    <w:rsid w:val="00396F4D"/>
    <w:rsid w:val="003A6661"/>
    <w:rsid w:val="003B23C4"/>
    <w:rsid w:val="003B678C"/>
    <w:rsid w:val="003F0452"/>
    <w:rsid w:val="003F35D3"/>
    <w:rsid w:val="004133BB"/>
    <w:rsid w:val="004138F2"/>
    <w:rsid w:val="004218D6"/>
    <w:rsid w:val="00430A09"/>
    <w:rsid w:val="00441942"/>
    <w:rsid w:val="00454149"/>
    <w:rsid w:val="004543AE"/>
    <w:rsid w:val="00460557"/>
    <w:rsid w:val="00466884"/>
    <w:rsid w:val="00483F71"/>
    <w:rsid w:val="00485C4E"/>
    <w:rsid w:val="004908C7"/>
    <w:rsid w:val="00491459"/>
    <w:rsid w:val="004933F1"/>
    <w:rsid w:val="00495F9B"/>
    <w:rsid w:val="004A780C"/>
    <w:rsid w:val="004B1D4D"/>
    <w:rsid w:val="004B6029"/>
    <w:rsid w:val="004B6704"/>
    <w:rsid w:val="004B76D8"/>
    <w:rsid w:val="004C3F79"/>
    <w:rsid w:val="004D0711"/>
    <w:rsid w:val="004D6FDE"/>
    <w:rsid w:val="004F07F9"/>
    <w:rsid w:val="004F1FA3"/>
    <w:rsid w:val="004F2B1E"/>
    <w:rsid w:val="004F633C"/>
    <w:rsid w:val="00502B7A"/>
    <w:rsid w:val="0051018C"/>
    <w:rsid w:val="00530338"/>
    <w:rsid w:val="00533A9D"/>
    <w:rsid w:val="00550286"/>
    <w:rsid w:val="00555F5C"/>
    <w:rsid w:val="00557F55"/>
    <w:rsid w:val="00564F20"/>
    <w:rsid w:val="00564FC7"/>
    <w:rsid w:val="00570745"/>
    <w:rsid w:val="00580859"/>
    <w:rsid w:val="00580A62"/>
    <w:rsid w:val="00581FE3"/>
    <w:rsid w:val="00583938"/>
    <w:rsid w:val="00590CD9"/>
    <w:rsid w:val="005A3C4B"/>
    <w:rsid w:val="005B091D"/>
    <w:rsid w:val="005B238B"/>
    <w:rsid w:val="005E3B82"/>
    <w:rsid w:val="005F6673"/>
    <w:rsid w:val="005F79E0"/>
    <w:rsid w:val="00601CA3"/>
    <w:rsid w:val="00603528"/>
    <w:rsid w:val="00611D62"/>
    <w:rsid w:val="00620935"/>
    <w:rsid w:val="0063338A"/>
    <w:rsid w:val="00664555"/>
    <w:rsid w:val="00674EF8"/>
    <w:rsid w:val="006760EC"/>
    <w:rsid w:val="00676A3F"/>
    <w:rsid w:val="0068051A"/>
    <w:rsid w:val="006903CD"/>
    <w:rsid w:val="006956BD"/>
    <w:rsid w:val="00697CE2"/>
    <w:rsid w:val="006A77C3"/>
    <w:rsid w:val="006B23DD"/>
    <w:rsid w:val="006B54CD"/>
    <w:rsid w:val="006B6E0B"/>
    <w:rsid w:val="006C0B2E"/>
    <w:rsid w:val="006C1864"/>
    <w:rsid w:val="006D66EB"/>
    <w:rsid w:val="006F3B76"/>
    <w:rsid w:val="00715F63"/>
    <w:rsid w:val="00737D9C"/>
    <w:rsid w:val="0075532F"/>
    <w:rsid w:val="007603EB"/>
    <w:rsid w:val="007659A5"/>
    <w:rsid w:val="00792992"/>
    <w:rsid w:val="0079733B"/>
    <w:rsid w:val="007A3761"/>
    <w:rsid w:val="007A7165"/>
    <w:rsid w:val="007A787A"/>
    <w:rsid w:val="007B2B6D"/>
    <w:rsid w:val="007B2EFB"/>
    <w:rsid w:val="007F6DA7"/>
    <w:rsid w:val="00803EF6"/>
    <w:rsid w:val="0080773B"/>
    <w:rsid w:val="008173D3"/>
    <w:rsid w:val="00821CC8"/>
    <w:rsid w:val="00827AEA"/>
    <w:rsid w:val="00836D86"/>
    <w:rsid w:val="008405C9"/>
    <w:rsid w:val="008423E0"/>
    <w:rsid w:val="008443CF"/>
    <w:rsid w:val="00860F39"/>
    <w:rsid w:val="00867D28"/>
    <w:rsid w:val="00877006"/>
    <w:rsid w:val="008A60DB"/>
    <w:rsid w:val="008A7663"/>
    <w:rsid w:val="008B3C0F"/>
    <w:rsid w:val="008B4843"/>
    <w:rsid w:val="008B5DB3"/>
    <w:rsid w:val="008B6855"/>
    <w:rsid w:val="008D0ECD"/>
    <w:rsid w:val="008D18A3"/>
    <w:rsid w:val="008D6048"/>
    <w:rsid w:val="008E5BEC"/>
    <w:rsid w:val="008F76B4"/>
    <w:rsid w:val="009055D8"/>
    <w:rsid w:val="00905F8A"/>
    <w:rsid w:val="009262D4"/>
    <w:rsid w:val="0094389D"/>
    <w:rsid w:val="009475E8"/>
    <w:rsid w:val="00994080"/>
    <w:rsid w:val="009951B5"/>
    <w:rsid w:val="009954CB"/>
    <w:rsid w:val="009978E1"/>
    <w:rsid w:val="009A1620"/>
    <w:rsid w:val="009A276E"/>
    <w:rsid w:val="009A28FC"/>
    <w:rsid w:val="009A2977"/>
    <w:rsid w:val="009B2689"/>
    <w:rsid w:val="009B3B15"/>
    <w:rsid w:val="009C04CA"/>
    <w:rsid w:val="009C2940"/>
    <w:rsid w:val="00A03A7E"/>
    <w:rsid w:val="00A05383"/>
    <w:rsid w:val="00A236FA"/>
    <w:rsid w:val="00A30B0A"/>
    <w:rsid w:val="00A36BF8"/>
    <w:rsid w:val="00A40F92"/>
    <w:rsid w:val="00A5787C"/>
    <w:rsid w:val="00A654B4"/>
    <w:rsid w:val="00A728ED"/>
    <w:rsid w:val="00A769A6"/>
    <w:rsid w:val="00A920D3"/>
    <w:rsid w:val="00AB0671"/>
    <w:rsid w:val="00AB4814"/>
    <w:rsid w:val="00AF1FED"/>
    <w:rsid w:val="00B11362"/>
    <w:rsid w:val="00B15EC8"/>
    <w:rsid w:val="00B331F7"/>
    <w:rsid w:val="00B3614A"/>
    <w:rsid w:val="00B422B7"/>
    <w:rsid w:val="00B51A66"/>
    <w:rsid w:val="00B545CE"/>
    <w:rsid w:val="00B5488A"/>
    <w:rsid w:val="00B61B6C"/>
    <w:rsid w:val="00B6456A"/>
    <w:rsid w:val="00B67C54"/>
    <w:rsid w:val="00B80F6A"/>
    <w:rsid w:val="00B9031D"/>
    <w:rsid w:val="00BA4D9F"/>
    <w:rsid w:val="00BA5C55"/>
    <w:rsid w:val="00BB19E9"/>
    <w:rsid w:val="00BB35B1"/>
    <w:rsid w:val="00BD4126"/>
    <w:rsid w:val="00BF169C"/>
    <w:rsid w:val="00C00128"/>
    <w:rsid w:val="00C429C3"/>
    <w:rsid w:val="00C4582C"/>
    <w:rsid w:val="00C472A2"/>
    <w:rsid w:val="00C55129"/>
    <w:rsid w:val="00C64498"/>
    <w:rsid w:val="00C64B50"/>
    <w:rsid w:val="00C66E5D"/>
    <w:rsid w:val="00C66E9D"/>
    <w:rsid w:val="00C675D0"/>
    <w:rsid w:val="00C92C06"/>
    <w:rsid w:val="00C92F90"/>
    <w:rsid w:val="00CB12E9"/>
    <w:rsid w:val="00CC3F04"/>
    <w:rsid w:val="00CD28D2"/>
    <w:rsid w:val="00CE4642"/>
    <w:rsid w:val="00CE61AE"/>
    <w:rsid w:val="00CF4D6E"/>
    <w:rsid w:val="00D04F5C"/>
    <w:rsid w:val="00D05A22"/>
    <w:rsid w:val="00D11F50"/>
    <w:rsid w:val="00D13CBB"/>
    <w:rsid w:val="00D55445"/>
    <w:rsid w:val="00D70753"/>
    <w:rsid w:val="00D734E0"/>
    <w:rsid w:val="00D85C26"/>
    <w:rsid w:val="00D96AD7"/>
    <w:rsid w:val="00DA4744"/>
    <w:rsid w:val="00DA4C96"/>
    <w:rsid w:val="00DA7CED"/>
    <w:rsid w:val="00DB7747"/>
    <w:rsid w:val="00DC7F32"/>
    <w:rsid w:val="00DF019C"/>
    <w:rsid w:val="00E122F8"/>
    <w:rsid w:val="00E1626B"/>
    <w:rsid w:val="00E165D5"/>
    <w:rsid w:val="00E37726"/>
    <w:rsid w:val="00E37FDD"/>
    <w:rsid w:val="00E51B20"/>
    <w:rsid w:val="00E56E26"/>
    <w:rsid w:val="00E60008"/>
    <w:rsid w:val="00E957E3"/>
    <w:rsid w:val="00EB3A54"/>
    <w:rsid w:val="00EB3F85"/>
    <w:rsid w:val="00EC08F1"/>
    <w:rsid w:val="00EC346E"/>
    <w:rsid w:val="00EE5894"/>
    <w:rsid w:val="00F13987"/>
    <w:rsid w:val="00F25670"/>
    <w:rsid w:val="00F32260"/>
    <w:rsid w:val="00F33244"/>
    <w:rsid w:val="00F340CA"/>
    <w:rsid w:val="00F45D17"/>
    <w:rsid w:val="00F73112"/>
    <w:rsid w:val="00F7408A"/>
    <w:rsid w:val="00F81588"/>
    <w:rsid w:val="00F81D62"/>
    <w:rsid w:val="00F85401"/>
    <w:rsid w:val="00F94FD7"/>
    <w:rsid w:val="00FB5D48"/>
    <w:rsid w:val="00FC1A72"/>
    <w:rsid w:val="00FC460B"/>
    <w:rsid w:val="00FF1BE2"/>
    <w:rsid w:val="00FF7177"/>
    <w:rsid w:val="05355BF0"/>
    <w:rsid w:val="47A41DE2"/>
    <w:rsid w:val="49876F7D"/>
    <w:rsid w:val="64C42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62"/>
    <w:pPr>
      <w:widowControl w:val="0"/>
      <w:jc w:val="both"/>
    </w:pPr>
    <w:rPr>
      <w:kern w:val="2"/>
      <w:sz w:val="21"/>
      <w:szCs w:val="24"/>
    </w:rPr>
  </w:style>
  <w:style w:type="paragraph" w:styleId="1">
    <w:name w:val="heading 1"/>
    <w:basedOn w:val="a"/>
    <w:next w:val="a"/>
    <w:link w:val="1Char"/>
    <w:uiPriority w:val="9"/>
    <w:qFormat/>
    <w:rsid w:val="000B0562"/>
    <w:pPr>
      <w:keepNext/>
      <w:keepLines/>
      <w:numPr>
        <w:numId w:val="1"/>
      </w:numPr>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0B0562"/>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unhideWhenUsed/>
    <w:qFormat/>
    <w:rsid w:val="000B0562"/>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0B0562"/>
    <w:pPr>
      <w:ind w:leftChars="400" w:left="840"/>
    </w:pPr>
  </w:style>
  <w:style w:type="paragraph" w:styleId="a3">
    <w:name w:val="Balloon Text"/>
    <w:basedOn w:val="a"/>
    <w:link w:val="Char"/>
    <w:rsid w:val="000B0562"/>
    <w:rPr>
      <w:sz w:val="18"/>
      <w:szCs w:val="18"/>
    </w:rPr>
  </w:style>
  <w:style w:type="paragraph" w:styleId="a4">
    <w:name w:val="footer"/>
    <w:basedOn w:val="a"/>
    <w:link w:val="Char0"/>
    <w:uiPriority w:val="99"/>
    <w:unhideWhenUsed/>
    <w:qFormat/>
    <w:rsid w:val="000B0562"/>
    <w:pPr>
      <w:tabs>
        <w:tab w:val="center" w:pos="4153"/>
        <w:tab w:val="right" w:pos="8306"/>
      </w:tabs>
      <w:snapToGrid w:val="0"/>
      <w:jc w:val="left"/>
    </w:pPr>
    <w:rPr>
      <w:sz w:val="18"/>
      <w:szCs w:val="18"/>
    </w:rPr>
  </w:style>
  <w:style w:type="paragraph" w:styleId="a5">
    <w:name w:val="header"/>
    <w:basedOn w:val="a"/>
    <w:link w:val="Char1"/>
    <w:rsid w:val="000B056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rsid w:val="000B0562"/>
  </w:style>
  <w:style w:type="character" w:styleId="a6">
    <w:name w:val="Strong"/>
    <w:basedOn w:val="a0"/>
    <w:uiPriority w:val="22"/>
    <w:qFormat/>
    <w:rsid w:val="000B0562"/>
    <w:rPr>
      <w:b/>
      <w:bCs/>
    </w:rPr>
  </w:style>
  <w:style w:type="character" w:styleId="a7">
    <w:name w:val="Hyperlink"/>
    <w:basedOn w:val="a0"/>
    <w:uiPriority w:val="99"/>
    <w:unhideWhenUsed/>
    <w:qFormat/>
    <w:rsid w:val="000B0562"/>
    <w:rPr>
      <w:color w:val="0000FF" w:themeColor="hyperlink"/>
      <w:u w:val="single"/>
    </w:rPr>
  </w:style>
  <w:style w:type="character" w:customStyle="1" w:styleId="1Char">
    <w:name w:val="标题 1 Char"/>
    <w:basedOn w:val="a0"/>
    <w:link w:val="1"/>
    <w:uiPriority w:val="9"/>
    <w:rsid w:val="000B0562"/>
    <w:rPr>
      <w:b/>
      <w:bCs/>
      <w:kern w:val="44"/>
      <w:sz w:val="44"/>
      <w:szCs w:val="44"/>
    </w:rPr>
  </w:style>
  <w:style w:type="character" w:customStyle="1" w:styleId="3Char">
    <w:name w:val="标题 3 Char"/>
    <w:basedOn w:val="a0"/>
    <w:link w:val="3"/>
    <w:uiPriority w:val="9"/>
    <w:rsid w:val="000B0562"/>
    <w:rPr>
      <w:b/>
      <w:bCs/>
      <w:sz w:val="32"/>
      <w:szCs w:val="32"/>
    </w:rPr>
  </w:style>
  <w:style w:type="character" w:customStyle="1" w:styleId="4Char">
    <w:name w:val="标题 4 Char"/>
    <w:basedOn w:val="a0"/>
    <w:link w:val="4"/>
    <w:uiPriority w:val="9"/>
    <w:rsid w:val="000B0562"/>
    <w:rPr>
      <w:rFonts w:asciiTheme="majorHAnsi" w:eastAsiaTheme="majorEastAsia" w:hAnsiTheme="majorHAnsi" w:cstheme="majorBidi"/>
      <w:b/>
      <w:bCs/>
      <w:sz w:val="28"/>
      <w:szCs w:val="28"/>
    </w:rPr>
  </w:style>
  <w:style w:type="character" w:customStyle="1" w:styleId="Char0">
    <w:name w:val="页脚 Char"/>
    <w:basedOn w:val="a0"/>
    <w:link w:val="a4"/>
    <w:uiPriority w:val="99"/>
    <w:rsid w:val="000B0562"/>
    <w:rPr>
      <w:sz w:val="18"/>
      <w:szCs w:val="18"/>
    </w:rPr>
  </w:style>
  <w:style w:type="character" w:customStyle="1" w:styleId="Char1">
    <w:name w:val="页眉 Char"/>
    <w:basedOn w:val="a0"/>
    <w:link w:val="a5"/>
    <w:rsid w:val="000B0562"/>
    <w:rPr>
      <w:sz w:val="18"/>
      <w:szCs w:val="24"/>
    </w:rPr>
  </w:style>
  <w:style w:type="paragraph" w:styleId="a8">
    <w:name w:val="List Paragraph"/>
    <w:basedOn w:val="a"/>
    <w:uiPriority w:val="34"/>
    <w:qFormat/>
    <w:rsid w:val="000B0562"/>
    <w:pPr>
      <w:ind w:firstLineChars="200" w:firstLine="420"/>
    </w:pPr>
  </w:style>
  <w:style w:type="character" w:customStyle="1" w:styleId="Char">
    <w:name w:val="批注框文本 Char"/>
    <w:basedOn w:val="a0"/>
    <w:link w:val="a3"/>
    <w:rsid w:val="000B0562"/>
    <w:rPr>
      <w:sz w:val="18"/>
      <w:szCs w:val="18"/>
    </w:rPr>
  </w:style>
  <w:style w:type="paragraph" w:styleId="a9">
    <w:name w:val="Body Text"/>
    <w:basedOn w:val="a"/>
    <w:next w:val="aa"/>
    <w:link w:val="Char2"/>
    <w:qFormat/>
    <w:rsid w:val="00454149"/>
    <w:rPr>
      <w:rFonts w:eastAsia="仿宋_GB2312" w:cs="仿宋_GB2312"/>
      <w:kern w:val="0"/>
      <w:sz w:val="32"/>
      <w:szCs w:val="32"/>
    </w:rPr>
  </w:style>
  <w:style w:type="character" w:customStyle="1" w:styleId="Char2">
    <w:name w:val="正文文本 Char"/>
    <w:basedOn w:val="a0"/>
    <w:link w:val="a9"/>
    <w:rsid w:val="00454149"/>
    <w:rPr>
      <w:rFonts w:eastAsia="仿宋_GB2312" w:cs="仿宋_GB2312"/>
      <w:sz w:val="32"/>
      <w:szCs w:val="32"/>
    </w:rPr>
  </w:style>
  <w:style w:type="paragraph" w:styleId="aa">
    <w:name w:val="Body Text First Indent"/>
    <w:basedOn w:val="a9"/>
    <w:link w:val="Char3"/>
    <w:uiPriority w:val="99"/>
    <w:semiHidden/>
    <w:unhideWhenUsed/>
    <w:rsid w:val="00454149"/>
    <w:pPr>
      <w:spacing w:after="120"/>
      <w:ind w:firstLineChars="100" w:firstLine="420"/>
    </w:pPr>
    <w:rPr>
      <w:rFonts w:eastAsiaTheme="minorEastAsia" w:cstheme="minorBidi"/>
      <w:kern w:val="2"/>
      <w:sz w:val="21"/>
      <w:szCs w:val="24"/>
    </w:rPr>
  </w:style>
  <w:style w:type="character" w:customStyle="1" w:styleId="Char3">
    <w:name w:val="正文首行缩进 Char"/>
    <w:basedOn w:val="Char2"/>
    <w:link w:val="aa"/>
    <w:uiPriority w:val="99"/>
    <w:semiHidden/>
    <w:rsid w:val="00454149"/>
    <w:rPr>
      <w:rFonts w:eastAsia="仿宋_GB2312" w:cs="仿宋_GB2312"/>
      <w:sz w:val="32"/>
      <w:szCs w:val="32"/>
    </w:rPr>
  </w:style>
</w:styles>
</file>

<file path=word/webSettings.xml><?xml version="1.0" encoding="utf-8"?>
<w:webSettings xmlns:r="http://schemas.openxmlformats.org/officeDocument/2006/relationships" xmlns:w="http://schemas.openxmlformats.org/wordprocessingml/2006/main">
  <w:divs>
    <w:div w:id="5202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TotalTime>
  <Pages>1</Pages>
  <Words>6121</Words>
  <Characters>34892</Characters>
  <Application>Microsoft Office Word</Application>
  <DocSecurity>0</DocSecurity>
  <Lines>290</Lines>
  <Paragraphs>81</Paragraphs>
  <ScaleCrop>false</ScaleCrop>
  <Company>微软中国</Company>
  <LinksUpToDate>false</LinksUpToDate>
  <CharactersWithSpaces>40932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MM</cp:lastModifiedBy>
  <cp:revision>201</cp:revision>
  <dcterms:created xsi:type="dcterms:W3CDTF">2023-11-10T07:20:00Z</dcterms:created>
  <dcterms:modified xsi:type="dcterms:W3CDTF">2024-10-11T02:23:00Z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FE39341BA1E746D1AD4C0E34A76B4CAB_12</vt:lpwstr>
  </property>
</Properties>
</file>