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B3BA43">
      <w:pPr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溆浦县自然资源局</w:t>
      </w:r>
      <w:r>
        <w:rPr>
          <w:rFonts w:hint="eastAsia"/>
          <w:b/>
          <w:bCs/>
          <w:sz w:val="44"/>
          <w:szCs w:val="44"/>
          <w:lang w:val="en-US" w:eastAsia="zh-CN"/>
        </w:rPr>
        <w:t>2024年</w:t>
      </w:r>
      <w:r>
        <w:rPr>
          <w:rFonts w:hint="eastAsia"/>
          <w:b/>
          <w:bCs/>
          <w:sz w:val="44"/>
          <w:szCs w:val="44"/>
        </w:rPr>
        <w:t>部门整体支出绩效自评报告</w:t>
      </w:r>
    </w:p>
    <w:p w14:paraId="5395B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E167A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 xml:space="preserve">一、部门、单位基本情况 </w:t>
      </w:r>
    </w:p>
    <w:p w14:paraId="62CBC1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（一）机构设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置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 xml:space="preserve">及人员编制情况    </w:t>
      </w:r>
    </w:p>
    <w:p w14:paraId="148D8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我局属全额拨款的行政单位，核定行政编制18人，年末实有在职人员18人，核定事业编制256人，年末实有在职人员2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52</w:t>
      </w:r>
      <w:r>
        <w:rPr>
          <w:rFonts w:hint="eastAsia" w:ascii="仿宋_GB2312" w:hAnsi="仿宋_GB2312" w:eastAsia="仿宋_GB2312" w:cs="仿宋_GB2312"/>
          <w:sz w:val="32"/>
          <w:szCs w:val="32"/>
        </w:rPr>
        <w:t>人（乡镇国土资源基层管理所），离退休人员134人；共设14个行政股室，附属二级机构事业单位8个，主要负责全县土地、矿产、测绘等行业管理工作。</w:t>
      </w:r>
    </w:p>
    <w:p w14:paraId="028A09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主要职能职责</w:t>
      </w:r>
    </w:p>
    <w:p w14:paraId="283F97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1、承担保护和合理利用土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</w:t>
      </w:r>
      <w:r>
        <w:rPr>
          <w:rFonts w:hint="eastAsia" w:ascii="仿宋_GB2312" w:hAnsi="仿宋_GB2312" w:eastAsia="仿宋_GB2312" w:cs="仿宋_GB2312"/>
          <w:sz w:val="32"/>
          <w:szCs w:val="32"/>
        </w:rPr>
        <w:t>资源、矿产资源等自然资源的责任。</w:t>
      </w:r>
    </w:p>
    <w:p w14:paraId="496DA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2、承担优化配置国土资源的责任。</w:t>
      </w:r>
    </w:p>
    <w:p w14:paraId="11F180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3、承担规范国土资源管理秩序的责任。</w:t>
      </w:r>
    </w:p>
    <w:p w14:paraId="5EB8A5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4、承担全县耕地保护的责任。</w:t>
      </w:r>
    </w:p>
    <w:p w14:paraId="442A94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5、承担节约集约利用土地资源的责任。</w:t>
      </w:r>
    </w:p>
    <w:p w14:paraId="4F0D9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6、负责规范国土资源权属管理。</w:t>
      </w:r>
    </w:p>
    <w:p w14:paraId="0D7170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7、承担及时准确提供全县土地利用各种数据的责任。</w:t>
      </w:r>
    </w:p>
    <w:p w14:paraId="171D83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8、负责矿产资源开发的管理。</w:t>
      </w:r>
    </w:p>
    <w:p w14:paraId="55E759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9、承担地质环境保护、地质灾害预防和治理的责任。</w:t>
      </w:r>
    </w:p>
    <w:p w14:paraId="4D9EEF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10、负责测绘任务登记和管理等</w:t>
      </w:r>
    </w:p>
    <w:p w14:paraId="07DE09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11、监督监察上级财政专项和非专项拨款资金的使用等。</w:t>
      </w:r>
    </w:p>
    <w:p w14:paraId="4FE1C0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12、承担县委、县政府交办的其他事项。</w:t>
      </w:r>
    </w:p>
    <w:p w14:paraId="1B0E48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（三）绩效目标设定情况</w:t>
      </w:r>
    </w:p>
    <w:p w14:paraId="038F9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在今年收支预算内，确保完成以下整体目标：</w:t>
      </w:r>
    </w:p>
    <w:p w14:paraId="409996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保障各机构正常运转，完成全县国土空间规划、土地、矿山、测绘行业的管理事务。</w:t>
      </w:r>
    </w:p>
    <w:p w14:paraId="190477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完成2024年各项业务工作（对2023年国土变更调查日常变更工作技术服务费、地质灾害防治专项资金、溆浦县农村宅基地和集体建设用地确权登记发证技术服务、  2024年耕地恢复技术服务费、湘桂岩溶地湖南沅江、资江上游溆浦县历史遗留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废弃矿山生态修复示范项目等）</w:t>
      </w:r>
    </w:p>
    <w:p w14:paraId="5FE105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二、部门整体支出管理及使用情况</w:t>
      </w:r>
    </w:p>
    <w:p w14:paraId="477FDC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本部门决算为汇总决算，纳入编制范围的预算单位包括</w:t>
      </w:r>
    </w:p>
    <w:p w14:paraId="5D1873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1、溆浦县自然资源局部门本级</w:t>
      </w:r>
    </w:p>
    <w:p w14:paraId="494854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2、本单位有纳入编制决算单位的二级机构，为乡镇国土资源基层管理所。</w:t>
      </w:r>
    </w:p>
    <w:p w14:paraId="31922F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基本支出</w:t>
      </w:r>
    </w:p>
    <w:p w14:paraId="3C250A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为保障部门正常运转、完成日常工作任务而发生各项支出，2024年本部门基本支出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3743.31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万元，占全年一般公共预算拨款支出的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47.51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%，</w:t>
      </w:r>
      <w:r>
        <w:rPr>
          <w:rFonts w:hint="eastAsia" w:ascii="仿宋_GB2312" w:hAnsi="仿宋" w:eastAsia="仿宋_GB2312"/>
          <w:sz w:val="32"/>
          <w:szCs w:val="32"/>
        </w:rPr>
        <w:t>其中：工资福利支出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3125.48</w:t>
      </w:r>
      <w:r>
        <w:rPr>
          <w:rFonts w:hint="eastAsia" w:ascii="仿宋_GB2312" w:hAnsi="仿宋" w:eastAsia="仿宋_GB2312"/>
          <w:sz w:val="32"/>
          <w:szCs w:val="32"/>
        </w:rPr>
        <w:t>万元，占基本支出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83.5</w:t>
      </w:r>
      <w:r>
        <w:rPr>
          <w:rFonts w:hint="eastAsia" w:ascii="仿宋_GB2312" w:hAnsi="仿宋" w:eastAsia="仿宋_GB2312"/>
          <w:sz w:val="32"/>
          <w:szCs w:val="32"/>
        </w:rPr>
        <w:t>%;商品服务支出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511.21</w:t>
      </w:r>
      <w:r>
        <w:rPr>
          <w:rFonts w:hint="eastAsia" w:ascii="仿宋_GB2312" w:hAnsi="仿宋" w:eastAsia="仿宋_GB2312"/>
          <w:sz w:val="32"/>
          <w:szCs w:val="32"/>
        </w:rPr>
        <w:t>万元，占基本支出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13.66</w:t>
      </w:r>
      <w:r>
        <w:rPr>
          <w:rFonts w:hint="eastAsia" w:ascii="仿宋_GB2312" w:hAnsi="仿宋" w:eastAsia="仿宋_GB2312"/>
          <w:sz w:val="32"/>
          <w:szCs w:val="32"/>
        </w:rPr>
        <w:t>%，（其中：办公费、印刷费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104.51</w:t>
      </w:r>
      <w:r>
        <w:rPr>
          <w:rFonts w:hint="eastAsia" w:ascii="仿宋_GB2312" w:hAnsi="仿宋" w:eastAsia="仿宋_GB2312"/>
          <w:sz w:val="32"/>
          <w:szCs w:val="32"/>
        </w:rPr>
        <w:t>万元，会议费、培训费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3.74</w:t>
      </w:r>
      <w:r>
        <w:rPr>
          <w:rFonts w:hint="eastAsia" w:ascii="仿宋_GB2312" w:hAnsi="仿宋" w:eastAsia="仿宋_GB2312"/>
          <w:sz w:val="32"/>
          <w:szCs w:val="32"/>
        </w:rPr>
        <w:t>万元）；对个人和家庭补助支出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81.61</w:t>
      </w:r>
      <w:r>
        <w:rPr>
          <w:rFonts w:hint="eastAsia" w:ascii="仿宋_GB2312" w:hAnsi="仿宋" w:eastAsia="仿宋_GB2312"/>
          <w:sz w:val="32"/>
          <w:szCs w:val="32"/>
        </w:rPr>
        <w:t>万元，占基本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支出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2.18</w:t>
      </w:r>
      <w:r>
        <w:rPr>
          <w:rFonts w:hint="eastAsia" w:ascii="仿宋_GB2312" w:hAnsi="仿宋" w:eastAsia="仿宋_GB2312"/>
          <w:sz w:val="32"/>
          <w:szCs w:val="32"/>
        </w:rPr>
        <w:t>%；其他资本性支出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25.01</w:t>
      </w:r>
      <w:r>
        <w:rPr>
          <w:rFonts w:hint="eastAsia" w:ascii="仿宋_GB2312" w:hAnsi="仿宋" w:eastAsia="仿宋_GB2312"/>
          <w:sz w:val="32"/>
          <w:szCs w:val="32"/>
        </w:rPr>
        <w:t>万元，占基本支出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0.66</w:t>
      </w:r>
      <w:r>
        <w:rPr>
          <w:rFonts w:hint="eastAsia" w:ascii="仿宋_GB2312" w:hAnsi="仿宋" w:eastAsia="仿宋_GB2312"/>
          <w:sz w:val="32"/>
          <w:szCs w:val="32"/>
        </w:rPr>
        <w:t>%。</w:t>
      </w:r>
    </w:p>
    <w:p w14:paraId="4B5085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（二）项目支出</w:t>
      </w:r>
    </w:p>
    <w:p w14:paraId="3147321A">
      <w:pPr>
        <w:ind w:firstLine="640" w:firstLineChars="200"/>
        <w:rPr>
          <w:rFonts w:hint="eastAsia" w:ascii="仿宋" w:hAnsi="仿宋" w:eastAsia="仿宋" w:cs="仿宋"/>
          <w:sz w:val="30"/>
          <w:szCs w:val="30"/>
          <w:lang w:val="zh-CN"/>
        </w:rPr>
      </w:pPr>
      <w:r>
        <w:rPr>
          <w:rFonts w:hint="eastAsia" w:ascii="仿宋_GB2312" w:hAnsi="仿宋" w:eastAsia="仿宋_GB2312"/>
          <w:sz w:val="32"/>
          <w:szCs w:val="32"/>
        </w:rPr>
        <w:t>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/>
          <w:sz w:val="32"/>
          <w:szCs w:val="32"/>
        </w:rPr>
        <w:t>年项目支出为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19146.22</w:t>
      </w:r>
      <w:r>
        <w:rPr>
          <w:rFonts w:hint="eastAsia" w:ascii="仿宋_GB2312" w:hAnsi="仿宋" w:eastAsia="仿宋_GB2312"/>
          <w:sz w:val="32"/>
          <w:szCs w:val="32"/>
        </w:rPr>
        <w:t>万元，占本年支出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的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81.31</w:t>
      </w:r>
      <w:r>
        <w:rPr>
          <w:rFonts w:hint="eastAsia" w:ascii="仿宋_GB2312" w:hAnsi="仿宋" w:eastAsia="仿宋_GB2312"/>
          <w:sz w:val="32"/>
          <w:szCs w:val="32"/>
        </w:rPr>
        <w:t>%。项目支出主要用于国土各项专项业务工作经费，新增建设用地项目各项报批费用及成本支出，以及国土整治，地灾防治等项目的专项支出，所有项目资金我局严格按照各项专项资产管理制度执行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0"/>
          <w:szCs w:val="30"/>
          <w:lang w:val="zh-CN"/>
        </w:rPr>
        <w:t>项目支出均有相关的授权审批，资金拨付严格审批程序，使用规范，会计核算结果真实、准确。项目单位建立健全项目实施预算方案、财务管理制度和会计核算制度，此次绩效评价过程中未发现有截留、挤占或挪用项目资金的情况。</w:t>
      </w:r>
    </w:p>
    <w:p w14:paraId="62122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（三）“三公”经费使用和管理情况</w:t>
      </w:r>
    </w:p>
    <w:p w14:paraId="639564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严格按照中央规定管理和使用“三公”经费，在本年度“三公”经费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金额为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13.9万元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354A17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三、政府性基金预算支出情况</w:t>
      </w:r>
    </w:p>
    <w:p w14:paraId="7C2AD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年本部门政府性基金支出9163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29万元，其中，科学技术支出0万元，占0%；文化旅游体育与传媒支出0万元，占0%；城乡社区支出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9163.29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万元占100%。具体安排情况如下：征地和拆迁补偿支出4955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29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万元、</w:t>
      </w:r>
      <w:r>
        <w:rPr>
          <w:rFonts w:hint="eastAsia" w:ascii="仿宋_GB2312" w:hAnsi="仿宋_GB2312" w:eastAsia="仿宋_GB2312" w:cs="仿宋_GB2312"/>
          <w:sz w:val="32"/>
          <w:szCs w:val="32"/>
        </w:rPr>
        <w:t>土地开发支出92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万元、农村基础设施建设支出3618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72万元、土地出让业务支出190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58万元、其他国有土地使用权出让收入安排的支出306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47万元。</w:t>
      </w:r>
    </w:p>
    <w:p w14:paraId="4D32E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四、国有资本经营预算支出情况</w:t>
      </w:r>
    </w:p>
    <w:p w14:paraId="361883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本单位2024年度无国有资本经营预算支出。</w:t>
      </w:r>
    </w:p>
    <w:p w14:paraId="0C3E34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五、社会保险基金预算支出情况</w:t>
      </w:r>
    </w:p>
    <w:p w14:paraId="3729A1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本单位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2024年度无</w:t>
      </w:r>
      <w:r>
        <w:rPr>
          <w:rFonts w:hint="eastAsia" w:ascii="仿宋_GB2312" w:hAnsi="仿宋_GB2312" w:eastAsia="仿宋_GB2312" w:cs="仿宋_GB2312"/>
          <w:sz w:val="32"/>
          <w:szCs w:val="32"/>
        </w:rPr>
        <w:t>社会保险基金预算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1DAAD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六、部门整体支出绩效情况</w:t>
      </w:r>
    </w:p>
    <w:p w14:paraId="73F26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2024年工作开展情况</w:t>
      </w:r>
    </w:p>
    <w:p w14:paraId="03D462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不断加强党建统领，夯牢夯实政治基础。</w:t>
      </w:r>
      <w:r>
        <w:rPr>
          <w:rFonts w:hint="eastAsia" w:ascii="仿宋_GB2312" w:hAnsi="仿宋_GB2312" w:eastAsia="仿宋_GB2312" w:cs="仿宋_GB2312"/>
          <w:sz w:val="32"/>
          <w:szCs w:val="32"/>
        </w:rPr>
        <w:t>始终把党的政治建设作为基础性工作来抓，坚持把基层党建工作贯穿全县自然资源管理工作全过程，党员、支部、机关党委年初逐级逐层签订《公开承诺书》。严格落实“三会一课”制度，今年以来召开党建工作专题部署会4次、意识形态专题会议4次、全面从严治党专题会议4次、中心组理论学习12次。党组书记、联点领导、支部书记各上党课1次，接收预备党员、正式党员2人，成立自然资源事务中心，妥善解决机关人员混岗混编问题，印发督查通报2期，处理干部职工43人，营造风清气正的政治生态。</w:t>
      </w:r>
    </w:p>
    <w:p w14:paraId="4CBCC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坚持突出规划统筹，空间战略落位实施。</w:t>
      </w:r>
      <w:r>
        <w:rPr>
          <w:rFonts w:hint="eastAsia" w:ascii="仿宋_GB2312" w:hAnsi="仿宋_GB2312" w:eastAsia="仿宋_GB2312" w:cs="仿宋_GB2312"/>
          <w:sz w:val="32"/>
          <w:szCs w:val="32"/>
        </w:rPr>
        <w:t>2024年共召开县城乡规划委员会会议8次、县规划技术评审会9次、局规划例会13次，审议项目61个。《溆浦县国土空间总体规划（2021—2035年）》成果获省政府批复并纳入湖南省国土空间基础信息平台“一张图”管理。争取省厅村庄规划质量提升财政奖补资金325万元，卢峰镇红星村等18个省级重点村、大江口镇小江口村等29个市县级重点村村规成果以及25个乡镇国土空间规划通过市级审查，启动全县城镇开发边界内控制性详细规划编制工作，为城市建设管理和土地出让提供了规划依据。</w:t>
      </w:r>
    </w:p>
    <w:p w14:paraId="78EFB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坚决守住耕地红线，担好耕地保护责任。</w:t>
      </w:r>
      <w:r>
        <w:rPr>
          <w:rFonts w:hint="eastAsia" w:ascii="仿宋_GB2312" w:hAnsi="仿宋_GB2312" w:eastAsia="仿宋_GB2312" w:cs="仿宋_GB2312"/>
          <w:sz w:val="32"/>
          <w:szCs w:val="32"/>
        </w:rPr>
        <w:t>县政府明确了耕地恢复与耕地流出整改任务的资金兑现标准，分别为 1600 元/亩与 500 元/亩，有效推进了耕地恢复工作。整改耕地恢复3105.32亩、国家监测图斑耕地流出面积771.45亩，全部通过省级审核。完成21个耕地占补平衡项目、新增耕地175.7117公顷，其中水田规模15.0141公顷，新增粮食产能14.8472万公斤。制定出台了《溆浦县落实田长制严格耕地保护等五项配套制度》《溆浦县乡镇田长制工作绩效考核暂行办法》等六项配套制度，进一步加强对耕地的保护和监管，确保耕地数量不减少、耕地质量不降低，连续第19年实现耕地占补平衡和基本农田不减少，守住了耕地红线和底线。</w:t>
      </w:r>
    </w:p>
    <w:p w14:paraId="0B2C51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4、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坚持高效配置土地，强化空间要素保障。</w:t>
      </w:r>
      <w:r>
        <w:rPr>
          <w:rFonts w:hint="eastAsia" w:ascii="仿宋_GB2312" w:hAnsi="仿宋_GB2312" w:eastAsia="仿宋_GB2312" w:cs="仿宋_GB2312"/>
          <w:sz w:val="32"/>
          <w:szCs w:val="32"/>
        </w:rPr>
        <w:t>获省政府批准项目用地21宗、面积49.8914公顷，市政府批准项目用地2宗、面积1.7236公顷，县政府批准集体建设用地4宗、面积1.6027公顷，36宗设施农业用地上图入库面积4.3297公顷，完成新一轮城镇基准地价成果更新工作，供应国有建设用地135宗、面积18.088公顷，成交土地总价款0.86亿元，保障了县第二消防站、华能江口风电场（溆浦段）、桥江至思蒙公路二期等重点项目落地，有力保障了县域经济平稳发展。</w:t>
      </w:r>
    </w:p>
    <w:p w14:paraId="077BF2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5、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坚持逐绿向美发展，夯实绿色生态本底。</w:t>
      </w:r>
      <w:r>
        <w:rPr>
          <w:rFonts w:hint="eastAsia" w:ascii="仿宋_GB2312" w:hAnsi="仿宋_GB2312" w:eastAsia="仿宋_GB2312" w:cs="仿宋_GB2312"/>
          <w:sz w:val="32"/>
          <w:szCs w:val="32"/>
        </w:rPr>
        <w:t>申报启动矿山地质勘查项目7个，整治关闭砂石土矿3家，注销采矿许可证11家，延续登记采矿许可证4家，新增办理2家，完成探矿项目2个，调整扩界花岗岩矿1家，提前2年取得深子湖合家冲硅砂矿采矿许可证，成交金额7.35亿元，创历史新高，全年收取采矿权出让收益（采矿权价款）和采矿权使用费共计0.61 亿元。办结中央、省环保督察交办问题5件，超额完成污染防治攻坚战“夏季攻势”任务数20.83公顷，3家绿色矿山进入省级绿色库，裸露山体和历史遗留废弃矿山生态修复示范项目通过市级验收，1月9日我县在全市生态修复工作视频会议上作典型经验发言，“生态修复+经济林”模式在12月4日得到自然资源部调研组的充分肯定。</w:t>
      </w:r>
    </w:p>
    <w:p w14:paraId="174D04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6、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筑牢地质灾害防线，扛牢安全稳定责任。</w:t>
      </w:r>
      <w:r>
        <w:rPr>
          <w:rFonts w:hint="eastAsia" w:ascii="仿宋_GB2312" w:hAnsi="仿宋_GB2312" w:eastAsia="仿宋_GB2312" w:cs="仿宋_GB2312"/>
          <w:sz w:val="32"/>
          <w:szCs w:val="32"/>
        </w:rPr>
        <w:t>全年扎实完成汛前排查、汛中巡查、汛后复查工作，摸排出全县在册地质灾害隐患点共254处，中高风险切坡建房4468户，高中风险斜坡沟谷单元722个，临坡临沟临崖住户156户。开展防汛应急避险转移演练311场，参演人员达10027人次，发放隐患点防灾避险明白卡1900余份；三江镇两江村滑坡地质灾害治理工程完工，成功申报葛竹坪鹿山村4组地质灾害治理工程项目。龙潭镇红岩村二组山体滑坡精准避险转移经验入选2023年度全国地质灾害成功避险典型案例集，3月11日我县在全市自然资源和规划工作上作地质灾害防治工作典型发言。</w:t>
      </w:r>
    </w:p>
    <w:p w14:paraId="282995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7、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强化执法持续发力，全力遏制违法行为。</w:t>
      </w:r>
      <w:r>
        <w:rPr>
          <w:rFonts w:hint="eastAsia" w:ascii="仿宋_GB2312" w:hAnsi="仿宋_GB2312" w:eastAsia="仿宋_GB2312" w:cs="仿宋_GB2312"/>
          <w:sz w:val="32"/>
          <w:szCs w:val="32"/>
        </w:rPr>
        <w:t>投入138万元新建128个铁塔视频监测点，并整合农业农村等多部门60个监测点接入省级监测中心，实现重点区域全覆盖监测。强制拆除马田坪村慕野星空餐饮店、蝴蝶庄园饭店、乌托邦营地烧烤夜宵店3宗违法用地项目、拆除建筑物面积4.94亩，恢复耕地面积14.85亩。全年立案查处40件，收缴罚没款443.23余万元。其中，查处非法占地案25件、非法盗采案15件，查扣非法盗采工具7台。2018年至2023年存量违法图斑整改通过省级审核326个、市级23个，正在整改115个，整改个数率在全市排名第4、耕地整改率排名第7。</w:t>
      </w:r>
    </w:p>
    <w:p w14:paraId="1A5A31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8、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持续优化营商环境，不断增进民生福祉。</w:t>
      </w:r>
      <w:r>
        <w:rPr>
          <w:rFonts w:hint="eastAsia" w:ascii="仿宋_GB2312" w:hAnsi="仿宋_GB2312" w:eastAsia="仿宋_GB2312" w:cs="仿宋_GB2312"/>
          <w:sz w:val="32"/>
          <w:szCs w:val="32"/>
        </w:rPr>
        <w:t>持续深化“放管服”改革，提高政务服务效率和质量，积极贯彻落实不动产登记统一平台和数据库建设工作部署，落实省、市、县三级共建模式，率先在全市启动湖南省统一不动产登记平台建设，完成农村集体土地承包经营权档案移交工作和集体土地所有权落宗、登簿任务。办理不动产登记证书16226本、不动产登记证明4872份，完成农村房地一体确权登记缮证12万户，协助银行办理抵押贷款约29亿元，全面推进新建商品房“交房即交证”工作，先后解决了大汉名邸、溆水外滩等项目办证难问题，发放不动产登记证书4396本，有效地解决老百姓的急难愁盼问题，不断增强人民群众的获得感和幸福感。</w:t>
      </w:r>
    </w:p>
    <w:p w14:paraId="77544D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七、存在的主要问题及原因分析</w:t>
      </w:r>
    </w:p>
    <w:p w14:paraId="1F791E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</w:rPr>
        <w:t>预算不够精细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1258D9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</w:rPr>
        <w:t>财政资金拨付不及时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BA986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项目实施年度过长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054F03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八、下一步改进措施</w:t>
      </w:r>
    </w:p>
    <w:p w14:paraId="6AB9BE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进一步完善资金管理制度体系。努力形成并完善资金管理制度体系。</w:t>
      </w:r>
    </w:p>
    <w:p w14:paraId="20C195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进一步提升服务水平。巩固作风建设成果，树立部门良好形象。新常态下，严格遵守有关作风建设一系列规定要求。进一步简政放权，放管结合，优化服务，提高社会公众和服务对象的满意度。</w:t>
      </w:r>
    </w:p>
    <w:p w14:paraId="570EA8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建议及时拨付预内经费</w:t>
      </w:r>
    </w:p>
    <w:p w14:paraId="01D57D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由于乡镇人员较多，无收费项目，建议加大乡镇所公用经费安排力度。</w:t>
      </w:r>
    </w:p>
    <w:p w14:paraId="0B1B5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九、其他需要说明的情况</w:t>
      </w:r>
    </w:p>
    <w:p w14:paraId="0D486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</w:rPr>
        <w:t>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RkZTBmNTE0NzM2OTM0ZjNkYzM1Mjc3NGU0ZWI0OTQifQ=="/>
    <w:docVar w:name="KSO_WPS_MARK_KEY" w:val="4c8685bd-c326-466b-b578-91b70466c2bb"/>
  </w:docVars>
  <w:rsids>
    <w:rsidRoot w:val="300375DA"/>
    <w:rsid w:val="1BBA1141"/>
    <w:rsid w:val="1C170BB2"/>
    <w:rsid w:val="28DC4E3D"/>
    <w:rsid w:val="2C491E3E"/>
    <w:rsid w:val="2D293901"/>
    <w:rsid w:val="300375DA"/>
    <w:rsid w:val="32A00021"/>
    <w:rsid w:val="3A4E5AB5"/>
    <w:rsid w:val="44D37733"/>
    <w:rsid w:val="45C70C09"/>
    <w:rsid w:val="4A5B0918"/>
    <w:rsid w:val="591007AD"/>
    <w:rsid w:val="635D6F43"/>
    <w:rsid w:val="63FB79D2"/>
    <w:rsid w:val="6E316A05"/>
    <w:rsid w:val="6EDB4C5D"/>
    <w:rsid w:val="74244313"/>
    <w:rsid w:val="75EF429C"/>
    <w:rsid w:val="7B8F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3615</Words>
  <Characters>3935</Characters>
  <Lines>0</Lines>
  <Paragraphs>0</Paragraphs>
  <TotalTime>22</TotalTime>
  <ScaleCrop>false</ScaleCrop>
  <LinksUpToDate>false</LinksUpToDate>
  <CharactersWithSpaces>3948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2025-06-05T07:36:00Z</dcterms:created>
  <dc:creator>人间月</dc:creator>
  <cp:lastModifiedBy>叶连</cp:lastModifiedBy>
  <dcterms:modified xsi:type="dcterms:W3CDTF">2026-09-16T06:16:51Z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9B9AA6366A3D4BACBD5EBB6E62B6427A_13</vt:lpwstr>
  </property>
  <property fmtid="{D5CDD505-2E9C-101B-9397-08002B2CF9AE}" pid="4" name="KSOTemplateDocerSaveRecord">
    <vt:lpwstr>eyJoZGlkIjoiZTQzNzk3NDIyM2JkM2JkYmFlOWE0ODFlMDMwZjdhZTkiLCJ1c2VySWQiOiI2ODA5ODgzNzcifQ==</vt:lpwstr>
  </property>
</Properties>
</file>