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rPr>
        <w:t>溆浦县人力资源和社会保障局</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default" w:hAnsi="黑体" w:cs="黑体"/>
          <w:b w:val="0"/>
          <w:bCs/>
          <w:sz w:val="28"/>
          <w:szCs w:val="28"/>
        </w:rPr>
        <w:t>溆浦县人力资源和社会保障局</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rPr>
        <w:t>溆浦县人力资源和社会保障局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1"/>
        <w:spacing w:line="580" w:lineRule="exact"/>
        <w:ind w:firstLine="640"/>
        <w:jc w:val="left"/>
        <w:rPr>
          <w:rFonts w:asciiTheme="minorEastAsia" w:hAnsiTheme="minorEastAsia"/>
          <w:bCs/>
          <w:kern w:val="0"/>
          <w:sz w:val="32"/>
          <w:szCs w:val="32"/>
        </w:rPr>
      </w:pPr>
      <w:r>
        <w:rPr>
          <w:rFonts w:hint="eastAsia" w:asciiTheme="minorEastAsia" w:hAnsiTheme="minorEastAsia"/>
          <w:bCs/>
          <w:kern w:val="0"/>
          <w:sz w:val="32"/>
          <w:szCs w:val="32"/>
        </w:rPr>
        <w:t>贯彻执行人力资源和社会保障法律法规，肩负着全县各社保基金征缴、支付及人事综合管理、绩效考核评估、就业创业促进、劳动关系构建、劳动争议处理等工作职责。</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imes New Roman" w:hAnsi="Times New Roman" w:eastAsia="仿宋_GB2312" w:cs="仿宋_GB2312"/>
          <w:b/>
          <w:bCs w:val="0"/>
          <w:kern w:val="0"/>
          <w:sz w:val="32"/>
          <w:szCs w:val="32"/>
        </w:rPr>
        <w:t>（一）内设机构设置。</w:t>
      </w:r>
      <w:r>
        <w:rPr>
          <w:rFonts w:hint="eastAsia" w:asciiTheme="minorEastAsia" w:hAnsiTheme="minorEastAsia"/>
          <w:bCs/>
          <w:kern w:val="0"/>
          <w:sz w:val="32"/>
          <w:szCs w:val="32"/>
        </w:rPr>
        <w:t>溆浦县人力资源和社会保障局内设机构包括：办公室、人事股、财务股、工资股、法规股、工伤保险股、养老保险股、基金监督股、就业股等19个股室。</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
          <w:bCs w:val="0"/>
          <w:kern w:val="0"/>
          <w:sz w:val="32"/>
          <w:szCs w:val="32"/>
        </w:rPr>
        <w:t>（二）决算单位构成。</w:t>
      </w:r>
      <w:r>
        <w:rPr>
          <w:rFonts w:hint="eastAsia" w:asciiTheme="minorEastAsia" w:hAnsiTheme="minorEastAsia"/>
          <w:bCs/>
          <w:kern w:val="0"/>
          <w:sz w:val="32"/>
          <w:szCs w:val="32"/>
        </w:rPr>
        <w:t>溆浦县人力资源和社会保障</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21年部门决算汇总公开单位构成包括：溆浦县人力资源和社会保障局单位本级。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277"/>
        <w:gridCol w:w="712"/>
        <w:gridCol w:w="5353"/>
        <w:gridCol w:w="1909"/>
        <w:gridCol w:w="1755"/>
        <w:gridCol w:w="1381"/>
        <w:gridCol w:w="955"/>
        <w:gridCol w:w="886"/>
        <w:gridCol w:w="1040"/>
        <w:gridCol w:w="1160"/>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3"/>
              <w:gridCol w:w="582"/>
              <w:gridCol w:w="1332"/>
              <w:gridCol w:w="4761"/>
              <w:gridCol w:w="1549"/>
              <w:gridCol w:w="497"/>
              <w:gridCol w:w="603"/>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5"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1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44"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19"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3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6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5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4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9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34"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cs="宋体" w:eastAsiaTheme="minorEastAsia"/>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部门：溆浦县人力资源和社会保障局</w:t>
                  </w:r>
                </w:p>
              </w:tc>
              <w:tc>
                <w:tcPr>
                  <w:tcW w:w="56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5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4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9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57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2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62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1261.32</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八、社会保障和就业支出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90" w:hRule="atLeast"/>
              </w:trPr>
              <w:tc>
                <w:tcPr>
                  <w:tcW w:w="3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1261.32</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1261.32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62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2" w:type="dxa"/>
                <w:trHeight w:val="448" w:hRule="atLeast"/>
              </w:trPr>
              <w:tc>
                <w:tcPr>
                  <w:tcW w:w="3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1261.32</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1261.32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87" w:hRule="atLeast"/>
        </w:trPr>
        <w:tc>
          <w:tcPr>
            <w:tcW w:w="2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3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634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溆浦县人力资源和社会保障局</w:t>
            </w:r>
            <w:r>
              <w:rPr>
                <w:rFonts w:hint="eastAsia"/>
              </w:rPr>
              <w:t>　</w:t>
            </w:r>
          </w:p>
        </w:tc>
        <w:tc>
          <w:tcPr>
            <w:tcW w:w="19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34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9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1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535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3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8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535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3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8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34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9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8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0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1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634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1261.32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1261.32</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56.76</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56.76</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2010308</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信访事务</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20126</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档案事务</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34.81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34.81</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2012699</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其他档案事务支出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34.81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34.81</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16.46</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16.46</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2013202</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11.46</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11.46</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2013299</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其他组织事务支出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3.99</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3.99</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3.99</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3.99</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1,145.17</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1,145.17</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1,081.92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1,081.92</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2080101</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579.03</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579.03</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2080104</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21.42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21.42</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2080105</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19.49</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19.49</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2080107</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社会保险业务管理事务</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28.96</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28.96</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2080116</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2080199</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429.02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429.02</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58.52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58.52</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58.52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58.52</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3.61</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3.61</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1.12</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1.12</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8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5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3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bl>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36"/>
        <w:gridCol w:w="263"/>
        <w:gridCol w:w="5269"/>
        <w:gridCol w:w="2147"/>
        <w:gridCol w:w="1858"/>
        <w:gridCol w:w="1603"/>
        <w:gridCol w:w="1210"/>
        <w:gridCol w:w="869"/>
        <w:gridCol w:w="1185"/>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tcBorders>
              <w:top w:val="nil"/>
              <w:left w:val="nil"/>
              <w:bottom w:val="nil"/>
              <w:right w:val="nil"/>
            </w:tcBorders>
            <w:shd w:val="clear" w:color="000000" w:fill="FFFFFF"/>
            <w:noWrap/>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6768"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溆浦县人力资源和社会保障局</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3"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67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14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8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1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526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67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1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86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1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67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14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1261.32</w:t>
            </w:r>
            <w:r>
              <w:rPr>
                <w:rFonts w:hint="eastAsia" w:ascii="宋体" w:hAnsi="宋体" w:eastAsia="宋体" w:cs="宋体"/>
                <w:kern w:val="0"/>
                <w:sz w:val="24"/>
                <w:szCs w:val="24"/>
              </w:rPr>
              <w:t>　</w:t>
            </w:r>
          </w:p>
        </w:tc>
        <w:tc>
          <w:tcPr>
            <w:tcW w:w="18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882.25</w:t>
            </w:r>
            <w:r>
              <w:rPr>
                <w:rFonts w:hint="eastAsia" w:ascii="宋体" w:hAnsi="宋体" w:eastAsia="宋体" w:cs="宋体"/>
                <w:kern w:val="0"/>
                <w:sz w:val="24"/>
                <w:szCs w:val="24"/>
              </w:rPr>
              <w:t>　</w:t>
            </w:r>
          </w:p>
        </w:tc>
        <w:tc>
          <w:tcPr>
            <w:tcW w:w="16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379.07</w:t>
            </w:r>
            <w:r>
              <w:rPr>
                <w:rFonts w:hint="eastAsia" w:ascii="宋体" w:hAnsi="宋体" w:eastAsia="宋体" w:cs="宋体"/>
                <w:kern w:val="0"/>
                <w:sz w:val="24"/>
                <w:szCs w:val="24"/>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56.76</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43.80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12.96</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2010308</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20126</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档案事务</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34.81</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34.81</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2012699</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其他档案事务支出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34.81</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34.81</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16.46</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11.46</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2013202</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11.46</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11.46</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3.99</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3.99</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3.99</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3.99</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1,145.17</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780.76</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364.41</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1,081.92</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717.51</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364.41</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2080101</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579.03</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579.03</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2080104</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21.42</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21.42</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2080105</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19.49</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19.49</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2080107</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社会保险业务管理事务</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28.96</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28.96</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2080116</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2080199</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429.02</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68.61</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360.41</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58.52</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58.52</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58.52</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58.52</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3.61</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3.61</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3.61</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3.61</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30.27</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5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8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27.41</w:t>
            </w:r>
          </w:p>
        </w:tc>
        <w:tc>
          <w:tcPr>
            <w:tcW w:w="16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溆浦县人力资源和社会保障局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1261.32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56.76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56.76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1145.17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1145.17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30.27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30.27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27.41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27.41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1261.32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1261.32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1261.32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1261.32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1261.32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1261.32</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4316"/>
        <w:gridCol w:w="2211"/>
        <w:gridCol w:w="3492"/>
        <w:gridCol w:w="3000"/>
      </w:tblGrid>
      <w:tr>
        <w:tblPrEx>
          <w:tblCellMar>
            <w:top w:w="0" w:type="dxa"/>
            <w:left w:w="108" w:type="dxa"/>
            <w:bottom w:w="0" w:type="dxa"/>
            <w:right w:w="108" w:type="dxa"/>
          </w:tblCellMar>
        </w:tblPrEx>
        <w:trPr>
          <w:trHeight w:val="405" w:hRule="atLeast"/>
          <w:jc w:val="center"/>
        </w:trPr>
        <w:tc>
          <w:tcPr>
            <w:tcW w:w="551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70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2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3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2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3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2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51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21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51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1,261.32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882.25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379.07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56.76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2010308</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20126</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档案事务</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2012699</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其他档案事务支出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1,145.17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780.76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364.41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1,081.92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364.41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2080101</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579.03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579.03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2080104</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2080105</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2080107</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社会保险业务管理事务</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2080116</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429.02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68.61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58.52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58.52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58.52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58.52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3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2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31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21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6"/>
        <w:tblW w:w="0" w:type="auto"/>
        <w:tblInd w:w="0" w:type="dxa"/>
        <w:tblLayout w:type="fixed"/>
        <w:tblCellMar>
          <w:top w:w="0" w:type="dxa"/>
          <w:left w:w="108" w:type="dxa"/>
          <w:bottom w:w="0" w:type="dxa"/>
          <w:right w:w="108" w:type="dxa"/>
        </w:tblCellMar>
      </w:tblPr>
      <w:tblGrid>
        <w:gridCol w:w="959"/>
        <w:gridCol w:w="239"/>
        <w:gridCol w:w="90"/>
        <w:gridCol w:w="1245"/>
        <w:gridCol w:w="1564"/>
        <w:gridCol w:w="471"/>
        <w:gridCol w:w="791"/>
        <w:gridCol w:w="1165"/>
        <w:gridCol w:w="294"/>
        <w:gridCol w:w="1903"/>
        <w:gridCol w:w="152"/>
        <w:gridCol w:w="719"/>
        <w:gridCol w:w="1166"/>
        <w:gridCol w:w="340"/>
        <w:gridCol w:w="2012"/>
        <w:gridCol w:w="1227"/>
        <w:gridCol w:w="935"/>
        <w:gridCol w:w="342"/>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91"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641.10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205.10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271.38</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54.39</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125.73</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46.64</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8.89</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12.87</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19.44</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8.89</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60.55</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3.55</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6.05</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30.27</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2.61</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25.06</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38.54</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11.96</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33.06</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27.16</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10.85</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0.82</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9.81</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13.90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0.41</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8.46</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2.59</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52.13</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6.09</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7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7.48</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7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09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668.26</w:t>
            </w:r>
          </w:p>
        </w:tc>
        <w:tc>
          <w:tcPr>
            <w:tcW w:w="8978"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213.99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690" w:hRule="atLeast"/>
        </w:trPr>
        <w:tc>
          <w:tcPr>
            <w:tcW w:w="15272"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345" w:hRule="atLeast"/>
        </w:trPr>
        <w:tc>
          <w:tcPr>
            <w:tcW w:w="95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3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3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5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2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690" w:hRule="atLeast"/>
        </w:trPr>
        <w:tc>
          <w:tcPr>
            <w:tcW w:w="4568"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部门：溆浦县人力资源和社会保障局</w:t>
            </w:r>
          </w:p>
        </w:tc>
        <w:tc>
          <w:tcPr>
            <w:tcW w:w="225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2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459" w:hRule="atLeast"/>
        </w:trPr>
        <w:tc>
          <w:tcPr>
            <w:tcW w:w="2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609" w:hRule="atLeast"/>
        </w:trPr>
        <w:tc>
          <w:tcPr>
            <w:tcW w:w="11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409" w:hRule="atLeast"/>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509" w:hRule="atLeast"/>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509" w:hRule="atLeast"/>
        </w:trPr>
        <w:tc>
          <w:tcPr>
            <w:tcW w:w="2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509" w:hRule="atLeast"/>
        </w:trPr>
        <w:tc>
          <w:tcPr>
            <w:tcW w:w="2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2" w:type="dxa"/>
          <w:trHeight w:val="725" w:hRule="atLeast"/>
        </w:trPr>
        <w:tc>
          <w:tcPr>
            <w:tcW w:w="15272"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部门：溆浦县人力资源和社会保障局</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部门：溆浦县人力资源和社会保障局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1261.32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38.32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2.95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未发生死亡抚恤金及年终奖金未支付。</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1261.32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1261.32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1261.32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882.25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69.95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379.07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30.05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1261.32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17.65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1.38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未发生死亡抚恤金及年终奖金未支付。</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1261.32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15.9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工资基数调整。</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1261.32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56.76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1145.17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90.79</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30.28</w:t>
      </w:r>
      <w:r>
        <w:rPr>
          <w:rFonts w:hint="eastAsia" w:ascii="Times New Roman" w:hAnsi="Times New Roman" w:eastAsia="仿宋_GB2312"/>
          <w:sz w:val="32"/>
          <w:szCs w:val="32"/>
        </w:rPr>
        <w:t>万元，占2.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0.13</w:t>
      </w:r>
      <w:r>
        <w:rPr>
          <w:rFonts w:hint="eastAsia" w:ascii="Times New Roman" w:hAnsi="Times New Roman" w:eastAsia="仿宋_GB2312"/>
          <w:sz w:val="32"/>
          <w:szCs w:val="32"/>
        </w:rPr>
        <w:t>%；住房保障（类）支出</w:t>
      </w:r>
      <w:r>
        <w:rPr>
          <w:rFonts w:hint="eastAsia" w:ascii="Times New Roman" w:hAnsi="Times New Roman" w:eastAsia="仿宋_GB2312"/>
          <w:sz w:val="32"/>
          <w:szCs w:val="32"/>
          <w:lang w:val="en-US" w:eastAsia="zh-CN"/>
        </w:rPr>
        <w:t>27.41</w:t>
      </w:r>
      <w:r>
        <w:rPr>
          <w:rFonts w:hint="eastAsia" w:ascii="Times New Roman" w:hAnsi="Times New Roman" w:eastAsia="仿宋_GB2312"/>
          <w:sz w:val="32"/>
          <w:szCs w:val="32"/>
        </w:rPr>
        <w:t>万元，占2.</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1223.6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1261.32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103.08</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1、一般公共服务支出201（类）政府办公厅及相关机构事务03（款）</w:t>
      </w:r>
      <w:r>
        <w:rPr>
          <w:rFonts w:hint="eastAsia" w:ascii="Times New Roman" w:hAnsi="Times New Roman" w:eastAsia="仿宋_GB2312"/>
          <w:sz w:val="32"/>
          <w:szCs w:val="32"/>
          <w:lang w:val="en-US" w:eastAsia="zh-CN"/>
        </w:rPr>
        <w:t>信访事务</w:t>
      </w:r>
      <w:r>
        <w:rPr>
          <w:rFonts w:hint="eastAsia" w:ascii="Times New Roman" w:hAnsi="Times New Roman" w:eastAsia="仿宋_GB2312"/>
          <w:sz w:val="32"/>
          <w:szCs w:val="32"/>
        </w:rPr>
        <w:t>（项）</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，主要原因是发生超预算的信访开支</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2、一般公共服务支出201（类）档案事务26（款）其他档案事务支出99（项）。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34.81</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3、一般公共服务支出201（类）</w:t>
      </w:r>
      <w:r>
        <w:rPr>
          <w:rFonts w:hint="eastAsia" w:ascii="Times New Roman" w:hAnsi="Times New Roman" w:eastAsia="仿宋_GB2312"/>
          <w:sz w:val="32"/>
          <w:szCs w:val="32"/>
          <w:lang w:eastAsia="zh-CN"/>
        </w:rPr>
        <w:t>组织事务</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（款）一般</w:t>
      </w:r>
      <w:r>
        <w:rPr>
          <w:rFonts w:hint="eastAsia" w:ascii="Times New Roman" w:hAnsi="Times New Roman" w:eastAsia="仿宋_GB2312"/>
          <w:sz w:val="32"/>
          <w:szCs w:val="32"/>
          <w:lang w:eastAsia="zh-CN"/>
        </w:rPr>
        <w:t>行政管理事务</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11.46</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、一般公共服务支出201（类）</w:t>
      </w:r>
      <w:r>
        <w:rPr>
          <w:rFonts w:hint="eastAsia" w:ascii="Times New Roman" w:hAnsi="Times New Roman" w:eastAsia="仿宋_GB2312"/>
          <w:sz w:val="32"/>
          <w:szCs w:val="32"/>
          <w:lang w:eastAsia="zh-CN"/>
        </w:rPr>
        <w:t>组织事务</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其他组织事务支出</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、一般公共服务支出201（类）</w:t>
      </w:r>
      <w:r>
        <w:rPr>
          <w:rFonts w:hint="eastAsia" w:ascii="Times New Roman" w:hAnsi="Times New Roman" w:eastAsia="仿宋_GB2312"/>
          <w:sz w:val="32"/>
          <w:szCs w:val="32"/>
          <w:lang w:eastAsia="zh-CN"/>
        </w:rPr>
        <w:t>其他一般公共服务支出</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其他一般公共服务支出</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3.99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3.99</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、社会保障和就业支出208（类）人力资源和社会保障管理事务01（款）行政运行01（项）。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579.03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579.03</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、社会保障和就业支出208（类）人力资源和社会保障管理事务01（款）综合业务管理04（项）。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21.42</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、社会保障和就业支出208（类）人力资源和社会保障管理事务01（款）劳动保障监察05（项）。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19.49</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、社会保障和就业支出208（类）人力资源和社会保障管理事务01（款）</w:t>
      </w:r>
      <w:r>
        <w:rPr>
          <w:rFonts w:hint="eastAsia" w:ascii="Times New Roman" w:hAnsi="Times New Roman" w:eastAsia="仿宋_GB2312"/>
          <w:sz w:val="32"/>
          <w:szCs w:val="32"/>
          <w:lang w:eastAsia="zh-CN"/>
        </w:rPr>
        <w:t>社会保险业务管理事务</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28.96</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、社会保障和就业支出208（类）人力资源和社会保障管理事务01（款）</w:t>
      </w:r>
      <w:r>
        <w:rPr>
          <w:rFonts w:hint="eastAsia" w:ascii="Times New Roman" w:hAnsi="Times New Roman" w:eastAsia="仿宋_GB2312"/>
          <w:sz w:val="32"/>
          <w:szCs w:val="32"/>
          <w:lang w:eastAsia="zh-CN"/>
        </w:rPr>
        <w:t>引进人才费用</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、社会保障和就业支出208（类）人力资源和社会保障管理事务01（款）其他人力资源和社会保障管理事务支出99（项）。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392.8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429.02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109.22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项目支出增加。</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、社会保障和就业支出208（类）行政事业单位养老支出05（款）机关事业单位基本养老保险缴费支出05（项）。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58.52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58.52</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、社会保障和就业支出208（类）抚恤08（款）死亡抚恤01（项）。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3.61</w:t>
      </w:r>
      <w:r>
        <w:rPr>
          <w:rFonts w:hint="eastAsia" w:ascii="Times New Roman" w:hAnsi="Times New Roman" w:eastAsia="仿宋_GB2312"/>
          <w:sz w:val="32"/>
          <w:szCs w:val="32"/>
        </w:rPr>
        <w:t>万元，支出决算为3</w:t>
      </w:r>
      <w:r>
        <w:rPr>
          <w:rFonts w:hint="eastAsia" w:ascii="Times New Roman" w:hAnsi="Times New Roman" w:eastAsia="仿宋_GB2312"/>
          <w:sz w:val="32"/>
          <w:szCs w:val="32"/>
          <w:lang w:val="en-US" w:eastAsia="zh-CN"/>
        </w:rPr>
        <w:t>.61</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、社会保障和就业支出208（类）其他社会保障和就业支出99（款）其他社会保障和就业支出99（项）。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、卫生健康支出210（类）行政事业单位医疗11（款）行政单位医疗01（项）。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30.27</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、农林水支出213（类）</w:t>
      </w:r>
      <w:r>
        <w:rPr>
          <w:rFonts w:hint="eastAsia" w:ascii="Times New Roman" w:hAnsi="Times New Roman" w:eastAsia="仿宋_GB2312"/>
          <w:sz w:val="32"/>
          <w:szCs w:val="32"/>
          <w:lang w:eastAsia="zh-CN"/>
        </w:rPr>
        <w:t>巩固脱贫衔接乡村振兴支出</w:t>
      </w:r>
      <w:r>
        <w:rPr>
          <w:rFonts w:hint="eastAsia" w:ascii="Times New Roman" w:hAnsi="Times New Roman" w:eastAsia="仿宋_GB2312"/>
          <w:sz w:val="32"/>
          <w:szCs w:val="32"/>
        </w:rPr>
        <w:t>05（款）</w:t>
      </w:r>
      <w:r>
        <w:rPr>
          <w:rFonts w:hint="eastAsia" w:ascii="Times New Roman" w:hAnsi="Times New Roman" w:eastAsia="仿宋_GB2312"/>
          <w:sz w:val="32"/>
          <w:szCs w:val="32"/>
          <w:lang w:eastAsia="zh-CN"/>
        </w:rPr>
        <w:t>其他巩固脱贫衔接乡村振兴支出</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、住房保障支出221（类）住房改革支出02（款）住房公积金01（项）。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27.41</w:t>
      </w:r>
      <w:r>
        <w:rPr>
          <w:rFonts w:hint="eastAsia" w:ascii="Times New Roman" w:hAnsi="Times New Roman" w:eastAsia="仿宋_GB2312"/>
          <w:sz w:val="32"/>
          <w:szCs w:val="32"/>
        </w:rPr>
        <w:t>万元，支出决算为2</w:t>
      </w:r>
      <w:r>
        <w:rPr>
          <w:rFonts w:hint="eastAsia" w:ascii="Times New Roman" w:hAnsi="Times New Roman" w:eastAsia="仿宋_GB2312"/>
          <w:sz w:val="32"/>
          <w:szCs w:val="32"/>
          <w:lang w:val="en-US" w:eastAsia="zh-CN"/>
        </w:rPr>
        <w:t>7.41</w:t>
      </w:r>
      <w:r>
        <w:rPr>
          <w:rFonts w:hint="eastAsia"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882.25</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668.26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75.74</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271.38万元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125.73万元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46.64万元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12.87万元、养老保险缴费60.55万元、职工基本医保缴费30.27万元、住房公积金38.54万元、其他社会保障缴费2.61万元、其他工资福利支出33.06万元、绩效工资19.44万元、退休费10.85万元、生活补助9.81万元、医疗费补助0.41万元、其他对个人和家庭的补助6.09万元</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lang w:val="en-US" w:eastAsia="zh-CN"/>
        </w:rPr>
        <w:t>213.99</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24.26</w:t>
      </w:r>
      <w:r>
        <w:rPr>
          <w:rFonts w:hint="eastAsia" w:ascii="Times New Roman" w:hAnsi="Times New Roman" w:eastAsia="仿宋_GB2312"/>
          <w:color w:val="auto"/>
          <w:sz w:val="32"/>
          <w:szCs w:val="32"/>
        </w:rPr>
        <w:t>%，主要包括办公费</w:t>
      </w:r>
      <w:r>
        <w:rPr>
          <w:rFonts w:hint="eastAsia" w:ascii="Times New Roman" w:hAnsi="Times New Roman" w:eastAsia="仿宋_GB2312"/>
          <w:color w:val="auto"/>
          <w:sz w:val="32"/>
          <w:szCs w:val="32"/>
          <w:lang w:val="en-US" w:eastAsia="zh-CN"/>
        </w:rPr>
        <w:t>54.39万元</w:t>
      </w:r>
      <w:r>
        <w:rPr>
          <w:rFonts w:hint="eastAsia" w:ascii="Times New Roman" w:hAnsi="Times New Roman" w:eastAsia="仿宋_GB2312"/>
          <w:color w:val="auto"/>
          <w:sz w:val="32"/>
          <w:szCs w:val="32"/>
        </w:rPr>
        <w:t>、印刷费</w:t>
      </w:r>
      <w:r>
        <w:rPr>
          <w:rFonts w:hint="eastAsia" w:ascii="Times New Roman" w:hAnsi="Times New Roman" w:eastAsia="仿宋_GB2312"/>
          <w:color w:val="auto"/>
          <w:sz w:val="32"/>
          <w:szCs w:val="32"/>
          <w:lang w:val="en-US" w:eastAsia="zh-CN"/>
        </w:rPr>
        <w:t>9万元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电费</w:t>
      </w:r>
      <w:r>
        <w:rPr>
          <w:rFonts w:hint="eastAsia" w:ascii="Times New Roman" w:hAnsi="Times New Roman" w:eastAsia="仿宋_GB2312"/>
          <w:color w:val="auto"/>
          <w:sz w:val="32"/>
          <w:szCs w:val="32"/>
          <w:lang w:val="en-US" w:eastAsia="zh-CN"/>
        </w:rPr>
        <w:t>3.55万元，</w:t>
      </w:r>
      <w:r>
        <w:rPr>
          <w:rFonts w:hint="eastAsia" w:ascii="Times New Roman" w:hAnsi="Times New Roman" w:eastAsia="仿宋_GB2312"/>
          <w:color w:val="auto"/>
          <w:sz w:val="32"/>
          <w:szCs w:val="32"/>
          <w:lang w:eastAsia="zh-CN"/>
        </w:rPr>
        <w:t>邮电费</w:t>
      </w:r>
      <w:r>
        <w:rPr>
          <w:rFonts w:hint="eastAsia" w:ascii="Times New Roman" w:hAnsi="Times New Roman" w:eastAsia="仿宋_GB2312"/>
          <w:color w:val="auto"/>
          <w:sz w:val="32"/>
          <w:szCs w:val="32"/>
          <w:lang w:val="en-US" w:eastAsia="zh-CN"/>
        </w:rPr>
        <w:t>6.05万元、取暖费2.6万元，差旅费25.06万元、维修（护）费11.96万元、租赁费7万元、会议费0.1万元、公务接待0.82万元、劳务费13.9万元、工会经费8.46万元、福利费2.59万元、其他交通费用52.13万元、其他商品服务支出7.48万元、办公设备购置8.89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34.26</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34.26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受疫情影响，公务交流活动减少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2.16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57.45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受疫情影响，公务交流活动减少</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农民工工资支付、交流工作</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theme="minorBidi"/>
          <w:color w:val="auto"/>
          <w:kern w:val="2"/>
          <w:sz w:val="32"/>
          <w:szCs w:val="32"/>
          <w:lang w:val="en-US" w:eastAsia="zh-CN" w:bidi="ar-SA"/>
        </w:rPr>
        <w:t>本单位无政府性基金收支。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w:t>
      </w:r>
      <w:bookmarkStart w:id="3" w:name="_GoBack"/>
      <w:r>
        <w:rPr>
          <w:rFonts w:hint="eastAsia" w:ascii="Times New Roman" w:hAnsi="Times New Roman" w:eastAsia="仿宋_GB2312"/>
          <w:color w:val="auto"/>
          <w:sz w:val="32"/>
          <w:szCs w:val="32"/>
        </w:rPr>
        <w:t>行经费支出</w:t>
      </w:r>
      <w:r>
        <w:rPr>
          <w:rFonts w:hint="eastAsia" w:ascii="Times New Roman" w:hAnsi="Times New Roman" w:eastAsia="仿宋_GB2312"/>
          <w:color w:val="auto"/>
          <w:sz w:val="32"/>
          <w:szCs w:val="32"/>
          <w:lang w:val="en-US" w:eastAsia="zh-CN"/>
        </w:rPr>
        <w:t>213.99</w:t>
      </w:r>
      <w:r>
        <w:rPr>
          <w:rFonts w:hint="eastAsia" w:ascii="Times New Roman" w:hAnsi="Times New Roman" w:eastAsia="仿宋_GB2312"/>
          <w:color w:val="auto"/>
          <w:sz w:val="32"/>
          <w:szCs w:val="32"/>
        </w:rPr>
        <w:t>万元，比上年决</w:t>
      </w:r>
      <w:bookmarkEnd w:id="3"/>
      <w:r>
        <w:rPr>
          <w:rFonts w:hint="eastAsia" w:ascii="Times New Roman" w:hAnsi="Times New Roman" w:eastAsia="仿宋_GB2312"/>
          <w:sz w:val="32"/>
          <w:szCs w:val="32"/>
        </w:rPr>
        <w:t>算数减少</w:t>
      </w:r>
      <w:r>
        <w:rPr>
          <w:rFonts w:hint="eastAsia" w:ascii="Times New Roman" w:hAnsi="Times New Roman" w:eastAsia="仿宋_GB2312"/>
          <w:sz w:val="32"/>
          <w:szCs w:val="32"/>
          <w:lang w:val="en-US" w:eastAsia="zh-CN"/>
        </w:rPr>
        <w:t>71.76</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25.11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压缩办公经费</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重点民生实事</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重点民生实事责任清单分解</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一、部门概况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溆浦县人力资源和社会保障局属财政全额拨款预算单位，内设办公室、工资福利股、规划财务股、养老保险股、工伤保险股等22个行政股室，下属就业中心、社保中心、工保中心等3个副科级全额拨款二级机构，肩负着全县各社保基金征缴、支付及人事综合管理、绩效考核评估、就业创业促进、劳动关系构建、劳动争议处理等工作职责。核定编制65人，实有在职人员59人，其中行政人员29人，事业及工勤人员30人。离退休人员46人。</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二、部门整体支出管理及使用情况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（一）基本支出。</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基本支出总计882.25万元，其中工资福利支出641.1万元，一般商品和服务支出205.1万元，对个人和家庭的补助支出27.16万元，其他支出8.89万元。2022年“三公”经费支出1.6万元，其中公务接待费1.6万元。本着厉行节约的原则，降低接待标准，来人一律见公函接待，把公务接待的支出严格控制在县厉行节约办下达的指标范围内。</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（二）专项支出。</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2022年各专项支出总计379.07万元，其中工资福利支出148.05万元，一般商品和服务支出76.5万元,对个人家庭补助支出24.26万元，房屋建筑物构建129.4万元，其他支出0.86万元。</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三、部门专项组织实施情况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（一）专项组织情况分析。</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专项资金实行使用部门提出支出申请报告，财务进行审核，主要领导同意后据实安排支出。涉及招标采购的项目严格执行项目招标和竣工验收，事前按照政府采购的规定申报采购计划，实施中对资金投向及年度资金调度进行详细规划，并及时将项目支出按预算科目编报财务决算。包括项目招投标、调整、竣工验收等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（二）专项管理情况。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对专项资金加强预算管理，规范了资金审批和支付程序，在专项资金申报中，严格按要财政要求执行；在专项资金使用上，按轻重缓急保障安排，每一笔支出有依据、有凭证、有程序、有责任。建立专项资金使用自查制度和抽查制度，及时发现问题，提出整改意见，增强自纠能力，确保专项资金依法管理与使用。没有发生专项资金的挤占、挪用、截流等违规现象。</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四、资产管理情况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2022年12月31日，我单位固定资产总值为629.14万元，其中：房屋及建筑物总值505.65万元，通用设备总值为99.86万元，专用设备总值为3.08万元，家具、用具总值为20.56万元。</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五、部门整体支出绩效情况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局对部门整体支出的预算执行高度重视。大力提倡勤俭节约，坚持把有限的经费用在人力资源工作和重点项目建设上，同时严格执行财务制度，坚持先有预算、后有支出，坚持“三公”经费公开制度。这些措施，较好地保证了财务开支和资金使用的合法合规、安全有效。</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(一)经济性分析</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2022年预算支出总计1262.32万元，年度实际支出1261.32万元，实际支出为预算支出的99.92%。</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(二)效率性分析</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部门整体支出绩效情况较好，各部门均按年初设定的目标任务积极完成各项工作。一是完成了上级下达各项社保基金的征缴任务；二是完成了2022届“三支一扶”人员的招聘工作，为高校毕业生提供了就业岗位；三是做好了全县企事业单位职工档案的管理工作；四是依法开展全县劳动保障监察、仲裁工作，坚持执法为民、促进发展的工作理念，不断调整工作思路和创新工作方法，切实维护劳动者合法权益，不断促进企业健康发展。</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(三)可持续性分析</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坚持把有限的经费用在刀刃上，进一步完善财务管理制度，坚持财务开支公开透明，较好的保证了人力资源和社会保障事业的可持续性发展。</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hd w:val="clear" w:color="auto" w:fill="FFFFFF"/>
        <w:spacing w:line="640" w:lineRule="exact"/>
        <w:ind w:firstLine="64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、存在的主要问题</w:t>
      </w:r>
    </w:p>
    <w:p>
      <w:pPr>
        <w:spacing w:line="520" w:lineRule="exact"/>
        <w:ind w:firstLine="645"/>
        <w:rPr>
          <w:rFonts w:hint="eastAsia" w:ascii="仿宋_GB2312" w:eastAsia="仿宋_GB2312"/>
          <w:sz w:val="30"/>
          <w:szCs w:val="30"/>
        </w:rPr>
      </w:pPr>
      <w:r>
        <w:rPr>
          <w:rFonts w:hint="eastAsia" w:ascii="仿宋_GB2312" w:eastAsia="仿宋_GB2312"/>
          <w:sz w:val="30"/>
          <w:szCs w:val="30"/>
        </w:rPr>
        <w:t>年初编制的预算不够精确，</w:t>
      </w:r>
      <w:r>
        <w:rPr>
          <w:rFonts w:ascii="微软雅黑" w:hAnsi="微软雅黑" w:eastAsia="微软雅黑" w:cs="微软雅黑"/>
          <w:i w:val="0"/>
          <w:iCs w:val="0"/>
          <w:caps w:val="0"/>
          <w:color w:val="555555"/>
          <w:spacing w:val="0"/>
          <w:sz w:val="24"/>
          <w:szCs w:val="24"/>
          <w:shd w:val="clear" w:fill="FFFFFF"/>
        </w:rPr>
        <w:t>工</w:t>
      </w:r>
      <w:r>
        <w:rPr>
          <w:rFonts w:hint="eastAsia" w:ascii="仿宋_GB2312" w:eastAsia="仿宋_GB2312"/>
          <w:sz w:val="30"/>
          <w:szCs w:val="30"/>
        </w:rPr>
        <w:t>资的政策性调整，年初未列入预算</w:t>
      </w:r>
      <w:r>
        <w:rPr>
          <w:rFonts w:hint="eastAsia" w:ascii="仿宋_GB2312" w:eastAsia="仿宋_GB2312"/>
          <w:sz w:val="30"/>
          <w:szCs w:val="30"/>
          <w:lang w:eastAsia="zh-CN"/>
        </w:rPr>
        <w:t>，</w:t>
      </w:r>
      <w:r>
        <w:rPr>
          <w:rFonts w:hint="eastAsia" w:ascii="仿宋_GB2312" w:eastAsia="仿宋_GB2312"/>
          <w:sz w:val="30"/>
          <w:szCs w:val="30"/>
        </w:rPr>
        <w:t>编制范围不太全面，预算执行情况还有待进一步加强。</w:t>
      </w:r>
    </w:p>
    <w:p>
      <w:pPr>
        <w:shd w:val="clear" w:color="auto" w:fill="FFFFFF"/>
        <w:spacing w:line="640" w:lineRule="exact"/>
        <w:ind w:firstLine="64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、改进措施和有关建议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right="0" w:firstLine="600" w:firstLineChars="200"/>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w:t>
      </w:r>
      <w:r>
        <w:rPr>
          <w:rFonts w:hint="eastAsia" w:ascii="仿宋_GB2312" w:eastAsia="仿宋_GB2312" w:cstheme="minorBidi"/>
          <w:kern w:val="2"/>
          <w:sz w:val="30"/>
          <w:szCs w:val="30"/>
          <w:lang w:val="en-US" w:eastAsia="zh-CN" w:bidi="ar-SA"/>
        </w:rPr>
        <w:t>、</w:t>
      </w:r>
      <w:r>
        <w:rPr>
          <w:rFonts w:hint="eastAsia" w:ascii="仿宋_GB2312" w:eastAsia="仿宋_GB2312" w:hAnsiTheme="minorHAnsi" w:cstheme="minorBidi"/>
          <w:kern w:val="2"/>
          <w:sz w:val="30"/>
          <w:szCs w:val="30"/>
          <w:lang w:val="en-US" w:eastAsia="zh-CN" w:bidi="ar-SA"/>
        </w:rPr>
        <w:t>认真做好预算的编制，编制范围尽可能的全面、不漏项，进一步提高预算编制的科学性、合理性、严谨性和可控性；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right="0" w:firstLine="600" w:firstLineChars="200"/>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w:t>
      </w:r>
      <w:r>
        <w:rPr>
          <w:rFonts w:hint="eastAsia" w:ascii="仿宋_GB2312" w:eastAsia="仿宋_GB2312" w:cstheme="minorBidi"/>
          <w:kern w:val="2"/>
          <w:sz w:val="30"/>
          <w:szCs w:val="30"/>
          <w:lang w:val="en-US" w:eastAsia="zh-CN" w:bidi="ar-SA"/>
        </w:rPr>
        <w:t>、</w:t>
      </w:r>
      <w:r>
        <w:rPr>
          <w:rFonts w:hint="eastAsia" w:ascii="仿宋_GB2312" w:eastAsia="仿宋_GB2312" w:hAnsiTheme="minorHAnsi" w:cstheme="minorBidi"/>
          <w:kern w:val="2"/>
          <w:sz w:val="30"/>
          <w:szCs w:val="30"/>
          <w:lang w:val="en-US" w:eastAsia="zh-CN" w:bidi="ar-SA"/>
        </w:rPr>
        <w:t>严格执行财务管理相关制度，严格按照资金支付范围、支付标准、支付进度，确保资金使用的安全性和规范性，保障机关日常正常运转</w:t>
      </w:r>
      <w:r>
        <w:rPr>
          <w:rFonts w:hint="eastAsia" w:ascii="仿宋_GB2312" w:eastAsia="仿宋_GB2312" w:cstheme="minorBidi"/>
          <w:kern w:val="2"/>
          <w:sz w:val="30"/>
          <w:szCs w:val="30"/>
          <w:lang w:val="en-US" w:eastAsia="zh-CN" w:bidi="ar-SA"/>
        </w:rPr>
        <w:t>。</w:t>
      </w:r>
    </w:p>
    <w:p>
      <w:pPr>
        <w:pStyle w:val="10"/>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（一）财政拨款收入：本年度从本级财政部门取得的财政拨款，包括一般公共预算财政拨款和政府性基金预算财政拨款。</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（二）事业收入：指事业单位开展专业业务活动及辅助活动所取得的收入。</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（三）其他收入：指除上述“财政拨款收入”、“事业收入”、“经营收入”等以外的收入。</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（五）年初结转和结余：指以前年度尚未完成、结转到本年仍按原规定用途继续使用的资金，或项目已完成等产生的结余资金。</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（六）结余分配：指事业单位按照事业单位会计制度的规定从非财政补助结余中分配的事业基金和职工福利基金等。</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（七）年末结转和结余：指单位按有关规定结转到下年或以后年度继续使用的资金，或项目已完成等产生的结余资金。</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（八）基本支出：填列单位为保障机构正常运转、完成日常工作任务而发生的各项支出。</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（九）项目支出：填列单位为完成特定的行政工作任务或事业发展目标，在基本支出之外发生的各项支出</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（十三）其他交通费用：填列单位除公务用车运行维护费以外的其他交通费用。如飞机、船舶等的燃料费、维修费、过桥过路费、保险费、出租车费用、公务交通补贴等。</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（十四）公务用车购置：填列单位公务用车车辆购置支出（含车辆购置税）。</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（十五）其他交通工具购置：填列单位除公务用车外的其他各类交通工具（如船舶、飞机）购置支出（含车辆购置税）。</w:t>
      </w:r>
    </w:p>
    <w:p>
      <w:pPr>
        <w:pStyle w:val="1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D2710"/>
    <w:rsid w:val="03B94246"/>
    <w:rsid w:val="063E1FA3"/>
    <w:rsid w:val="0808616E"/>
    <w:rsid w:val="09840392"/>
    <w:rsid w:val="0BF95B27"/>
    <w:rsid w:val="0D49488C"/>
    <w:rsid w:val="121A75C8"/>
    <w:rsid w:val="15AC3C0A"/>
    <w:rsid w:val="1711641B"/>
    <w:rsid w:val="1BFD39AF"/>
    <w:rsid w:val="1D6333DE"/>
    <w:rsid w:val="1FE43FB7"/>
    <w:rsid w:val="20631369"/>
    <w:rsid w:val="21A20E61"/>
    <w:rsid w:val="227930C6"/>
    <w:rsid w:val="25977FFC"/>
    <w:rsid w:val="276814C7"/>
    <w:rsid w:val="290C592F"/>
    <w:rsid w:val="2D077866"/>
    <w:rsid w:val="2FC722E3"/>
    <w:rsid w:val="32052280"/>
    <w:rsid w:val="332C6C18"/>
    <w:rsid w:val="35EF54F1"/>
    <w:rsid w:val="36486245"/>
    <w:rsid w:val="370463AC"/>
    <w:rsid w:val="382F62E6"/>
    <w:rsid w:val="38B22273"/>
    <w:rsid w:val="3B984165"/>
    <w:rsid w:val="3D251A29"/>
    <w:rsid w:val="41A57691"/>
    <w:rsid w:val="421F113C"/>
    <w:rsid w:val="43036368"/>
    <w:rsid w:val="44B87626"/>
    <w:rsid w:val="471F3E06"/>
    <w:rsid w:val="4ABD0B7E"/>
    <w:rsid w:val="4EE4442F"/>
    <w:rsid w:val="4F7C7BCE"/>
    <w:rsid w:val="4FAC0CFF"/>
    <w:rsid w:val="51575861"/>
    <w:rsid w:val="53FB308C"/>
    <w:rsid w:val="54CA0898"/>
    <w:rsid w:val="55E52DA6"/>
    <w:rsid w:val="5777D4F5"/>
    <w:rsid w:val="5885439D"/>
    <w:rsid w:val="5C1318BA"/>
    <w:rsid w:val="5E5B4E53"/>
    <w:rsid w:val="5FC6BB1E"/>
    <w:rsid w:val="5FF720F1"/>
    <w:rsid w:val="601722D8"/>
    <w:rsid w:val="6098238E"/>
    <w:rsid w:val="63B84AF5"/>
    <w:rsid w:val="64F7097C"/>
    <w:rsid w:val="67006EDF"/>
    <w:rsid w:val="68166CA5"/>
    <w:rsid w:val="6D4C4C2C"/>
    <w:rsid w:val="6DD8201C"/>
    <w:rsid w:val="6FF13869"/>
    <w:rsid w:val="737D59BA"/>
    <w:rsid w:val="76137FC5"/>
    <w:rsid w:val="77C37683"/>
    <w:rsid w:val="77D777E8"/>
    <w:rsid w:val="79FF515B"/>
    <w:rsid w:val="7E1001D8"/>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10618</Words>
  <Characters>14437</Characters>
  <Lines>63</Lines>
  <Paragraphs>18</Paragraphs>
  <TotalTime>21</TotalTime>
  <ScaleCrop>false</ScaleCrop>
  <LinksUpToDate>false</LinksUpToDate>
  <CharactersWithSpaces>15342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2008-12-31T23:41:00Z</cp:lastPrinted>
  <dcterms:modified xsi:type="dcterms:W3CDTF">2023-10-11T01:01:10Z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72BBDB165E564080AB4A2DCBBC1222B0</vt:lpwstr>
  </property>
</Properties>
</file>