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溆浦县人力资源和社会保障局部门决算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第一部分溆浦县人力资源和社会保障局概况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溆浦县人力资源和社会保障局概况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1"/>
        <w:spacing w:line="580" w:lineRule="exact"/>
        <w:ind w:firstLine="640"/>
        <w:jc w:val="left"/>
        <w:rPr>
          <w:rFonts w:asciiTheme="minorEastAsia" w:hAnsiTheme="minorEastAsia"/>
          <w:bCs/>
          <w:kern w:val="0"/>
          <w:sz w:val="32"/>
          <w:szCs w:val="32"/>
        </w:rPr>
      </w:pPr>
      <w:r>
        <w:rPr>
          <w:rFonts w:hint="eastAsia" w:asciiTheme="minorEastAsia" w:hAnsiTheme="minorEastAsia"/>
          <w:bCs/>
          <w:kern w:val="0"/>
          <w:sz w:val="32"/>
          <w:szCs w:val="32"/>
        </w:rPr>
        <w:t>贯彻执行人力资源和社会保障法律法规，肩负着全县各社保基金征缴、支付及人事综合管理、绩效考核评估、就业创业促进、劳动关系构建、劳动争议处理等工作职责。</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（一）内设机构设置。溆浦县人力资源和社会保障局内设机构包括：办公室、人事股、财务股、工资股、法规股、工伤保险股、养老保险股、基金监督股、就业股等19个股室。</w:t>
      </w:r>
    </w:p>
    <w:p>
      <w:pPr>
        <w:widowControl/>
        <w:spacing w:line="60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（二）决算单位构成。溆浦县人力资源和社会保障</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21年部门决算汇总公开单位构成包括：溆浦县人力资源和社会保障局单位本级。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1245.42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149.04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1037.91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28.54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20.43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25.67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1245.42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1266.09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54.22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33.55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1299.64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1299.64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408"/>
        <w:gridCol w:w="401"/>
        <w:gridCol w:w="199"/>
        <w:gridCol w:w="5900"/>
        <w:gridCol w:w="1234"/>
        <w:gridCol w:w="1151"/>
        <w:gridCol w:w="1078"/>
        <w:gridCol w:w="1014"/>
        <w:gridCol w:w="957"/>
        <w:gridCol w:w="908"/>
        <w:gridCol w:w="2178"/>
      </w:tblGrid>
      <w:tr>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0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908"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1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9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0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6099"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099"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90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690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cs="Arial"/>
                <w:b/>
                <w:bCs/>
                <w:color w:val="000000"/>
                <w:sz w:val="22"/>
              </w:rPr>
              <w:t>1,245.42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b/>
                <w:bCs/>
                <w:color w:val="000000"/>
                <w:sz w:val="22"/>
              </w:rPr>
            </w:pPr>
            <w:r>
              <w:rPr>
                <w:rFonts w:hint="eastAsia" w:cs="Arial"/>
                <w:b/>
                <w:bCs/>
                <w:color w:val="000000"/>
                <w:sz w:val="22"/>
              </w:rPr>
              <w:t>1,245.42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149.04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149.04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20103</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政府办公厅（室）及相关机构事务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2010399</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其他政府办公厅（室）及相关机构事务支出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20126</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档案事务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28.35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28.35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2012699</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其他档案事务支出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28.35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28.35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20199</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其他一般公共服务支出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60.70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60.70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2019999</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60.70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60.70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1,017.24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1,017.24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人力资源和社会保障管理事务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873.73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873.73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2080101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554.01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554.01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2080104</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综合业务管理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62.47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62.47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2080105</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劳动保障监察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52.72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52.72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2080112</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劳动人事争议调解仲裁</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13.29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13.29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2080199</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其他人力资源和社会保障管理事务支出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191.24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191.24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20805</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61.04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61.04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2080505</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61.04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61.04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20808</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37.19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37.19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2080801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37.19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37.19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20899</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其他社会保障和就业支出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2089999</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21011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2101101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28.54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213</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20.43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20.43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21305</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20.43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20.43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2130501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2130599</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其他扶贫支出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18.43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18.43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216</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商业服务业等支出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21602</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商业流通事务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2160201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221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25.67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25.67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22102</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25.67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25.67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2210201</w:t>
            </w:r>
          </w:p>
        </w:tc>
        <w:tc>
          <w:tcPr>
            <w:tcW w:w="5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25.67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25.67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324" w:type="dxa"/>
        <w:tblInd w:w="93" w:type="dxa"/>
        <w:tblLayout w:type="autofit"/>
        <w:tblCellMar>
          <w:top w:w="0" w:type="dxa"/>
          <w:left w:w="108" w:type="dxa"/>
          <w:bottom w:w="0" w:type="dxa"/>
          <w:right w:w="108" w:type="dxa"/>
        </w:tblCellMar>
      </w:tblPr>
      <w:tblGrid>
        <w:gridCol w:w="997"/>
        <w:gridCol w:w="176"/>
        <w:gridCol w:w="222"/>
        <w:gridCol w:w="4149"/>
        <w:gridCol w:w="2693"/>
        <w:gridCol w:w="1276"/>
        <w:gridCol w:w="1984"/>
        <w:gridCol w:w="992"/>
        <w:gridCol w:w="1276"/>
        <w:gridCol w:w="1559"/>
      </w:tblGrid>
      <w:tr>
        <w:tblPrEx>
          <w:tblCellMar>
            <w:top w:w="0" w:type="dxa"/>
            <w:left w:w="108" w:type="dxa"/>
            <w:bottom w:w="0" w:type="dxa"/>
            <w:right w:w="108" w:type="dxa"/>
          </w:tblCellMar>
        </w:tblPrEx>
        <w:trPr>
          <w:trHeight w:val="435" w:hRule="atLeast"/>
        </w:trPr>
        <w:tc>
          <w:tcPr>
            <w:tcW w:w="15324"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1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173"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54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6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39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1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9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554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6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8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554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6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cs="Arial"/>
                <w:b/>
                <w:bCs/>
                <w:color w:val="000000"/>
                <w:sz w:val="22"/>
              </w:rPr>
              <w:t>1,266.09</w:t>
            </w: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rPr>
            </w:pPr>
            <w:r>
              <w:rPr>
                <w:rFonts w:hint="eastAsia" w:cs="Arial"/>
                <w:b/>
                <w:bCs/>
                <w:color w:val="000000"/>
                <w:sz w:val="22"/>
              </w:rPr>
              <w:t>1,094.80</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rPr>
            </w:pPr>
            <w:r>
              <w:rPr>
                <w:rFonts w:hint="eastAsia" w:cs="Arial"/>
                <w:b/>
                <w:bCs/>
                <w:color w:val="000000"/>
                <w:sz w:val="22"/>
              </w:rPr>
              <w:t>171.29</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一般公共服务支出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149.04</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28.35</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120.70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20103</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政府办公厅（室）及相关机构事务</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60.00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2010399</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其他政府办公厅（室）及相关机构事务支出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60.00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20126</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档案事务</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28.35</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28.35</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2012699</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其他档案事务支出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28.35</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28.35</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20199</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其他一般公共服务支出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60.70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60.70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2019999</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其他一般公共服务支出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60.70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60.70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社会保障和就业支出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1,037.91</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987.32</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50.59</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人力资源和社会保障管理事务</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894.40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843.80</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50.59</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2080101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行政运行</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574.68</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574.68</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2080104</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综合业务管理</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62.47</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62.47</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2080105</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劳动保障监察</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52.72</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52.72</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2080112</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劳动人事争议调解仲裁</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13.29</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13.29</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2080199</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其他人力资源和社会保障管理事务支出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191.24</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140.64</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50.59</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20805</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行政事业单位养老支出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61.04</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61.04</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2080505</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61.04</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61.04</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20808</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抚恤</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37.19</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37.19</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2080801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死亡抚恤</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37.19</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37.19</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20899</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其他社会保障和就业支出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45.28</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45.28</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2089999</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其他社会保障和就业支出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45.28</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45.28</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210</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卫生健康支出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28.54</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28.54</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21011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行政事业单位医疗</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28.54</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28.54</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2101101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行政单位医疗</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28.54</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28.54</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213</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农林水支出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20.43</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20.43</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21305</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扶贫</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20.43</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20.43</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2130501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行政运行</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2.00</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2130599</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其他扶贫支出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18.43</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18.43</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216</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商业服务业等支出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4.50</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21602</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商业流通事务</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4.50</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2160201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行政运行</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4.50</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221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住房保障支出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25.67</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25.67</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22102</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住房改革支出</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25.67</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25.67</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2210201</w:t>
            </w:r>
          </w:p>
        </w:tc>
        <w:tc>
          <w:tcPr>
            <w:tcW w:w="4547"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住房公积金</w:t>
            </w:r>
          </w:p>
        </w:tc>
        <w:tc>
          <w:tcPr>
            <w:tcW w:w="269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25.67</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25.67</w:t>
            </w:r>
          </w:p>
        </w:tc>
        <w:tc>
          <w:tcPr>
            <w:tcW w:w="198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5324"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1245.42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149.04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149.04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1017.24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1017.24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28.54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28.54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20.43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20.43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4.5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25.67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25.67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1245.42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1245.42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1245.42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33.55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33.55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33.55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33.55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1278.97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1278.97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1278.97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4590"/>
        <w:gridCol w:w="1937"/>
        <w:gridCol w:w="3492"/>
        <w:gridCol w:w="3000"/>
      </w:tblGrid>
      <w:tr>
        <w:tblPrEx>
          <w:tblCellMar>
            <w:top w:w="0" w:type="dxa"/>
            <w:left w:w="108" w:type="dxa"/>
            <w:bottom w:w="0" w:type="dxa"/>
            <w:right w:w="108" w:type="dxa"/>
          </w:tblCellMar>
        </w:tblPrEx>
        <w:trPr>
          <w:trHeight w:val="405" w:hRule="atLeast"/>
          <w:jc w:val="center"/>
        </w:trPr>
        <w:tc>
          <w:tcPr>
            <w:tcW w:w="579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42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5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9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5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93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5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93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79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79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1245.42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1074.13</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171.29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w:t>
            </w:r>
          </w:p>
        </w:tc>
        <w:tc>
          <w:tcPr>
            <w:tcW w:w="4590"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一般公共服务支出</w:t>
            </w:r>
          </w:p>
        </w:tc>
        <w:tc>
          <w:tcPr>
            <w:tcW w:w="1937"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149.04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28.35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120.70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20103</w:t>
            </w:r>
          </w:p>
        </w:tc>
        <w:tc>
          <w:tcPr>
            <w:tcW w:w="4590"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政府办公厅（室）及相关机构事务</w:t>
            </w:r>
          </w:p>
        </w:tc>
        <w:tc>
          <w:tcPr>
            <w:tcW w:w="1937"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2010399</w:t>
            </w:r>
          </w:p>
        </w:tc>
        <w:tc>
          <w:tcPr>
            <w:tcW w:w="4590"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其他政府办公厅（室）及相关机构事务支出</w:t>
            </w:r>
          </w:p>
        </w:tc>
        <w:tc>
          <w:tcPr>
            <w:tcW w:w="1937"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20126</w:t>
            </w:r>
          </w:p>
        </w:tc>
        <w:tc>
          <w:tcPr>
            <w:tcW w:w="4590"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档案事务</w:t>
            </w:r>
          </w:p>
        </w:tc>
        <w:tc>
          <w:tcPr>
            <w:tcW w:w="1937"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28.35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28.35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2012699</w:t>
            </w:r>
          </w:p>
        </w:tc>
        <w:tc>
          <w:tcPr>
            <w:tcW w:w="4590"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其他档案事务支出</w:t>
            </w:r>
          </w:p>
        </w:tc>
        <w:tc>
          <w:tcPr>
            <w:tcW w:w="1937"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28.35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28.35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20199</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其他一般公共服务支出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60.70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2019999</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其他一般公共服务支出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60.70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60.70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社会保障和就业支出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1,017.24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966.65</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20801</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人力资源和社会保障管理事务</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873.73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823.13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2080101</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554.01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554.01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2080104</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综合业务管理</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62.47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62.47</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2080105</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劳动保障监察</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52.72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52.72</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2080112</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劳动人事争议调解仲裁</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13.29</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13.29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2080199</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其他人力资源和社会保障管理事务支出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191.24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140.64</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行政事业单位养老支出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61.04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61.04</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2080505</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61.04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61.04</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抚恤</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37.19</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37.19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2080801</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死亡抚恤</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37.19</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37.19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20899</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其他社会保障和就业支出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45.28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45.28</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2089999</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其他社会保障和就业支出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45.28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45.28</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卫生健康支出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28.54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28.54</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21011</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行政事业单位医疗</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28.54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28.54</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2101101</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行政单位医疗</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28.54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28.54</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213</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农林水支出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20.43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20.43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21305</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扶贫</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20.43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20.43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2130501</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2130599</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其他扶贫支出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18.43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18.43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216</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商业服务业等支出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21602</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商业流通事务</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2160201</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221</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住房保障支出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25.67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25.67</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22102</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住房改革支出</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25.67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25.67</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2210201</w:t>
            </w:r>
          </w:p>
        </w:tc>
        <w:tc>
          <w:tcPr>
            <w:tcW w:w="4590"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住房公积金</w:t>
            </w:r>
          </w:p>
        </w:tc>
        <w:tc>
          <w:tcPr>
            <w:tcW w:w="1937"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25.67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25.67</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6"/>
        <w:tblW w:w="0" w:type="auto"/>
        <w:tblInd w:w="0" w:type="dxa"/>
        <w:tblLayout w:type="autofit"/>
        <w:tblCellMar>
          <w:top w:w="0" w:type="dxa"/>
          <w:left w:w="108" w:type="dxa"/>
          <w:bottom w:w="0" w:type="dxa"/>
          <w:right w:w="108" w:type="dxa"/>
        </w:tblCellMar>
      </w:tblPr>
      <w:tblGrid>
        <w:gridCol w:w="956"/>
        <w:gridCol w:w="3402"/>
        <w:gridCol w:w="1137"/>
        <w:gridCol w:w="970"/>
        <w:gridCol w:w="2316"/>
        <w:gridCol w:w="830"/>
        <w:gridCol w:w="741"/>
        <w:gridCol w:w="4206"/>
        <w:gridCol w:w="105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045" w:hRule="atLeas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695.51</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279.86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238.59</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12.69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130.98</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22.82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104.84</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5.89</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18.81</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5.89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61.90</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5.65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30.98</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2.55</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37.78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69.03</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37.83</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92.87</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8.86</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36.45</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19.07</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0.25</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27.41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10.00</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4.92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42.92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18.25</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788.38</w:t>
            </w:r>
          </w:p>
        </w:tc>
        <w:tc>
          <w:tcPr>
            <w:tcW w:w="906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ind w:right="440"/>
              <w:jc w:val="center"/>
              <w:rPr>
                <w:rFonts w:ascii="宋体" w:hAnsi="宋体" w:eastAsia="宋体" w:cs="Arial"/>
                <w:color w:val="000000"/>
                <w:sz w:val="22"/>
              </w:rPr>
            </w:pPr>
            <w:r>
              <w:rPr>
                <w:rFonts w:hint="eastAsia" w:cs="Arial"/>
                <w:color w:val="000000"/>
                <w:sz w:val="22"/>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285.75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3.76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3.76</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,请说明：溆浦县人力资源和社会保障局没有政府性基金收入，也没有使用政府性基金安排的支出，故本表无数据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2021年度收、支总计1299.64万元。与上年相比减少102.37万元，减少7.69%，主要是因为2021年工程项目支出减少。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2021年度收入合计1245.42万元，其中：财政拨款收入1245.42万元，占100%。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2021年度支出合计1266.09万元，其中：基本支出1094.8万元，占86.47%；项目支出171.29万元，占13.53%。</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2021年度财政拨款收、支总计1278.97万元，与上年相比，减少32.37万元,减少2.53%，主要是因为2021年工程项目支出减少。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2021年度财政拨款支出1245.42万元，占本年支出合计的100%，与上年相比，财政拨款支出减少11.71万元，减少0.92%，主要是因为2021年工程项目支出减少。</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1245.42万元，主要用于以下方面：一般公共服务（类）支出149.04万元，占11.97%；社会保障和就业（类）支出1017.24万元，占81.7%;卫生健康（类）支出28.54万元，占2.29%；农林水（类）支出20.43万元，占1.64%；商业服务业等（类）支出4.5万元，占0.35%，住房保障（类）支出25.67万元，占2.05%。</w:t>
      </w:r>
    </w:p>
    <w:p>
      <w:pPr>
        <w:pStyle w:val="10"/>
        <w:ind w:firstLine="640" w:firstLineChars="20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2021年度财政拨款支出年初预算数为1300.6万元，支出决算数为1245.42万元，完成年初预算的95.76%，其中：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1、一般公共服务支出201（类）政府办公厅及相关机构事务03（款）其他政府办公厅及相关机构事务支出（项）99。</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年初预算为60万元，支出决算为60万元，完成年初预算的100%，决算数等于年初预算数。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2、一般公共服务支出201（类）档案事务26（款）其他档案事务支出99（项）。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年初预算为28.35万元，支出决算为28.35万元，完成年初预算的100%，决算数等于年初预算数。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3、一般公共服务支出201（类）其他一般公共服务支出99（款）其他一般公共服务支出99（项）。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年初预算为60.7万元，支出决算为60.7万元，完成年初预算的100%，决算数等于年初预算数。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4、社会保障和就业支出208（类）人力资源和社会保障管理事务01（款）行政运行01（项）。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年初预算为554.01万元，支出决算为554.01万元，完成年初预算的100%，决算数等于年初预算数。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5、社会保障和就业支出208（类）人力资源和社会保障管理事务01（款）综合业务管理04（项）。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年初预算为62.47万元，支出决算为62.47万元，完成年初预算的100%，决算数等于年初预算数。</w:t>
      </w: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6、社会保障和就业支出208（类）人力资源和社会保障管理事务01（款）劳动保障监察05（项）。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年初预算为52.72万元，支出决算为52.72万元，完成年初预算的100%，决算数等于年初预算数。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7、社会保障和就业支出208（类）人力资源和社会保障管理事务01（款）劳动人事争议调解仲裁12（项）。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年初预算为13.29万元，支出决算为13.29万元，完成年初预算的100%，决算数等于年初预算数。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8、社会保障和就业支出208（类）人力资源和社会保障管理事务01（款）其他人力资源和社会保障管理事务支出99（项）。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年初预算为246.42万元，支出决算为191.24万元，完成年初预算的77.6%，决算数小于年初预算数的主要原因是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9、社会保障和就业支出208（类）行政事业单位养老支出05（款）机关事业单位基本养老保险缴费支出05（项）。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年初预算为61.04万元，支出决算为61.04万元，完成年初预算的100%，决算数等于年初预算数。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10、社会保障和就业支出208（类）抚恤08（款）死亡抚恤01（项）。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年初预算为37.19万元，支出决算为37.19万元，完成年初预算的100%，决算数等于年初预算数。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11、社会保障和就业支出208（类）其他社会保障和就业支出99（款）其他社会保障和就业支出99（项）。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年初预算为45.28万元，支出决算为45.28万元，完成年初预算的100%，决算数等于年初预算数。</w:t>
      </w: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12、卫生健康支出210（类）行政事业单位医疗11（款）行政单位医疗01（项）。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年初预算为28.54万元，支出决算为28.54万元，完成年初预算的100%，决算数等于年初预算数。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13、农林水支出213（类）扶贫05（款）行政运行01（项）。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年初预算为2万元，支出决算为2万元，完成年初预算的100%，决算数等于年初预算数。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14、农林水支出213（类）扶贫05（款）其他扶贫支出99（项）。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年初预算为18.43万元，支出决算为18.43万元，完成年初预算的100%，决算数等于年初预算数。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15、商业服务业等支出216（类）商业流通事务02（款）行政运行01（项）。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年初预算为4.5万元，支出决算为4.5万元，完成年初预算的100%，决算数等于年初预算数。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16、住房保障支出221（类）住房改革支出02（款）住房公积金01（项）。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年初预算为25.67万元，支出决算为25.67万元，完成年初预算的100%，决算数等于年初预算数。</w:t>
      </w: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1074.13万元，其中：人员经费788.38万元，占基本支出的73.4%,主要包括基本工资238.59万元、津贴补贴130.98万元、奖金104.84万元、伙食补助费18.81万元、养老保险缴费61.9万元、职工基本医保缴费30.98万元、住房公积金69.03万元、抚恤金36.45万元等；公用经费285.75万元，占基本支出的26.6%，主要包括办公费12.69万元、印刷费22.82万元、邮电费5.65万元、差旅费37.78万元、维修（护）费15.04万元、劳务费13.08万元、工会经费27.41万元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2021年度“三公”经费财政拨款支出预算为4万元，支出决算为3.76万元，完成预算的94%，其中：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因公出国（境）费支出预算为0万元，支出决算为0万元，完成预算的0%，决算数等于预算数，与上年一致。</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公务接待费支出预算为4万元，支出决算为3.76万元，完成预算的94%，决算数小于预算数的主要原因是控制公务接待支出，与上年相比增加2.2万元，增长141.03%,增长的主要原因是上年受疫情影响，公务活动减少。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公务用车购置费支出预算为0万元，支出决算为0万元，完成预算的0%，决算数等于预算数，与上年一致。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公务用车运行维护费支出预算为0万元，支出决算为0万元，完成预算的0%，决算数等于预算数，与上年一致。</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2021年度“三公”经费财政拨款支出决算中，公务接待费支出决算3.76万元，占100%,因公出国（境）费支出决算0万元，占0%,公务用车购置费及运行维护费支出决算0万元，占0%。其中：</w:t>
      </w:r>
    </w:p>
    <w:p>
      <w:pPr>
        <w:pStyle w:val="10"/>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2、公务接待费支出决算为3.76万元，全年共接待来访团组32个、来宾183人次，主要是绩效考核、交流就业、农民工工资支付等工作发生的接待支出。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本部门2021年度机关运行经费支出285.75万元，比上年决算数增加25.25万元，增长8.84%。主要原因是：由于财政资金紧张，2020年部分经费开支在2021年初支付，导致2021年运行经费增加。</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1.82万元，用于召开绩效考核、农民工工作、就业工作会议，人数200人，内容为绩效考核验收、迎接国务院农民工工作督察动员会、事业单位改革推进大会等。开支培训费0万元，人数0人；举办0次节庆、晚会、论坛、赛事活动，开支0万元。</w:t>
      </w:r>
    </w:p>
    <w:p>
      <w:pPr>
        <w:pStyle w:val="10"/>
        <w:rPr>
          <w:rFonts w:hAnsi="黑体"/>
          <w:b/>
          <w:sz w:val="32"/>
          <w:szCs w:val="32"/>
        </w:rPr>
      </w:pPr>
      <w:r>
        <w:rPr>
          <w:rFonts w:hint="eastAsia" w:hAnsi="黑体"/>
          <w:b/>
          <w:sz w:val="32"/>
          <w:szCs w:val="32"/>
        </w:rPr>
        <w:t>十一、政府采购支出说明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 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年度一般公共预算项目支出全面开展绩效自评，其中，一级项目0个，二级项目3个，共涉及资金281</w:t>
      </w:r>
      <w:r>
        <w:rPr>
          <w:rFonts w:hint="eastAsia" w:cs="黑体" w:asciiTheme="minorEastAsia" w:hAnsiTheme="minorEastAsia"/>
          <w:color w:val="000000"/>
          <w:kern w:val="0"/>
          <w:sz w:val="32"/>
          <w:szCs w:val="32"/>
        </w:rPr>
        <w:t>万元，占一般公共预算项目支出总额的100%。</w:t>
      </w:r>
      <w:r>
        <w:rPr>
          <w:rFonts w:hint="eastAsia" w:cs="黑体" w:asciiTheme="minorEastAsia" w:hAnsiTheme="minorEastAsia"/>
          <w:color w:val="000000"/>
          <w:kern w:val="0"/>
          <w:sz w:val="32"/>
          <w:szCs w:val="32"/>
        </w:rPr>
        <w:t>组织对2021</w:t>
      </w:r>
      <w:r>
        <w:rPr>
          <w:rFonts w:hint="eastAsia" w:cs="黑体" w:asciiTheme="minorEastAsia" w:hAnsiTheme="minorEastAsia"/>
          <w:color w:val="000000"/>
          <w:kern w:val="0"/>
          <w:sz w:val="32"/>
          <w:szCs w:val="32"/>
        </w:rPr>
        <w:t>年度 0个政府性基金预算项目支出开展绩效自评，共涉及资金0万元，占政府性基金预算项目支出总额的0%</w:t>
      </w:r>
      <w:r>
        <w:rPr>
          <w:rFonts w:hint="eastAsia" w:cs="黑体" w:asciiTheme="minorEastAsia" w:hAnsiTheme="minorEastAsia"/>
          <w:color w:val="000000"/>
          <w:kern w:val="0"/>
          <w:sz w:val="32"/>
          <w:szCs w:val="32"/>
        </w:rPr>
        <w:t>。组织对2021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组织对三支一扶、绩效考核、劳动监察等3个项目开展了部门评价，涉及一般公共预算支出281</w:t>
      </w:r>
      <w:r>
        <w:rPr>
          <w:rFonts w:hint="eastAsia" w:cs="黑体" w:asciiTheme="minorEastAsia" w:hAnsiTheme="minorEastAsia"/>
          <w:color w:val="000000"/>
          <w:kern w:val="0"/>
          <w:sz w:val="32"/>
          <w:szCs w:val="32"/>
        </w:rPr>
        <w:t>万元</w:t>
      </w:r>
      <w:bookmarkStart w:id="3" w:name="_GoBack"/>
      <w:bookmarkEnd w:id="3"/>
      <w:r>
        <w:rPr>
          <w:rFonts w:hint="eastAsia" w:cs="黑体" w:asciiTheme="minorEastAsia" w:hAnsiTheme="minorEastAsia"/>
          <w:color w:val="000000"/>
          <w:kern w:val="0"/>
          <w:sz w:val="32"/>
          <w:szCs w:val="32"/>
        </w:rPr>
        <w:t>，政府性基金预算支出0万元，国有资本经营预算支出0万元。从评价情况来看，2021年，我局整体支出情况较好，财政财务制度健全且执行情况良好，资金投入取得了较好的效益，为工作顺利开展提供了有效保障。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组织对溆浦县人力资源和社会保障局等1个单位开展整体支出绩效评价，涉及一般公共预算支出281万元，政府性基金预算支出0万元。从评价情况来看，各部门均按年初设定的目标任务积极完成各项工作。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项目一：绩效考核50万。根据年初设定的绩效目标，项目绩效自评得分为97分。项目全年预算数50万，执行数50万，完成预算的100%。项目绩效目标完成情况：扎实做好“六稳”工作，全面落实“六保”任务，围绕“保优保位”目标，完成市委、市政府部署的重点工作绩效评估目标任务。</w:t>
      </w:r>
    </w:p>
    <w:p>
      <w:pPr>
        <w:spacing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项目二：三支一扶175万。根据年初设定的绩效目标，项目绩效自评得分为95分。项目全年预算数175万，执行数175万，完成预算的100%。项目目绩效目标完成情况：完成了2021届“三支一扶”人员的招聘工作，为高校毕业生提供了就业岗位。</w:t>
      </w:r>
    </w:p>
    <w:p>
      <w:pPr>
        <w:spacing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3.项目三：档案管理、仲裁、劳动监察经费56万。根据年初设定的绩效目标，项目绩效自评得分为96分。项目全年预算数56万，执行数56万，完成预算的100%。项目绩效目标完成情况: 依法开展全县劳动保障监察、仲裁工作，坚持执法为民、促进发展的工作理念，不断调整工作思路和创新工作方法，切实维护劳动者合法权益，不断促进企业健康发展。</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在省市县各级财政部门的共同努力下，2021年度溆浦县人力资源和社会保障局工作基本完成，资金使用符合相关财务规定。通过专项资金的实施，各项工作取得了明显成效。2021年本单位项目资金绩效评价指标分数为92分。</w:t>
      </w:r>
    </w:p>
    <w:p>
      <w:pPr>
        <w:pStyle w:val="10"/>
        <w:jc w:val="center"/>
        <w:rPr>
          <w:sz w:val="72"/>
          <w:szCs w:val="72"/>
        </w:rPr>
      </w:pPr>
    </w:p>
    <w:p>
      <w:pPr>
        <w:pStyle w:val="10"/>
        <w:jc w:val="center"/>
        <w:rPr>
          <w:sz w:val="72"/>
          <w:szCs w:val="72"/>
        </w:rPr>
      </w:pPr>
    </w:p>
    <w:p>
      <w:pPr>
        <w:pStyle w:val="10"/>
        <w:jc w:val="both"/>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（一）财政拨款收入：本年度从本级财政部门取得的财政拨款，包括一般公共预算财政拨款和政府性基金预算财政拨款。</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（二）事业收入：指事业单位开展专业业务活动及辅助活动所取得的收入。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（三）其他收入：指除上述“财政拨款收入”、“事业收入”、“经营收入”等以外的收入。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（五）年初结转和结余：指以前年度尚未完成、结转到本年仍按原规定用途继续使用的资金，或项目已完成等产生的结余资金。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（六）结余分配：指事业单位按照事业单位会计制度的规定从非财政补助结余中分配的事业基金和职工福利基金等。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（七）年末结转和结余：指单位按有关规定结转到下年或以后年度继续使用的资金，或项目已完成等产生的结余资金。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（八）基本支出：填列单位为保障机构正常运转、完成日常工作任务而发生的各项支出。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（九）项目支出：填列单位为完成特定的行政工作任务或事业发展目标，在基本支出之外发生的各项支出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（十三）其他交通费用：填列单位除公务用车运行维护费以外的其他交通费用。如飞机、船舶等的燃料费、维修费、过桥过路费、保险费、出租车费用、公务交通补贴等。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（十四）公务用车购置：填列单位公务用车车辆购置支出（含车辆购置税）。</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（十五）其他交通工具购置：填列单位除公务用车外的其他各类交通工具（如船舶、飞机）购置支出（含车辆购置税）。</w:t>
      </w:r>
    </w:p>
    <w:p>
      <w:pPr>
        <w:pStyle w:val="10"/>
        <w:rPr>
          <w:rFonts w:asciiTheme="minorEastAsia" w:hAnsiTheme="minorEastAsia" w:eastAsiaTheme="minorEastAsia"/>
          <w:sz w:val="32"/>
          <w:szCs w:val="32"/>
        </w:rPr>
      </w:pPr>
      <w:r>
        <w:rPr>
          <w:rFonts w:hint="eastAsia" w:asciiTheme="minorEastAsia" w:hAnsiTheme="minorEastAsia"/>
          <w:sz w:val="32"/>
          <w:szCs w:val="32"/>
        </w:rPr>
        <w:t xml:space="preserve">    </w:t>
      </w:r>
      <w:r>
        <w:rPr>
          <w:rFonts w:hint="eastAsia" w:asciiTheme="minorEastAsia" w:hAnsiTheme="minorEastAsia" w:eastAsiaTheme="minor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520" w:lineRule="exact"/>
        <w:ind w:firstLine="180" w:firstLineChars="5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溆浦县人社局2021年部门整体支出绩效自评报告</w:t>
      </w:r>
    </w:p>
    <w:p>
      <w:pPr>
        <w:spacing w:line="520" w:lineRule="exact"/>
        <w:ind w:firstLine="180" w:firstLineChars="50"/>
        <w:jc w:val="center"/>
        <w:rPr>
          <w:rFonts w:ascii="仿宋_GB2312" w:hAnsi="宋体" w:eastAsia="仿宋_GB2312"/>
          <w:b/>
          <w:sz w:val="36"/>
          <w:szCs w:val="36"/>
        </w:rPr>
      </w:pPr>
    </w:p>
    <w:p>
      <w:pPr>
        <w:spacing w:beforeLines="50" w:afterLines="50" w:line="600" w:lineRule="exact"/>
        <w:ind w:firstLine="600"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一、部门概况</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溆浦县人力资源和社会保障局属财政全额拨款预算单位，内设办公室、工资福利股、规划财务股、养老保险股、工伤保险股等22个行政股室，下属就业中心、社保中心、工保中心等3个副科级全额拨款二级机构，肩负着全县各社保基金征缴、支付及人事综合管理、绩效考核评估、就业创业促进、劳动关系构建、劳动争议处理等工作职责。核定编制64人，实有在职人员56人，其中行政人员26人，事业及工勤人员30人。离退休人员41人。</w:t>
      </w:r>
    </w:p>
    <w:p>
      <w:pPr>
        <w:spacing w:beforeLines="50" w:afterLines="50" w:line="600" w:lineRule="exact"/>
        <w:ind w:firstLine="600"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二、部门整体支出管理及使用情况</w:t>
      </w:r>
    </w:p>
    <w:p>
      <w:pPr>
        <w:spacing w:line="520" w:lineRule="exact"/>
        <w:ind w:firstLine="600" w:firstLineChars="200"/>
        <w:rPr>
          <w:rFonts w:ascii="仿宋_GB2312" w:hAnsi="Times New Roman" w:eastAsia="仿宋_GB2312"/>
          <w:b/>
          <w:sz w:val="30"/>
          <w:szCs w:val="30"/>
        </w:rPr>
      </w:pPr>
      <w:r>
        <w:rPr>
          <w:rFonts w:hint="eastAsia" w:ascii="仿宋_GB2312" w:hAnsi="Times New Roman" w:eastAsia="仿宋_GB2312"/>
          <w:b/>
          <w:sz w:val="30"/>
          <w:szCs w:val="30"/>
        </w:rPr>
        <w:t>（一）基本支出。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2021年基本支出总计1094.8万元，其中工资福利支出695.51万元，一般商品和服务支出300.53万元，对个人和家庭的补助支出92.87万元，其他支出5.89万元。</w:t>
      </w:r>
    </w:p>
    <w:p>
      <w:pPr>
        <w:spacing w:line="520" w:lineRule="exact"/>
        <w:ind w:firstLine="600" w:firstLineChars="200"/>
        <w:rPr>
          <w:rFonts w:ascii="仿宋_GB2312" w:hAnsi="Times New Roman" w:eastAsia="仿宋_GB2312"/>
          <w:b/>
          <w:sz w:val="30"/>
          <w:szCs w:val="30"/>
        </w:rPr>
      </w:pPr>
      <w:r>
        <w:rPr>
          <w:rFonts w:hint="eastAsia" w:ascii="仿宋_GB2312" w:hAnsi="Times New Roman" w:eastAsia="仿宋_GB2312"/>
          <w:b/>
          <w:sz w:val="30"/>
          <w:szCs w:val="30"/>
        </w:rPr>
        <w:t>（二）专项支出。</w:t>
      </w:r>
    </w:p>
    <w:p>
      <w:pPr>
        <w:pStyle w:val="5"/>
        <w:snapToGrid w:val="0"/>
        <w:spacing w:before="0" w:beforeAutospacing="0" w:after="0" w:afterAutospacing="0" w:line="520" w:lineRule="exact"/>
        <w:ind w:firstLine="600" w:firstLineChars="200"/>
        <w:jc w:val="both"/>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2021年各专项支出总计171.29万元，其中工资福利支出137.83万元，一般商品和服务支出6.19万元,对个人家庭补助支出7.59万元，其他支出19.68万元。</w:t>
      </w:r>
    </w:p>
    <w:p>
      <w:pPr>
        <w:spacing w:line="520" w:lineRule="exact"/>
        <w:ind w:firstLine="600" w:firstLineChars="200"/>
        <w:rPr>
          <w:rFonts w:ascii="仿宋_GB2312" w:hAnsi="Times New Roman" w:eastAsia="仿宋_GB2312"/>
          <w:b/>
          <w:sz w:val="30"/>
          <w:szCs w:val="30"/>
        </w:rPr>
      </w:pPr>
      <w:r>
        <w:rPr>
          <w:rFonts w:hint="eastAsia" w:ascii="仿宋_GB2312" w:hAnsi="Times New Roman" w:eastAsia="仿宋_GB2312"/>
          <w:b/>
          <w:sz w:val="30"/>
          <w:szCs w:val="30"/>
        </w:rPr>
        <w:t>（三）三公经费支出。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2021年“三公”经费支出3.76万元，其中公务接待费3.76万元。本着厉行节约的原则，降低接待标准，来人一律见公函接待，把公务接待的支出严格控制在县厉行节约办下达的指标范围内。</w:t>
      </w:r>
    </w:p>
    <w:p>
      <w:pPr>
        <w:spacing w:beforeLines="50" w:afterLines="50" w:line="600" w:lineRule="exact"/>
        <w:ind w:firstLine="600"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三、资产管理情况</w:t>
      </w:r>
    </w:p>
    <w:p>
      <w:pPr>
        <w:spacing w:line="520" w:lineRule="exact"/>
        <w:ind w:firstLine="645"/>
        <w:rPr>
          <w:rFonts w:ascii="仿宋_GB2312" w:eastAsia="仿宋_GB2312"/>
          <w:sz w:val="30"/>
          <w:szCs w:val="30"/>
        </w:rPr>
      </w:pPr>
      <w:r>
        <w:rPr>
          <w:rFonts w:hint="eastAsia" w:ascii="仿宋_GB2312" w:eastAsia="仿宋_GB2312"/>
          <w:sz w:val="30"/>
          <w:szCs w:val="30"/>
        </w:rPr>
        <w:t>2021年12月31日，我单位固定资产总值为627.69万元，其中：房屋及建筑物总值505.65万元，通用设备总值为98.41万元，专用设备总值为3.08万元，家具、用具总值为20.55万元。</w:t>
      </w:r>
    </w:p>
    <w:p>
      <w:pPr>
        <w:spacing w:beforeLines="50" w:afterLines="50" w:line="600" w:lineRule="exact"/>
        <w:ind w:firstLine="600"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四、部门整体支出绩效情况</w:t>
      </w:r>
    </w:p>
    <w:p>
      <w:pPr>
        <w:spacing w:line="520" w:lineRule="exact"/>
        <w:ind w:firstLine="645"/>
        <w:rPr>
          <w:rFonts w:ascii="仿宋_GB2312" w:eastAsia="仿宋_GB2312"/>
          <w:sz w:val="30"/>
          <w:szCs w:val="30"/>
        </w:rPr>
      </w:pPr>
      <w:r>
        <w:rPr>
          <w:rFonts w:hint="eastAsia" w:ascii="仿宋_GB2312" w:eastAsia="仿宋_GB2312"/>
          <w:sz w:val="30"/>
          <w:szCs w:val="30"/>
        </w:rPr>
        <w:t>我局对部门整体支出的预算执行高度重视。大力提倡勤俭节约，坚持把有限的经费用在人力资源工作和重点项目建设上，同时严格执行财务制度，坚持先有预算、后有支出，坚持“三公”经费公开制度。这些措施，较好地保证了财务开支和资金使用的合法合规、安全有效。</w:t>
      </w:r>
    </w:p>
    <w:p>
      <w:pPr>
        <w:spacing w:line="520" w:lineRule="exact"/>
        <w:ind w:firstLine="600" w:firstLineChars="200"/>
        <w:rPr>
          <w:rFonts w:ascii="仿宋_GB2312" w:eastAsia="仿宋_GB2312"/>
          <w:b/>
          <w:bCs/>
          <w:sz w:val="30"/>
          <w:szCs w:val="30"/>
        </w:rPr>
      </w:pPr>
      <w:r>
        <w:rPr>
          <w:rFonts w:hint="eastAsia" w:ascii="仿宋_GB2312" w:eastAsia="仿宋_GB2312"/>
          <w:b/>
          <w:bCs/>
          <w:sz w:val="30"/>
          <w:szCs w:val="30"/>
        </w:rPr>
        <w:t>(一)经济性分析</w:t>
      </w:r>
    </w:p>
    <w:p>
      <w:pPr>
        <w:spacing w:line="520" w:lineRule="exact"/>
        <w:ind w:firstLine="645"/>
        <w:rPr>
          <w:rFonts w:ascii="仿宋_GB2312" w:eastAsia="仿宋_GB2312"/>
          <w:sz w:val="30"/>
          <w:szCs w:val="30"/>
        </w:rPr>
      </w:pPr>
      <w:r>
        <w:rPr>
          <w:rFonts w:hint="eastAsia" w:ascii="仿宋_GB2312" w:eastAsia="仿宋_GB2312"/>
          <w:sz w:val="30"/>
          <w:szCs w:val="30"/>
        </w:rPr>
        <w:t>2021年预算支出总计1321.27万元，年度实际支出1266.09万元，实际支出为预算支出的95.82%。</w:t>
      </w:r>
    </w:p>
    <w:p>
      <w:pPr>
        <w:spacing w:line="520" w:lineRule="exact"/>
        <w:ind w:firstLine="600" w:firstLineChars="200"/>
        <w:rPr>
          <w:rFonts w:ascii="仿宋_GB2312" w:eastAsia="仿宋_GB2312"/>
          <w:b/>
          <w:bCs/>
          <w:sz w:val="30"/>
          <w:szCs w:val="30"/>
        </w:rPr>
      </w:pPr>
      <w:r>
        <w:rPr>
          <w:rFonts w:hint="eastAsia" w:ascii="仿宋_GB2312" w:eastAsia="仿宋_GB2312"/>
          <w:b/>
          <w:bCs/>
          <w:sz w:val="30"/>
          <w:szCs w:val="30"/>
        </w:rPr>
        <w:t>(二)效率性分析</w:t>
      </w:r>
    </w:p>
    <w:p>
      <w:pPr>
        <w:spacing w:line="520" w:lineRule="exact"/>
        <w:ind w:firstLine="645"/>
        <w:rPr>
          <w:rFonts w:ascii="仿宋_GB2312" w:eastAsia="仿宋_GB2312"/>
          <w:sz w:val="30"/>
          <w:szCs w:val="30"/>
        </w:rPr>
      </w:pPr>
      <w:r>
        <w:rPr>
          <w:rFonts w:hint="eastAsia" w:ascii="仿宋_GB2312" w:eastAsia="仿宋_GB2312"/>
          <w:sz w:val="30"/>
          <w:szCs w:val="30"/>
        </w:rPr>
        <w:t>2021年部门整体支出绩效情况较好，各部门均按年初设定的目标任务积极完成各项工作。一是完成了上级下达各项社保基金的征缴任务；二是完成了2021届“三支一扶”人员的招聘工作，为高校毕业生提供了就业岗位；三是扎实做好“六稳”工作，全面落实“六保”任务，围绕“保优保位”目标，完成市委、市政府部署的重点工作绩效评估目标任务；四是依法开展全县劳动保障监察、仲裁工作，坚持执法为民、促进发展的工作理念，不断调整工作思路和创新工作方法，切实维护劳动者合法权益，不断促进企业健康发展。</w:t>
      </w:r>
    </w:p>
    <w:p>
      <w:pPr>
        <w:spacing w:line="520" w:lineRule="exact"/>
        <w:ind w:firstLine="645"/>
        <w:rPr>
          <w:rFonts w:ascii="仿宋_GB2312" w:eastAsia="仿宋_GB2312"/>
          <w:sz w:val="30"/>
          <w:szCs w:val="30"/>
        </w:rPr>
      </w:pPr>
      <w:r>
        <w:rPr>
          <w:rFonts w:hint="eastAsia" w:ascii="仿宋_GB2312" w:eastAsia="仿宋_GB2312"/>
          <w:sz w:val="30"/>
          <w:szCs w:val="30"/>
        </w:rPr>
        <w:t>(三)可持续性分析</w:t>
      </w:r>
    </w:p>
    <w:p>
      <w:pPr>
        <w:spacing w:line="520" w:lineRule="exact"/>
        <w:ind w:firstLine="645"/>
        <w:rPr>
          <w:rFonts w:ascii="仿宋_GB2312" w:eastAsia="仿宋_GB2312"/>
          <w:sz w:val="30"/>
          <w:szCs w:val="30"/>
        </w:rPr>
      </w:pPr>
      <w:r>
        <w:rPr>
          <w:rFonts w:hint="eastAsia" w:ascii="仿宋_GB2312" w:eastAsia="仿宋_GB2312"/>
          <w:sz w:val="30"/>
          <w:szCs w:val="30"/>
        </w:rPr>
        <w:t>坚持把有限的经费用在刀刃上，进一步完善财务管理制度，坚持财务开支公开透明，较好的保证了人力资源和社会保障事业的可持续性发展。</w:t>
      </w:r>
    </w:p>
    <w:p>
      <w:pPr>
        <w:spacing w:beforeLines="50" w:afterLines="50" w:line="600" w:lineRule="exact"/>
        <w:ind w:firstLine="600"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五、存在的主要问题</w:t>
      </w:r>
    </w:p>
    <w:p>
      <w:pPr>
        <w:spacing w:line="520" w:lineRule="exact"/>
        <w:ind w:firstLine="645"/>
        <w:rPr>
          <w:rFonts w:ascii="仿宋_GB2312" w:eastAsia="仿宋_GB2312"/>
          <w:sz w:val="30"/>
          <w:szCs w:val="30"/>
        </w:rPr>
      </w:pPr>
      <w:r>
        <w:rPr>
          <w:rFonts w:hint="eastAsia" w:ascii="仿宋_GB2312" w:eastAsia="仿宋_GB2312"/>
          <w:sz w:val="30"/>
          <w:szCs w:val="30"/>
        </w:rPr>
        <w:t>由于行政经费少，年初编制的预算不够精确，编制范围不太全面，预算执行情况还有待进一步加强。</w:t>
      </w:r>
    </w:p>
    <w:p>
      <w:pPr>
        <w:spacing w:beforeLines="50" w:afterLines="50" w:line="600" w:lineRule="exact"/>
        <w:ind w:firstLine="600"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六、改进措施和有关建议</w:t>
      </w:r>
    </w:p>
    <w:p>
      <w:pPr>
        <w:spacing w:line="520" w:lineRule="exact"/>
        <w:ind w:firstLine="645"/>
        <w:rPr>
          <w:rFonts w:ascii="仿宋_GB2312" w:eastAsia="仿宋_GB2312"/>
          <w:sz w:val="30"/>
          <w:szCs w:val="30"/>
        </w:rPr>
      </w:pPr>
      <w:r>
        <w:rPr>
          <w:rFonts w:hint="eastAsia" w:ascii="仿宋_GB2312" w:eastAsia="仿宋_GB2312"/>
          <w:sz w:val="30"/>
          <w:szCs w:val="30"/>
        </w:rPr>
        <w:t>（一）加强政策学习，提高思想认识。认真学习《预算法》等相关法规、制度，提高单位领导对全面预算管理的重视程度，增强财务人员的预算意识，坚持先有预算、后有支出，没有预算不得支出。</w:t>
      </w:r>
    </w:p>
    <w:p>
      <w:pPr>
        <w:spacing w:line="520" w:lineRule="exact"/>
        <w:ind w:firstLine="645"/>
        <w:rPr>
          <w:rFonts w:ascii="仿宋_GB2312" w:eastAsia="仿宋_GB2312"/>
          <w:sz w:val="30"/>
          <w:szCs w:val="30"/>
        </w:rPr>
      </w:pPr>
      <w:r>
        <w:rPr>
          <w:rFonts w:hint="eastAsia" w:ascii="仿宋_GB2312" w:eastAsia="仿宋_GB2312"/>
          <w:sz w:val="30"/>
          <w:szCs w:val="30"/>
        </w:rPr>
        <w:t>（二）细化预算指标，提高预算科学性。预算编制前根据年度内单位可预见的工作任务，确定单位年度预算目标，细化预算指标，科学合理编制部门预算，推进预算编制科学化、准确化。</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MmQ0MTc5MDQ5ZDk2NjU3YjUxOTg0MGZhM2M3ZGQifQ=="/>
  </w:docVars>
  <w:rsids>
    <w:rsidRoot w:val="004506F9"/>
    <w:rsid w:val="00012E5A"/>
    <w:rsid w:val="0002229B"/>
    <w:rsid w:val="000244C1"/>
    <w:rsid w:val="000273BD"/>
    <w:rsid w:val="0003588B"/>
    <w:rsid w:val="000415B7"/>
    <w:rsid w:val="00041E3F"/>
    <w:rsid w:val="00055DAA"/>
    <w:rsid w:val="00061F7B"/>
    <w:rsid w:val="000658A3"/>
    <w:rsid w:val="00074155"/>
    <w:rsid w:val="000873EF"/>
    <w:rsid w:val="000A228A"/>
    <w:rsid w:val="000A26DA"/>
    <w:rsid w:val="000A3F69"/>
    <w:rsid w:val="000B3F34"/>
    <w:rsid w:val="00103957"/>
    <w:rsid w:val="00124A1F"/>
    <w:rsid w:val="001301F8"/>
    <w:rsid w:val="00141F21"/>
    <w:rsid w:val="00152C6D"/>
    <w:rsid w:val="00162D39"/>
    <w:rsid w:val="001678BD"/>
    <w:rsid w:val="00167E50"/>
    <w:rsid w:val="00176CE9"/>
    <w:rsid w:val="00182373"/>
    <w:rsid w:val="001A15C1"/>
    <w:rsid w:val="001A67DB"/>
    <w:rsid w:val="001C1A0C"/>
    <w:rsid w:val="001C3C29"/>
    <w:rsid w:val="001D51E5"/>
    <w:rsid w:val="001E080D"/>
    <w:rsid w:val="001E53D0"/>
    <w:rsid w:val="001F0C3B"/>
    <w:rsid w:val="00202C14"/>
    <w:rsid w:val="00202C82"/>
    <w:rsid w:val="00204E5C"/>
    <w:rsid w:val="002067C7"/>
    <w:rsid w:val="00214427"/>
    <w:rsid w:val="00226CB7"/>
    <w:rsid w:val="00264552"/>
    <w:rsid w:val="00264EF9"/>
    <w:rsid w:val="00265724"/>
    <w:rsid w:val="0027426B"/>
    <w:rsid w:val="00286E9A"/>
    <w:rsid w:val="002A40FF"/>
    <w:rsid w:val="002E0A30"/>
    <w:rsid w:val="003130C4"/>
    <w:rsid w:val="00316C4B"/>
    <w:rsid w:val="0032192B"/>
    <w:rsid w:val="003479BD"/>
    <w:rsid w:val="0035599E"/>
    <w:rsid w:val="003641CB"/>
    <w:rsid w:val="0037197D"/>
    <w:rsid w:val="003768D5"/>
    <w:rsid w:val="003917E4"/>
    <w:rsid w:val="003B2D35"/>
    <w:rsid w:val="003C4197"/>
    <w:rsid w:val="003C47E6"/>
    <w:rsid w:val="003C4FC2"/>
    <w:rsid w:val="003D0DD3"/>
    <w:rsid w:val="003E2331"/>
    <w:rsid w:val="0041340E"/>
    <w:rsid w:val="00416E61"/>
    <w:rsid w:val="0042790C"/>
    <w:rsid w:val="004506F9"/>
    <w:rsid w:val="00462680"/>
    <w:rsid w:val="004717A2"/>
    <w:rsid w:val="00471DE6"/>
    <w:rsid w:val="00473DF3"/>
    <w:rsid w:val="00477187"/>
    <w:rsid w:val="00485441"/>
    <w:rsid w:val="00487911"/>
    <w:rsid w:val="00491741"/>
    <w:rsid w:val="004A518C"/>
    <w:rsid w:val="004B0CEE"/>
    <w:rsid w:val="004E5A15"/>
    <w:rsid w:val="004F2482"/>
    <w:rsid w:val="00500E5F"/>
    <w:rsid w:val="005122EF"/>
    <w:rsid w:val="0051441A"/>
    <w:rsid w:val="00517C33"/>
    <w:rsid w:val="00517D5F"/>
    <w:rsid w:val="00521AF2"/>
    <w:rsid w:val="00523644"/>
    <w:rsid w:val="00537DB7"/>
    <w:rsid w:val="0054069E"/>
    <w:rsid w:val="00544866"/>
    <w:rsid w:val="00570EC1"/>
    <w:rsid w:val="00572984"/>
    <w:rsid w:val="005767CC"/>
    <w:rsid w:val="00590D9F"/>
    <w:rsid w:val="00595D26"/>
    <w:rsid w:val="005A74E6"/>
    <w:rsid w:val="005A7F6C"/>
    <w:rsid w:val="005B390C"/>
    <w:rsid w:val="005B404E"/>
    <w:rsid w:val="005D4D55"/>
    <w:rsid w:val="005E2CFB"/>
    <w:rsid w:val="005F2103"/>
    <w:rsid w:val="005F3D1C"/>
    <w:rsid w:val="005F51D2"/>
    <w:rsid w:val="005F5AB9"/>
    <w:rsid w:val="0060537A"/>
    <w:rsid w:val="00622034"/>
    <w:rsid w:val="0062378F"/>
    <w:rsid w:val="006250EA"/>
    <w:rsid w:val="006313B9"/>
    <w:rsid w:val="00641842"/>
    <w:rsid w:val="00646A6B"/>
    <w:rsid w:val="00651EEC"/>
    <w:rsid w:val="006668E8"/>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439A3"/>
    <w:rsid w:val="00763442"/>
    <w:rsid w:val="00787B42"/>
    <w:rsid w:val="007B147B"/>
    <w:rsid w:val="007C271B"/>
    <w:rsid w:val="007C4539"/>
    <w:rsid w:val="007D771D"/>
    <w:rsid w:val="007F3657"/>
    <w:rsid w:val="00812ED5"/>
    <w:rsid w:val="008277D9"/>
    <w:rsid w:val="008329AF"/>
    <w:rsid w:val="0084478C"/>
    <w:rsid w:val="008477E1"/>
    <w:rsid w:val="00863A02"/>
    <w:rsid w:val="0086638C"/>
    <w:rsid w:val="00873E86"/>
    <w:rsid w:val="008A3E8D"/>
    <w:rsid w:val="008E0637"/>
    <w:rsid w:val="008E53A4"/>
    <w:rsid w:val="008F0BAB"/>
    <w:rsid w:val="00904CF3"/>
    <w:rsid w:val="00905361"/>
    <w:rsid w:val="009237C4"/>
    <w:rsid w:val="00933B1B"/>
    <w:rsid w:val="00944C48"/>
    <w:rsid w:val="00950252"/>
    <w:rsid w:val="00967F5D"/>
    <w:rsid w:val="00973F86"/>
    <w:rsid w:val="00983E84"/>
    <w:rsid w:val="009909A7"/>
    <w:rsid w:val="009A0F95"/>
    <w:rsid w:val="009B3ADF"/>
    <w:rsid w:val="009C3B52"/>
    <w:rsid w:val="009C6CAF"/>
    <w:rsid w:val="009D2EC1"/>
    <w:rsid w:val="009E6817"/>
    <w:rsid w:val="009E6E9A"/>
    <w:rsid w:val="009F366B"/>
    <w:rsid w:val="00A01D2B"/>
    <w:rsid w:val="00A37AAA"/>
    <w:rsid w:val="00A409C0"/>
    <w:rsid w:val="00A411F4"/>
    <w:rsid w:val="00A42218"/>
    <w:rsid w:val="00A54BF9"/>
    <w:rsid w:val="00A7009C"/>
    <w:rsid w:val="00A70249"/>
    <w:rsid w:val="00A70B02"/>
    <w:rsid w:val="00A71D9F"/>
    <w:rsid w:val="00A92E9F"/>
    <w:rsid w:val="00A97A6D"/>
    <w:rsid w:val="00B33BEA"/>
    <w:rsid w:val="00B370F6"/>
    <w:rsid w:val="00B4019D"/>
    <w:rsid w:val="00B57C9F"/>
    <w:rsid w:val="00B63572"/>
    <w:rsid w:val="00B63969"/>
    <w:rsid w:val="00B65E16"/>
    <w:rsid w:val="00B801FA"/>
    <w:rsid w:val="00B845B3"/>
    <w:rsid w:val="00B85D8B"/>
    <w:rsid w:val="00BA017B"/>
    <w:rsid w:val="00BB4A40"/>
    <w:rsid w:val="00BD6C3E"/>
    <w:rsid w:val="00BE3674"/>
    <w:rsid w:val="00BF3F0C"/>
    <w:rsid w:val="00C06720"/>
    <w:rsid w:val="00C10681"/>
    <w:rsid w:val="00C236B0"/>
    <w:rsid w:val="00C3049A"/>
    <w:rsid w:val="00C31B1E"/>
    <w:rsid w:val="00C77645"/>
    <w:rsid w:val="00CA372E"/>
    <w:rsid w:val="00CC0DEB"/>
    <w:rsid w:val="00CD73B7"/>
    <w:rsid w:val="00CE04C3"/>
    <w:rsid w:val="00CE76A0"/>
    <w:rsid w:val="00CF4445"/>
    <w:rsid w:val="00D148C6"/>
    <w:rsid w:val="00D17A8A"/>
    <w:rsid w:val="00D415BA"/>
    <w:rsid w:val="00D44871"/>
    <w:rsid w:val="00D63780"/>
    <w:rsid w:val="00D644EE"/>
    <w:rsid w:val="00D75489"/>
    <w:rsid w:val="00D95CED"/>
    <w:rsid w:val="00DD06FF"/>
    <w:rsid w:val="00DD5FE9"/>
    <w:rsid w:val="00DD6786"/>
    <w:rsid w:val="00E00C7A"/>
    <w:rsid w:val="00E209CF"/>
    <w:rsid w:val="00E37D6C"/>
    <w:rsid w:val="00E4155B"/>
    <w:rsid w:val="00E507C7"/>
    <w:rsid w:val="00E55B68"/>
    <w:rsid w:val="00E67BE6"/>
    <w:rsid w:val="00E7342D"/>
    <w:rsid w:val="00E83C60"/>
    <w:rsid w:val="00E8683C"/>
    <w:rsid w:val="00E943FF"/>
    <w:rsid w:val="00EA2B72"/>
    <w:rsid w:val="00EC29DD"/>
    <w:rsid w:val="00EE450B"/>
    <w:rsid w:val="00F00D8C"/>
    <w:rsid w:val="00F41EC4"/>
    <w:rsid w:val="00F47C3E"/>
    <w:rsid w:val="00F5576E"/>
    <w:rsid w:val="00F74360"/>
    <w:rsid w:val="00F75A87"/>
    <w:rsid w:val="00F8091A"/>
    <w:rsid w:val="00F8096C"/>
    <w:rsid w:val="00FB462F"/>
    <w:rsid w:val="00FC102B"/>
    <w:rsid w:val="00FC4C51"/>
    <w:rsid w:val="00FE16FA"/>
    <w:rsid w:val="00FE328A"/>
    <w:rsid w:val="00FE6269"/>
    <w:rsid w:val="00FF14D2"/>
    <w:rsid w:val="00FF5CD6"/>
    <w:rsid w:val="5E5524F1"/>
    <w:rsid w:val="79183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5639-961F-4D63-BEA7-E313208C5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10590</Words>
  <Characters>13421</Characters>
  <Lines>120</Lines>
  <Paragraphs>34</Paragraphs>
  <TotalTime>24</TotalTime>
  <ScaleCrop>false</ScaleCrop>
  <LinksUpToDate>false</LinksUpToDate>
  <CharactersWithSpaces>14894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2022-08-30T08:15:00Z</cp:lastPrinted>
  <dcterms:modified xsi:type="dcterms:W3CDTF">2022-09-14T00:40:47Z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F32FA4D368224B47B5A9300BCA5CA46E</vt:lpwstr>
  </property>
</Properties>
</file>