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5"/>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溆浦县雅堂芙蓉学校</w:t>
      </w:r>
    </w:p>
    <w:p w14:paraId="0068918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3610ED3B">
      <w:pPr>
        <w:pStyle w:val="15"/>
        <w:spacing w:line="540" w:lineRule="exact"/>
        <w:jc w:val="both"/>
        <w:rPr>
          <w:rFonts w:ascii="Times New Roman" w:hAnsi="Times New Roman" w:cs="Times New Roman"/>
          <w:sz w:val="56"/>
          <w:szCs w:val="56"/>
        </w:rPr>
      </w:pPr>
    </w:p>
    <w:p w14:paraId="233A969C">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溆浦县雅堂芙蓉学校</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BF0E8C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55C1DB04">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bookmarkStart w:id="3" w:name="_GoBack"/>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溆浦县雅堂芙蓉学校</w:t>
      </w:r>
      <w:r>
        <w:rPr>
          <w:rFonts w:hint="eastAsia" w:asciiTheme="minorEastAsia" w:hAnsiTheme="minorEastAsia" w:eastAsiaTheme="minorEastAsia" w:cstheme="minorEastAsia"/>
          <w:b/>
          <w:bCs/>
          <w:sz w:val="52"/>
          <w:szCs w:val="52"/>
        </w:rPr>
        <w:t>概况</w:t>
      </w:r>
    </w:p>
    <w:bookmarkEnd w:id="3"/>
    <w:p w14:paraId="5CAFD218">
      <w:pPr>
        <w:pStyle w:val="4"/>
        <w:ind w:left="0" w:leftChars="0" w:firstLine="0" w:firstLineChars="0"/>
        <w:rPr>
          <w:rFonts w:ascii="Times New Roman" w:hAnsi="Times New Roman" w:cs="Times New Roman"/>
        </w:rPr>
      </w:pPr>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w:t>
      </w:r>
      <w:r>
        <w:rPr>
          <w:rFonts w:hint="eastAsia" w:ascii="Times New Roman" w:hAnsi="Times New Roman" w:eastAsia="仿宋_GB2312" w:cs="Times New Roman"/>
          <w:bCs/>
          <w:kern w:val="0"/>
          <w:sz w:val="32"/>
          <w:szCs w:val="32"/>
          <w:lang w:val="en-US" w:eastAsia="zh-CN"/>
        </w:rPr>
        <w:t>德育处、</w:t>
      </w:r>
      <w:r>
        <w:rPr>
          <w:rFonts w:hint="eastAsia" w:ascii="Times New Roman" w:hAnsi="Times New Roman" w:eastAsia="仿宋_GB2312" w:cs="Times New Roman"/>
          <w:bCs/>
          <w:kern w:val="0"/>
          <w:sz w:val="32"/>
          <w:szCs w:val="32"/>
        </w:rPr>
        <w:t>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溆浦县雅堂芙蓉学校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溆浦县雅堂芙蓉学校</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1D60F9FB">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溆浦县雅堂芙蓉学校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1956.15</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300.09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ascii="Times New Roman" w:hAnsi="Times New Roman" w:eastAsia="仿宋_GB2312" w:cs="Times New Roman"/>
                <w:color w:val="000000"/>
                <w:sz w:val="22"/>
              </w:rPr>
            </w:pP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1956.15</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1956.15</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1096"/>
        <w:gridCol w:w="1410"/>
        <w:gridCol w:w="1380"/>
        <w:gridCol w:w="1200"/>
        <w:gridCol w:w="1170"/>
        <w:gridCol w:w="1490"/>
        <w:gridCol w:w="1465"/>
        <w:gridCol w:w="1800"/>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071" w:type="dxa"/>
            <w:gridSpan w:val="11"/>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Times New Roman" w:hAnsi="Times New Roman" w:eastAsia="仿宋_GB2312" w:cs="Times New Roman"/>
                <w:color w:val="000000"/>
                <w:kern w:val="0"/>
                <w:sz w:val="20"/>
                <w:szCs w:val="20"/>
                <w:lang w:val="en-US" w:eastAsia="zh-CN"/>
              </w:rPr>
              <w:t>溆浦县雅堂芙蓉学校</w:t>
            </w:r>
          </w:p>
        </w:tc>
        <w:tc>
          <w:tcPr>
            <w:tcW w:w="0" w:type="auto"/>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300.09</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300.09</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300.09</w:t>
            </w: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300.09</w:t>
            </w: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高中教育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01C6EC6">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0A330397">
      <w:pPr>
        <w:widowControl/>
        <w:spacing w:afterLines="50"/>
        <w:jc w:val="center"/>
        <w:textAlignment w:val="center"/>
        <w:rPr>
          <w:rFonts w:ascii="Times New Roman" w:hAnsi="Times New Roman" w:eastAsia="黑体" w:cs="Times New Roman"/>
          <w:color w:val="000000"/>
          <w:kern w:val="0"/>
          <w:sz w:val="36"/>
          <w:szCs w:val="36"/>
        </w:rPr>
      </w:pPr>
    </w:p>
    <w:p w14:paraId="037E9D02">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0"/>
        <w:gridCol w:w="274"/>
        <w:gridCol w:w="274"/>
        <w:gridCol w:w="1353"/>
        <w:gridCol w:w="1658"/>
        <w:gridCol w:w="1612"/>
        <w:gridCol w:w="1548"/>
        <w:gridCol w:w="881"/>
        <w:gridCol w:w="881"/>
        <w:gridCol w:w="2209"/>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20" w:type="dxa"/>
            <w:gridSpan w:val="10"/>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Times New Roman" w:hAnsi="Times New Roman" w:eastAsia="仿宋_GB2312" w:cs="Times New Roman"/>
                <w:color w:val="000000"/>
                <w:kern w:val="0"/>
                <w:sz w:val="20"/>
                <w:szCs w:val="20"/>
                <w:lang w:val="en-US" w:eastAsia="zh-CN"/>
              </w:rPr>
              <w:t>溆浦县雅堂芙蓉学校</w:t>
            </w:r>
          </w:p>
        </w:tc>
        <w:tc>
          <w:tcPr>
            <w:tcW w:w="0" w:type="auto"/>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1617.6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1617.6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338.56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1956.15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1617.6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338.56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1183.84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高中教育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r>
      <w:tr w14:paraId="09EC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7D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A5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F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651">
            <w:pPr>
              <w:jc w:val="right"/>
              <w:rPr>
                <w:rFonts w:hint="eastAsia" w:ascii="宋体" w:hAnsi="宋体" w:eastAsia="宋体" w:cs="宋体"/>
                <w:i w:val="0"/>
                <w:iCs w:val="0"/>
                <w:color w:val="000000"/>
                <w:sz w:val="22"/>
                <w:szCs w:val="22"/>
                <w:u w:val="none"/>
              </w:rPr>
            </w:pPr>
          </w:p>
        </w:tc>
      </w:tr>
      <w:tr w14:paraId="3737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1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2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E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B8BF">
            <w:pPr>
              <w:jc w:val="right"/>
              <w:rPr>
                <w:rFonts w:hint="eastAsia" w:ascii="宋体" w:hAnsi="宋体" w:eastAsia="宋体" w:cs="宋体"/>
                <w:i w:val="0"/>
                <w:iCs w:val="0"/>
                <w:color w:val="000000"/>
                <w:sz w:val="22"/>
                <w:szCs w:val="22"/>
                <w:u w:val="none"/>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3A29E8C">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77311037">
      <w:pPr>
        <w:widowControl/>
        <w:spacing w:afterLines="50"/>
        <w:jc w:val="center"/>
        <w:textAlignment w:val="center"/>
        <w:rPr>
          <w:rFonts w:ascii="Times New Roman" w:hAnsi="Times New Roman" w:eastAsia="黑体" w:cs="Times New Roman"/>
          <w:color w:val="000000"/>
          <w:kern w:val="0"/>
          <w:sz w:val="36"/>
          <w:szCs w:val="36"/>
        </w:rPr>
      </w:pPr>
    </w:p>
    <w:p w14:paraId="0B492188">
      <w:pPr>
        <w:widowControl/>
        <w:spacing w:afterLines="50"/>
        <w:jc w:val="both"/>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rPr>
        <w:t>溆浦县雅堂芙蓉学校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000000" w:fill="auto"/>
            <w:noWrap/>
            <w:vAlign w:val="center"/>
          </w:tcPr>
          <w:p w14:paraId="19C47FA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000000"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000000"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000000" w:fill="auto"/>
            <w:noWrap/>
            <w:vAlign w:val="center"/>
          </w:tcPr>
          <w:p w14:paraId="0B5CA2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000000"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000000"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000000"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000000"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000000"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000000"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000000"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000000"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000000"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000000"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000000"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1500" w:type="dxa"/>
            <w:tcBorders>
              <w:top w:val="nil"/>
              <w:left w:val="nil"/>
              <w:bottom w:val="single" w:color="auto" w:sz="4" w:space="0"/>
              <w:right w:val="single" w:color="auto" w:sz="4" w:space="0"/>
            </w:tcBorders>
            <w:shd w:val="clear" w:color="000000"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1669" w:type="dxa"/>
            <w:tcBorders>
              <w:top w:val="nil"/>
              <w:left w:val="nil"/>
              <w:bottom w:val="single" w:color="auto" w:sz="4" w:space="0"/>
              <w:right w:val="single" w:color="auto" w:sz="4" w:space="0"/>
            </w:tcBorders>
            <w:shd w:val="clear" w:color="000000"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000000"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000000"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000000"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000000"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000000"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000000"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000000"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000000"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000000"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000000" w:fill="auto"/>
            <w:noWrap/>
            <w:vAlign w:val="center"/>
          </w:tcPr>
          <w:p w14:paraId="1EDA9D9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3225" w:type="dxa"/>
            <w:tcBorders>
              <w:top w:val="nil"/>
              <w:left w:val="nil"/>
              <w:bottom w:val="single" w:color="auto" w:sz="4" w:space="0"/>
              <w:right w:val="single" w:color="auto" w:sz="4" w:space="0"/>
            </w:tcBorders>
            <w:shd w:val="clear" w:color="000000"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000000"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000000" w:fill="auto"/>
            <w:noWrap/>
            <w:vAlign w:val="center"/>
          </w:tcPr>
          <w:p w14:paraId="0DA9766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1500" w:type="dxa"/>
            <w:tcBorders>
              <w:top w:val="nil"/>
              <w:left w:val="nil"/>
              <w:bottom w:val="single" w:color="auto" w:sz="4" w:space="0"/>
              <w:right w:val="single" w:color="auto" w:sz="4" w:space="0"/>
            </w:tcBorders>
            <w:shd w:val="clear" w:color="000000" w:fill="auto"/>
            <w:noWrap/>
            <w:vAlign w:val="center"/>
          </w:tcPr>
          <w:p w14:paraId="5CBF22B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1669" w:type="dxa"/>
            <w:tcBorders>
              <w:top w:val="nil"/>
              <w:left w:val="nil"/>
              <w:bottom w:val="single" w:color="auto" w:sz="4" w:space="0"/>
              <w:right w:val="single" w:color="auto" w:sz="4" w:space="0"/>
            </w:tcBorders>
            <w:shd w:val="clear" w:color="000000"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000000"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000000"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000000"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000000"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000000"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000000"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000000"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000000"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000000"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000000" w:fill="auto"/>
            <w:noWrap/>
            <w:vAlign w:val="center"/>
          </w:tcPr>
          <w:p w14:paraId="45F20E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3225" w:type="dxa"/>
            <w:tcBorders>
              <w:top w:val="nil"/>
              <w:left w:val="nil"/>
              <w:bottom w:val="single" w:color="auto" w:sz="4" w:space="0"/>
              <w:right w:val="single" w:color="auto" w:sz="4" w:space="0"/>
            </w:tcBorders>
            <w:shd w:val="clear" w:color="000000"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000000"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000000" w:fill="auto"/>
            <w:noWrap/>
            <w:vAlign w:val="center"/>
          </w:tcPr>
          <w:p w14:paraId="3E935E0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1500" w:type="dxa"/>
            <w:tcBorders>
              <w:top w:val="nil"/>
              <w:left w:val="nil"/>
              <w:bottom w:val="single" w:color="auto" w:sz="4" w:space="0"/>
              <w:right w:val="single" w:color="auto" w:sz="4" w:space="0"/>
            </w:tcBorders>
            <w:shd w:val="clear" w:color="000000" w:fill="auto"/>
            <w:noWrap/>
            <w:vAlign w:val="center"/>
          </w:tcPr>
          <w:p w14:paraId="404385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1656.07</w:t>
            </w:r>
          </w:p>
        </w:tc>
        <w:tc>
          <w:tcPr>
            <w:tcW w:w="1669" w:type="dxa"/>
            <w:tcBorders>
              <w:top w:val="nil"/>
              <w:left w:val="nil"/>
              <w:bottom w:val="single" w:color="auto" w:sz="4" w:space="0"/>
              <w:right w:val="single" w:color="auto" w:sz="4" w:space="0"/>
            </w:tcBorders>
            <w:shd w:val="clear" w:color="000000"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2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49"/>
        <w:gridCol w:w="276"/>
        <w:gridCol w:w="276"/>
        <w:gridCol w:w="1908"/>
        <w:gridCol w:w="2144"/>
        <w:gridCol w:w="2092"/>
        <w:gridCol w:w="2400"/>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345" w:type="dxa"/>
            <w:gridSpan w:val="7"/>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Times New Roman" w:hAnsi="Times New Roman" w:eastAsia="仿宋_GB2312" w:cs="Times New Roman"/>
                <w:color w:val="000000"/>
                <w:kern w:val="0"/>
                <w:sz w:val="20"/>
                <w:szCs w:val="20"/>
                <w:lang w:val="en-US" w:eastAsia="zh-CN"/>
              </w:rPr>
              <w:t>溆浦县雅堂芙蓉学校</w:t>
            </w:r>
          </w:p>
        </w:tc>
        <w:tc>
          <w:tcPr>
            <w:tcW w:w="0" w:type="auto"/>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2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2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Times New Roman" w:hAnsi="Times New Roman" w:eastAsia="仿宋_GB2312" w:cs="Times New Roman"/>
                <w:kern w:val="0"/>
                <w:sz w:val="22"/>
                <w:lang w:val="en-US" w:eastAsia="zh-CN"/>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1317.51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338.56</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kern w:val="0"/>
                <w:sz w:val="22"/>
                <w:lang w:val="en-US" w:eastAsia="zh-CN"/>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1317.51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338.56</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kern w:val="0"/>
                <w:sz w:val="22"/>
                <w:lang w:val="en-US" w:eastAsia="zh-CN"/>
              </w:rPr>
              <w:t>1656.07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1317.51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338.56</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jc w:val="right"/>
              <w:rPr>
                <w:rFonts w:hint="eastAsia" w:ascii="宋体" w:hAnsi="宋体" w:eastAsia="宋体" w:cs="宋体"/>
                <w:i w:val="0"/>
                <w:iCs w:val="0"/>
                <w:color w:val="000000"/>
                <w:sz w:val="22"/>
                <w:szCs w:val="22"/>
                <w:u w:val="none"/>
              </w:rPr>
            </w:pP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17.88</w:t>
            </w: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1183.84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320.68</w:t>
            </w: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jc w:val="right"/>
              <w:rPr>
                <w:rFonts w:hint="eastAsia" w:ascii="宋体" w:hAnsi="宋体" w:eastAsia="宋体" w:cs="宋体"/>
                <w:i w:val="0"/>
                <w:iCs w:val="0"/>
                <w:color w:val="000000"/>
                <w:sz w:val="22"/>
                <w:szCs w:val="22"/>
                <w:u w:val="none"/>
              </w:rPr>
            </w:pPr>
          </w:p>
        </w:tc>
      </w:tr>
      <w:tr w14:paraId="11E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E9D">
            <w:pPr>
              <w:jc w:val="right"/>
              <w:rPr>
                <w:rFonts w:hint="eastAsia" w:ascii="宋体" w:hAnsi="宋体" w:eastAsia="宋体" w:cs="宋体"/>
                <w:i w:val="0"/>
                <w:iCs w:val="0"/>
                <w:color w:val="000000"/>
                <w:sz w:val="22"/>
                <w:szCs w:val="22"/>
                <w:u w:val="none"/>
              </w:rPr>
            </w:pPr>
          </w:p>
        </w:tc>
      </w:tr>
      <w:tr w14:paraId="799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906">
            <w:pPr>
              <w:jc w:val="right"/>
              <w:rPr>
                <w:rFonts w:hint="eastAsia" w:ascii="宋体" w:hAnsi="宋体" w:eastAsia="宋体" w:cs="宋体"/>
                <w:i w:val="0"/>
                <w:iCs w:val="0"/>
                <w:color w:val="000000"/>
                <w:sz w:val="22"/>
                <w:szCs w:val="22"/>
                <w:u w:val="none"/>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7"/>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8ECE257">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p w14:paraId="73D90877">
      <w:pPr>
        <w:widowControl/>
        <w:spacing w:afterLines="50"/>
        <w:jc w:val="center"/>
        <w:textAlignment w:val="center"/>
        <w:rPr>
          <w:rFonts w:ascii="Times New Roman" w:hAnsi="Times New Roman" w:eastAsia="黑体" w:cs="Times New Roman"/>
          <w:color w:val="000000"/>
          <w:kern w:val="0"/>
          <w:sz w:val="36"/>
          <w:szCs w:val="36"/>
        </w:rPr>
      </w:pPr>
    </w:p>
    <w:bookmarkEnd w:id="1"/>
    <w:p w14:paraId="37BC08AC">
      <w:pPr>
        <w:widowControl/>
        <w:jc w:val="left"/>
        <w:rPr>
          <w:rFonts w:ascii="Times New Roman" w:hAnsi="Times New Roman" w:eastAsia="仿宋_GB2312" w:cs="Times New Roman"/>
          <w:bCs/>
          <w:kern w:val="0"/>
          <w:szCs w:val="21"/>
        </w:rPr>
      </w:pPr>
    </w:p>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溆浦县雅堂芙蓉学校</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1027.52</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281.08</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390.58</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134.31</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188.33</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24.38</w:t>
            </w: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1.21</w:t>
            </w: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0.44</w:t>
            </w: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193.38</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12.15</w:t>
            </w: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99.79</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9.38</w:t>
            </w: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0.4</w:t>
            </w: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53.01</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17.31</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5.06</w:t>
            </w: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43.66</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13.77</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40.24</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8.91</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2.81</w:t>
            </w: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4.9</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55.78</w:t>
            </w: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0.4</w:t>
            </w: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3.61</w:t>
            </w: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22.61</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1036.43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281.08</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溆浦县雅堂芙蓉学校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溆浦县雅堂芙蓉学校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溆浦县雅堂芙蓉学校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47F4D64E">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1956.15</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增加268.79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增长15.9</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教师工资调标、学生人数增加，公用经费及单位收入相应增加。</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1956.15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1656.07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84.66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300.09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15.34</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1956.15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1617.6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82.69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338.56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17.31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1656.07</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增加297.16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增长21.87</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教师工资调标、学生人数增加，公用经费及单位收入相应增加。</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BCC81BF">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1656.07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84.66</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增加297.16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增长21.87</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教师工资调标、学生人数增加，公用经费及单位收入相应增加。</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CFD8F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1656.07</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1656.07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742.22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1656.07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223</w:t>
      </w:r>
      <w:r>
        <w:rPr>
          <w:rFonts w:ascii="Times New Roman" w:hAnsi="Times New Roman" w:eastAsia="仿宋_GB2312" w:cs="Times New Roman"/>
          <w:sz w:val="32"/>
          <w:szCs w:val="32"/>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C42236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21.84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该项支出中包含的人才津贴、奖励性绩效工资、义务教育公用经费、营养改善计划资金、等资金年初时由县教育局统一列入预算。</w:t>
      </w:r>
    </w:p>
    <w:p w14:paraId="1F5A0FE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w:t>
      </w:r>
      <w:r>
        <w:rPr>
          <w:rFonts w:hint="eastAsia" w:ascii="Times New Roman" w:hAnsi="Times New Roman" w:eastAsia="仿宋_GB2312" w:cs="Times New Roman"/>
          <w:sz w:val="32"/>
          <w:szCs w:val="32"/>
          <w:lang w:val="en-US" w:eastAsia="zh-CN"/>
        </w:rPr>
        <w:t>初中</w:t>
      </w:r>
      <w:r>
        <w:rPr>
          <w:rFonts w:hint="eastAsia" w:ascii="Times New Roman" w:hAnsi="Times New Roman" w:eastAsia="仿宋_GB2312" w:cs="Times New Roman"/>
          <w:sz w:val="32"/>
          <w:szCs w:val="32"/>
        </w:rPr>
        <w:t>教育（项）。</w:t>
      </w:r>
    </w:p>
    <w:p w14:paraId="369A2D3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742.22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1504.52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该项支出中包含的人才津贴、奖励性绩效工资、义务教育公用经费、营养改善计划资金、等资金年初时由县教育局统一列入预算。</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高中教育</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w:t>
      </w:r>
    </w:p>
    <w:p w14:paraId="51226EC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70.06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该支出为我校2024年1-12月基础绩效奖，年初时由财政局统一列入预算，导致我校年初预算数为0，决算数大于年初预算数。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1317.51</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1027.52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390.58万元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188.33万元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1.21万元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193.38万元、机关事业单位基本养老保险缴费99.79万元、职工基本医疗保险缴费53.01万元、其他社会保障缴费17.31万元、住房公积金43.66万元、其他工资福利支出40.24万元、生活补助4.9万元、医疗补助0.4万元、助学金3.61万元</w:t>
      </w:r>
      <w:r>
        <w:rPr>
          <w:rFonts w:ascii="Times New Roman" w:hAnsi="Times New Roman" w:eastAsia="仿宋_GB2312" w:cs="Times New Roman"/>
          <w:sz w:val="32"/>
          <w:szCs w:val="32"/>
        </w:rPr>
        <w:t>。</w:t>
      </w:r>
    </w:p>
    <w:p w14:paraId="10787EB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281.08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134.31万元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24.38万元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咨询费0.44万元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水费12.15万元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val="en-US" w:eastAsia="zh-CN"/>
        </w:rPr>
        <w:t>9.38万元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邮电费0.4万元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val="en-US" w:eastAsia="zh-CN"/>
        </w:rPr>
        <w:t>5.06万元、维修（护）费13.77万元、培训费2.81万元、劳务费55.78万元、其他商品和服务支出22.61万元</w:t>
      </w:r>
      <w:r>
        <w:rPr>
          <w:rFonts w:ascii="Times New Roman" w:hAnsi="Times New Roman" w:eastAsia="仿宋_GB2312" w:cs="Times New Roman"/>
          <w:sz w:val="32"/>
          <w:szCs w:val="32"/>
        </w:rPr>
        <w:t>。</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281.08</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val="en-US" w:eastAsia="zh-CN"/>
        </w:rPr>
        <w:t>增加73.34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增长35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我校本年度学生人数增加，据此核定的公用经费相应增加。</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2.81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52.5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4.76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95.24</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742.22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1656.07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223</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rPr>
      </w:pPr>
    </w:p>
    <w:p w14:paraId="63B2EDFC">
      <w:pPr>
        <w:pStyle w:val="15"/>
        <w:jc w:val="center"/>
        <w:rPr>
          <w:rFonts w:ascii="Times New Roman" w:hAnsi="Times New Roman" w:cs="Times New Roman"/>
          <w:sz w:val="72"/>
          <w:szCs w:val="72"/>
        </w:rPr>
      </w:pPr>
    </w:p>
    <w:p w14:paraId="47708E8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jc w:val="left"/>
        <w:rPr>
          <w:rFonts w:ascii="Times New Roman" w:hAnsi="Times New Roman" w:cs="Times New Roman"/>
          <w:color w:val="000000"/>
          <w:kern w:val="0"/>
          <w:sz w:val="24"/>
          <w:szCs w:val="24"/>
        </w:rPr>
      </w:pP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val="en-US" w:eastAsia="zh-CN"/>
        </w:rPr>
        <w:t>雅堂芙蓉学校</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rPr>
        <w:t>溆浦县</w:t>
      </w:r>
      <w:r>
        <w:rPr>
          <w:rFonts w:hint="eastAsia" w:ascii="仿宋" w:hAnsi="仿宋" w:eastAsia="仿宋"/>
          <w:sz w:val="32"/>
          <w:szCs w:val="32"/>
          <w:lang w:val="en-US" w:eastAsia="zh-CN"/>
        </w:rPr>
        <w:t>雅堂芙蓉学校</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w:t>
      </w:r>
      <w:r>
        <w:rPr>
          <w:rFonts w:hint="eastAsia" w:ascii="仿宋" w:hAnsi="仿宋" w:eastAsia="仿宋"/>
          <w:sz w:val="32"/>
          <w:szCs w:val="32"/>
          <w:lang w:eastAsia="zh-CN"/>
        </w:rPr>
        <w:t>、</w:t>
      </w:r>
      <w:r>
        <w:rPr>
          <w:rFonts w:hint="eastAsia" w:ascii="仿宋" w:hAnsi="仿宋" w:eastAsia="仿宋"/>
          <w:sz w:val="32"/>
          <w:szCs w:val="32"/>
          <w:lang w:val="en-US" w:eastAsia="zh-CN"/>
        </w:rPr>
        <w:t>德育处</w:t>
      </w:r>
      <w:r>
        <w:rPr>
          <w:rFonts w:hint="eastAsia" w:ascii="仿宋" w:hAnsi="仿宋" w:eastAsia="仿宋"/>
          <w:sz w:val="32"/>
          <w:szCs w:val="32"/>
        </w:rPr>
        <w:t>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我校共有编制人数120人，实有在职人数93人，在校学生人数2872人。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6、做好小学学历教育及相关的社会服务，促进基础教育发展。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年初预算为742.22万元、</w:t>
      </w:r>
      <w:r>
        <w:rPr>
          <w:rFonts w:hint="eastAsia" w:ascii="仿宋" w:hAnsi="仿宋" w:eastAsia="仿宋"/>
          <w:sz w:val="32"/>
          <w:szCs w:val="32"/>
        </w:rPr>
        <w:t>全年预算为</w:t>
      </w:r>
      <w:r>
        <w:rPr>
          <w:rFonts w:hint="eastAsia" w:ascii="仿宋" w:hAnsi="仿宋" w:eastAsia="仿宋"/>
          <w:sz w:val="32"/>
          <w:szCs w:val="32"/>
          <w:lang w:val="en-US" w:eastAsia="zh-CN"/>
        </w:rPr>
        <w:t>1956.15</w:t>
      </w:r>
      <w:r>
        <w:rPr>
          <w:rFonts w:hint="eastAsia" w:ascii="仿宋" w:hAnsi="仿宋" w:eastAsia="仿宋"/>
          <w:sz w:val="32"/>
          <w:szCs w:val="32"/>
        </w:rPr>
        <w:t>万元，</w:t>
      </w:r>
      <w:r>
        <w:rPr>
          <w:rFonts w:hint="eastAsia" w:ascii="仿宋" w:hAnsi="仿宋" w:eastAsia="仿宋"/>
          <w:sz w:val="32"/>
          <w:szCs w:val="32"/>
          <w:lang w:val="en-US" w:eastAsia="zh-CN"/>
        </w:rPr>
        <w:t>全年执行数为1956.15万元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预算执行率为223%。</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1956.15</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1656.07</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300.09</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1956.15</w:t>
      </w:r>
      <w:r>
        <w:rPr>
          <w:rFonts w:hint="eastAsia" w:ascii="仿宋" w:hAnsi="仿宋" w:eastAsia="仿宋"/>
          <w:sz w:val="32"/>
          <w:szCs w:val="32"/>
        </w:rPr>
        <w:t>元，其中：基本支出</w:t>
      </w:r>
      <w:r>
        <w:rPr>
          <w:rFonts w:hint="eastAsia" w:ascii="仿宋" w:hAnsi="仿宋" w:eastAsia="仿宋"/>
          <w:sz w:val="32"/>
          <w:szCs w:val="32"/>
          <w:lang w:val="en-US" w:eastAsia="zh-CN"/>
        </w:rPr>
        <w:t>1617.6</w:t>
      </w:r>
      <w:r>
        <w:rPr>
          <w:rFonts w:hint="eastAsia" w:ascii="仿宋" w:hAnsi="仿宋" w:eastAsia="仿宋"/>
          <w:sz w:val="32"/>
          <w:szCs w:val="32"/>
        </w:rPr>
        <w:t>万元，项目支出</w:t>
      </w:r>
      <w:r>
        <w:rPr>
          <w:rFonts w:hint="eastAsia" w:ascii="仿宋" w:hAnsi="仿宋" w:eastAsia="仿宋"/>
          <w:sz w:val="32"/>
          <w:szCs w:val="32"/>
          <w:lang w:val="en-US" w:eastAsia="zh-CN"/>
        </w:rPr>
        <w:t>338.56</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1027.52</w:t>
      </w:r>
      <w:r>
        <w:rPr>
          <w:rFonts w:hint="eastAsia" w:ascii="仿宋" w:hAnsi="仿宋" w:eastAsia="仿宋"/>
          <w:sz w:val="32"/>
          <w:szCs w:val="32"/>
        </w:rPr>
        <w:t>万元、商品和服务支出</w:t>
      </w:r>
      <w:r>
        <w:rPr>
          <w:rFonts w:hint="eastAsia" w:ascii="仿宋" w:hAnsi="仿宋" w:eastAsia="仿宋"/>
          <w:sz w:val="32"/>
          <w:szCs w:val="32"/>
          <w:lang w:val="en-US" w:eastAsia="zh-CN"/>
        </w:rPr>
        <w:t>281.08</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8.91</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0</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lang w:val="en-US" w:eastAsia="zh-CN"/>
        </w:rPr>
        <w:t>1317.51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占全年总支出的67.35%，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1027.51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281.08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8.91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338.56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占全年总支出的17.31%</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41.57</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73.5分，评价等级为“合格”。</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FA225-BCF9-4F1E-88AC-BDE69B3A6F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C22D30E-2BED-47E2-A0DA-DBB6B80C48EB}"/>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F628526-5C44-4909-BF75-B44554DB3934}"/>
  </w:font>
  <w:font w:name="仿宋_GB2312">
    <w:altName w:val="仿宋"/>
    <w:panose1 w:val="00000000000000000000"/>
    <w:charset w:val="86"/>
    <w:family w:val="modern"/>
    <w:pitch w:val="default"/>
    <w:sig w:usb0="00000000" w:usb1="00000000" w:usb2="00000010" w:usb3="00000000" w:csb0="00040000" w:csb1="00000000"/>
    <w:embedRegular r:id="rId4" w:fontKey="{AB747680-31C4-452D-9994-C189283BED61}"/>
  </w:font>
  <w:font w:name="华文中宋">
    <w:panose1 w:val="02010600040101010101"/>
    <w:charset w:val="86"/>
    <w:family w:val="auto"/>
    <w:pitch w:val="default"/>
    <w:sig w:usb0="00000287" w:usb1="080F0000" w:usb2="00000000" w:usb3="00000000" w:csb0="0004009F" w:csb1="DFD70000"/>
    <w:embedRegular r:id="rId5" w:fontKey="{5C846B54-5136-4705-BCF9-8BBC8722253D}"/>
  </w:font>
  <w:font w:name="楷体">
    <w:panose1 w:val="02010609060101010101"/>
    <w:charset w:val="86"/>
    <w:family w:val="modern"/>
    <w:pitch w:val="default"/>
    <w:sig w:usb0="800002BF" w:usb1="38CF7CFA" w:usb2="00000016" w:usb3="00000000" w:csb0="00040001" w:csb1="00000000"/>
    <w:embedRegular r:id="rId6" w:fontKey="{11D9CF16-2080-4176-9296-A5144529C9F3}"/>
  </w:font>
  <w:font w:name="楷体_GB2312">
    <w:altName w:val="楷体"/>
    <w:panose1 w:val="00000000000000000000"/>
    <w:charset w:val="86"/>
    <w:family w:val="modern"/>
    <w:pitch w:val="default"/>
    <w:sig w:usb0="00000000" w:usb1="00000000" w:usb2="00000010" w:usb3="00000000" w:csb0="00040000" w:csb1="00000000"/>
    <w:embedRegular r:id="rId7" w:fontKey="{E2F9F07C-057A-40BA-9F71-E6F132A529C6}"/>
  </w:font>
  <w:font w:name="仿宋">
    <w:panose1 w:val="02010609060101010101"/>
    <w:charset w:val="86"/>
    <w:family w:val="auto"/>
    <w:pitch w:val="default"/>
    <w:sig w:usb0="800002BF" w:usb1="38CF7CFA" w:usb2="00000016" w:usb3="00000000" w:csb0="00040001" w:csb1="00000000"/>
    <w:embedRegular r:id="rId8" w:fontKey="{2148E2B6-40CD-4267-9B60-2EB8D890C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760F"/>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641FB"/>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42430"/>
    <w:rsid w:val="01610122"/>
    <w:rsid w:val="020A2568"/>
    <w:rsid w:val="02361D8D"/>
    <w:rsid w:val="029307AF"/>
    <w:rsid w:val="033E071B"/>
    <w:rsid w:val="034C108A"/>
    <w:rsid w:val="044F0706"/>
    <w:rsid w:val="0523406D"/>
    <w:rsid w:val="06CF195C"/>
    <w:rsid w:val="070B4DB8"/>
    <w:rsid w:val="083B791F"/>
    <w:rsid w:val="08F33D56"/>
    <w:rsid w:val="097D1872"/>
    <w:rsid w:val="09842C00"/>
    <w:rsid w:val="0A6C3DC0"/>
    <w:rsid w:val="0CCD48BE"/>
    <w:rsid w:val="0CE642FD"/>
    <w:rsid w:val="0D43499B"/>
    <w:rsid w:val="0D682F64"/>
    <w:rsid w:val="0D814026"/>
    <w:rsid w:val="0E5A38BF"/>
    <w:rsid w:val="1074577C"/>
    <w:rsid w:val="10DE353E"/>
    <w:rsid w:val="112453F4"/>
    <w:rsid w:val="116F23E8"/>
    <w:rsid w:val="11755C50"/>
    <w:rsid w:val="11DB182B"/>
    <w:rsid w:val="13235C52"/>
    <w:rsid w:val="1336140F"/>
    <w:rsid w:val="14551D69"/>
    <w:rsid w:val="14B051F1"/>
    <w:rsid w:val="14E32ED1"/>
    <w:rsid w:val="17D31922"/>
    <w:rsid w:val="17DD62FD"/>
    <w:rsid w:val="17E441F0"/>
    <w:rsid w:val="17E92EF4"/>
    <w:rsid w:val="18F57676"/>
    <w:rsid w:val="1A4C59BC"/>
    <w:rsid w:val="1B80591D"/>
    <w:rsid w:val="1C2F62A0"/>
    <w:rsid w:val="1C9A47BD"/>
    <w:rsid w:val="1CB02232"/>
    <w:rsid w:val="1CB11268"/>
    <w:rsid w:val="1D1502E7"/>
    <w:rsid w:val="1D97DEFF"/>
    <w:rsid w:val="1DFF72E5"/>
    <w:rsid w:val="1EF01ECE"/>
    <w:rsid w:val="1EFC6F07"/>
    <w:rsid w:val="200F101E"/>
    <w:rsid w:val="20100D58"/>
    <w:rsid w:val="21540FCF"/>
    <w:rsid w:val="21751354"/>
    <w:rsid w:val="2478071C"/>
    <w:rsid w:val="25A641D2"/>
    <w:rsid w:val="25DD571A"/>
    <w:rsid w:val="27912C60"/>
    <w:rsid w:val="28123DA1"/>
    <w:rsid w:val="28235FAE"/>
    <w:rsid w:val="283D06F2"/>
    <w:rsid w:val="286345FC"/>
    <w:rsid w:val="288307FB"/>
    <w:rsid w:val="28C22931"/>
    <w:rsid w:val="2A3F0751"/>
    <w:rsid w:val="2B966A97"/>
    <w:rsid w:val="2BB1567F"/>
    <w:rsid w:val="2C8939D9"/>
    <w:rsid w:val="2D102879"/>
    <w:rsid w:val="2D6F7CCF"/>
    <w:rsid w:val="2DC72F38"/>
    <w:rsid w:val="2E00469C"/>
    <w:rsid w:val="2F8C4439"/>
    <w:rsid w:val="2FD63906"/>
    <w:rsid w:val="2FDF85B8"/>
    <w:rsid w:val="2FE12D11"/>
    <w:rsid w:val="2FFFEE04"/>
    <w:rsid w:val="30253F8A"/>
    <w:rsid w:val="32625925"/>
    <w:rsid w:val="33462B51"/>
    <w:rsid w:val="34C93A39"/>
    <w:rsid w:val="34DF85B0"/>
    <w:rsid w:val="35780FBB"/>
    <w:rsid w:val="372413FB"/>
    <w:rsid w:val="38303DCF"/>
    <w:rsid w:val="38482EC7"/>
    <w:rsid w:val="387E6A43"/>
    <w:rsid w:val="39875C71"/>
    <w:rsid w:val="39AE0030"/>
    <w:rsid w:val="3A053765"/>
    <w:rsid w:val="3A3C2A31"/>
    <w:rsid w:val="3B1D4ADF"/>
    <w:rsid w:val="3B8F36BC"/>
    <w:rsid w:val="3CDC62D4"/>
    <w:rsid w:val="3D0C4E0B"/>
    <w:rsid w:val="3D5026A6"/>
    <w:rsid w:val="3D516CC2"/>
    <w:rsid w:val="3DD4664A"/>
    <w:rsid w:val="3E3577DE"/>
    <w:rsid w:val="4070745F"/>
    <w:rsid w:val="40A4535A"/>
    <w:rsid w:val="413F5E69"/>
    <w:rsid w:val="41BF073F"/>
    <w:rsid w:val="442E38B9"/>
    <w:rsid w:val="448C6831"/>
    <w:rsid w:val="4565155C"/>
    <w:rsid w:val="460F14C8"/>
    <w:rsid w:val="469A1EF2"/>
    <w:rsid w:val="491FF225"/>
    <w:rsid w:val="49697EB4"/>
    <w:rsid w:val="4A4F6337"/>
    <w:rsid w:val="4B6422B6"/>
    <w:rsid w:val="4C4719BC"/>
    <w:rsid w:val="4D241CFD"/>
    <w:rsid w:val="4D896004"/>
    <w:rsid w:val="4DF3347D"/>
    <w:rsid w:val="4F701229"/>
    <w:rsid w:val="4FCE5F50"/>
    <w:rsid w:val="4FFD214C"/>
    <w:rsid w:val="505D7101"/>
    <w:rsid w:val="50AC44E3"/>
    <w:rsid w:val="528B438C"/>
    <w:rsid w:val="52CB6777"/>
    <w:rsid w:val="5777D4F5"/>
    <w:rsid w:val="58AA7D3A"/>
    <w:rsid w:val="58BF0B2C"/>
    <w:rsid w:val="59DD8326"/>
    <w:rsid w:val="59E940B2"/>
    <w:rsid w:val="5A6F20DD"/>
    <w:rsid w:val="5B7C4AB2"/>
    <w:rsid w:val="5C391B19"/>
    <w:rsid w:val="5CCC1A69"/>
    <w:rsid w:val="5D0134C1"/>
    <w:rsid w:val="5DB1138B"/>
    <w:rsid w:val="5DEC23C3"/>
    <w:rsid w:val="5DEF592A"/>
    <w:rsid w:val="5EE74938"/>
    <w:rsid w:val="5FC044F1"/>
    <w:rsid w:val="5FC6BB1E"/>
    <w:rsid w:val="5FF720F1"/>
    <w:rsid w:val="613428B3"/>
    <w:rsid w:val="63AB062A"/>
    <w:rsid w:val="63F0428F"/>
    <w:rsid w:val="65044496"/>
    <w:rsid w:val="66216982"/>
    <w:rsid w:val="67FF5C0B"/>
    <w:rsid w:val="697F058F"/>
    <w:rsid w:val="69BD10B7"/>
    <w:rsid w:val="6A590DE0"/>
    <w:rsid w:val="6A6432E1"/>
    <w:rsid w:val="6AB97AD1"/>
    <w:rsid w:val="6B1C1CED"/>
    <w:rsid w:val="6C0703C8"/>
    <w:rsid w:val="6C3A3AED"/>
    <w:rsid w:val="6C953C26"/>
    <w:rsid w:val="6DEE45BF"/>
    <w:rsid w:val="6EFC0924"/>
    <w:rsid w:val="6FB74722"/>
    <w:rsid w:val="6FEF8B7E"/>
    <w:rsid w:val="704C4F43"/>
    <w:rsid w:val="70C1148D"/>
    <w:rsid w:val="70D0347E"/>
    <w:rsid w:val="71662034"/>
    <w:rsid w:val="71A6591B"/>
    <w:rsid w:val="72016C70"/>
    <w:rsid w:val="7214383E"/>
    <w:rsid w:val="737D59BA"/>
    <w:rsid w:val="74A7099A"/>
    <w:rsid w:val="75475CD9"/>
    <w:rsid w:val="754C709E"/>
    <w:rsid w:val="76A96C4B"/>
    <w:rsid w:val="77C37683"/>
    <w:rsid w:val="79116D2A"/>
    <w:rsid w:val="795A247F"/>
    <w:rsid w:val="79D19834"/>
    <w:rsid w:val="79FD2E0A"/>
    <w:rsid w:val="79FF515B"/>
    <w:rsid w:val="7AE17CB4"/>
    <w:rsid w:val="7BC938EC"/>
    <w:rsid w:val="7C507B69"/>
    <w:rsid w:val="7CDD001E"/>
    <w:rsid w:val="7DFF35F5"/>
    <w:rsid w:val="7E335592"/>
    <w:rsid w:val="7E6A3164"/>
    <w:rsid w:val="7E8D0C00"/>
    <w:rsid w:val="7E9E1962"/>
    <w:rsid w:val="7E9F11B4"/>
    <w:rsid w:val="7F2F1CB8"/>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9884</Words>
  <Characters>11495</Characters>
  <Lines>63</Lines>
  <Paragraphs>17</Paragraphs>
  <TotalTime>45</TotalTime>
  <ScaleCrop>false</ScaleCrop>
  <LinksUpToDate>false</LinksUpToDate>
  <CharactersWithSpaces>12000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B424DF9EA98C45D099FED8F785B8C109_13</vt:lpwstr>
  </property>
  <property fmtid="{D5CDD505-2E9C-101B-9397-08002B2CF9AE}" pid="4" name="KSOTemplateDocerSaveRecord">
    <vt:lpwstr>eyJoZGlkIjoiZWIxZDk0NWUzY2MwM2Q5OWFmMjBkYzBkNjAyMGU1ZmIiLCJ1c2VySWQiOiIxNjk1MDU3OCJ9</vt:lpwstr>
  </property>
</Properties>
</file>