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908F0">
      <w:pPr>
        <w:pStyle w:val="15"/>
        <w:jc w:val="both"/>
        <w:rPr>
          <w:rFonts w:hAnsi="黑体"/>
          <w:sz w:val="36"/>
          <w:szCs w:val="36"/>
        </w:rPr>
      </w:pPr>
      <w:r>
        <w:rPr>
          <w:rFonts w:hint="eastAsia" w:hAnsi="黑体"/>
          <w:sz w:val="36"/>
          <w:szCs w:val="36"/>
        </w:rPr>
        <w:t>附件1</w:t>
      </w:r>
    </w:p>
    <w:p w14:paraId="39DFFFFF">
      <w:pPr>
        <w:pStyle w:val="15"/>
        <w:jc w:val="center"/>
        <w:rPr>
          <w:rFonts w:ascii="Times New Roman" w:hAnsi="Times New Roman" w:cs="Times New Roman"/>
          <w:sz w:val="56"/>
          <w:szCs w:val="56"/>
        </w:rPr>
      </w:pPr>
    </w:p>
    <w:p w14:paraId="29D86D1B">
      <w:pPr>
        <w:pStyle w:val="15"/>
        <w:jc w:val="center"/>
        <w:rPr>
          <w:rFonts w:ascii="Times New Roman" w:hAnsi="Times New Roman" w:cs="Times New Roman"/>
          <w:sz w:val="84"/>
          <w:szCs w:val="84"/>
        </w:rPr>
      </w:pPr>
    </w:p>
    <w:p w14:paraId="243E8A76">
      <w:pPr>
        <w:pStyle w:val="15"/>
        <w:jc w:val="center"/>
        <w:rPr>
          <w:rFonts w:ascii="Times New Roman" w:hAnsi="Times New Roman" w:cs="Times New Roman"/>
          <w:sz w:val="84"/>
          <w:szCs w:val="84"/>
        </w:rPr>
      </w:pPr>
    </w:p>
    <w:p w14:paraId="00422E57">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05EFE65">
      <w:pPr>
        <w:pStyle w:val="15"/>
        <w:jc w:val="center"/>
        <w:rPr>
          <w:rFonts w:ascii="Times New Roman" w:hAnsi="Times New Roman" w:eastAsia="方正小标宋简体" w:cs="Times New Roman"/>
          <w:sz w:val="72"/>
          <w:szCs w:val="72"/>
        </w:rPr>
      </w:pPr>
      <w:r>
        <w:rPr>
          <w:rFonts w:hint="eastAsia" w:ascii="方正小标宋_GBK" w:hAnsi="方正小标宋_GBK" w:eastAsia="方正小标宋_GBK" w:cs="方正小标宋_GBK"/>
          <w:sz w:val="84"/>
          <w:szCs w:val="84"/>
          <w:lang w:val="en-US" w:eastAsia="zh-CN"/>
        </w:rPr>
        <w:t>溆浦县商业企业改制事务中心</w:t>
      </w:r>
      <w:r>
        <w:rPr>
          <w:rFonts w:ascii="Times New Roman" w:hAnsi="Times New Roman" w:eastAsia="方正小标宋简体" w:cs="Times New Roman"/>
          <w:sz w:val="72"/>
          <w:szCs w:val="72"/>
        </w:rPr>
        <w:t>部门决算</w:t>
      </w:r>
    </w:p>
    <w:p w14:paraId="604119D1">
      <w:pPr>
        <w:pStyle w:val="15"/>
        <w:jc w:val="center"/>
        <w:rPr>
          <w:rFonts w:ascii="Times New Roman" w:hAnsi="Times New Roman" w:eastAsia="方正小标宋_GBK" w:cs="Times New Roman"/>
          <w:sz w:val="56"/>
          <w:szCs w:val="56"/>
        </w:rPr>
      </w:pPr>
    </w:p>
    <w:p w14:paraId="1892461C">
      <w:pPr>
        <w:pStyle w:val="15"/>
        <w:jc w:val="center"/>
        <w:rPr>
          <w:rFonts w:ascii="Times New Roman" w:hAnsi="Times New Roman" w:cs="Times New Roman"/>
          <w:sz w:val="56"/>
          <w:szCs w:val="56"/>
        </w:rPr>
      </w:pPr>
    </w:p>
    <w:p w14:paraId="1C8DDC44">
      <w:pPr>
        <w:pStyle w:val="15"/>
        <w:rPr>
          <w:rFonts w:ascii="Times New Roman" w:hAnsi="Times New Roman" w:cs="Times New Roman"/>
          <w:sz w:val="56"/>
          <w:szCs w:val="56"/>
        </w:rPr>
      </w:pPr>
    </w:p>
    <w:p w14:paraId="1F65DB02">
      <w:pPr>
        <w:pStyle w:val="15"/>
        <w:jc w:val="center"/>
        <w:rPr>
          <w:rFonts w:ascii="Times New Roman" w:hAnsi="Times New Roman" w:cs="Times New Roman"/>
          <w:sz w:val="32"/>
          <w:szCs w:val="32"/>
        </w:rPr>
      </w:pPr>
    </w:p>
    <w:p w14:paraId="72590CC1">
      <w:pPr>
        <w:pStyle w:val="15"/>
        <w:jc w:val="center"/>
        <w:rPr>
          <w:rFonts w:ascii="Times New Roman" w:hAnsi="Times New Roman" w:cs="Times New Roman"/>
          <w:sz w:val="32"/>
          <w:szCs w:val="32"/>
        </w:rPr>
      </w:pPr>
    </w:p>
    <w:p w14:paraId="7C326821">
      <w:pPr>
        <w:pStyle w:val="15"/>
        <w:jc w:val="center"/>
        <w:rPr>
          <w:rFonts w:ascii="Times New Roman" w:hAnsi="Times New Roman" w:cs="Times New Roman"/>
          <w:sz w:val="32"/>
          <w:szCs w:val="32"/>
        </w:rPr>
      </w:pPr>
    </w:p>
    <w:p w14:paraId="57DA2EC7">
      <w:pPr>
        <w:pStyle w:val="15"/>
        <w:jc w:val="center"/>
        <w:rPr>
          <w:rFonts w:ascii="Times New Roman" w:hAnsi="Times New Roman" w:cs="Times New Roman"/>
          <w:sz w:val="32"/>
          <w:szCs w:val="32"/>
        </w:rPr>
      </w:pPr>
    </w:p>
    <w:p w14:paraId="549832B2">
      <w:pPr>
        <w:pStyle w:val="15"/>
        <w:jc w:val="center"/>
        <w:rPr>
          <w:rFonts w:ascii="Times New Roman" w:hAnsi="Times New Roman" w:cs="Times New Roman"/>
          <w:sz w:val="32"/>
          <w:szCs w:val="32"/>
        </w:rPr>
      </w:pPr>
    </w:p>
    <w:p w14:paraId="54A5ACC9">
      <w:pPr>
        <w:pStyle w:val="15"/>
        <w:spacing w:line="600" w:lineRule="exact"/>
        <w:jc w:val="center"/>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E6AA2C0">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5B8FC9DE">
      <w:pPr>
        <w:pStyle w:val="15"/>
        <w:spacing w:line="600" w:lineRule="exact"/>
        <w:jc w:val="center"/>
        <w:rPr>
          <w:rFonts w:ascii="Times New Roman" w:hAnsi="Times New Roman" w:cs="Times New Roman"/>
          <w:b/>
          <w:sz w:val="36"/>
          <w:szCs w:val="28"/>
        </w:rPr>
      </w:pPr>
    </w:p>
    <w:p w14:paraId="2041A12A">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溆浦县商业企业改制事务中心</w:t>
      </w:r>
      <w:r>
        <w:rPr>
          <w:rFonts w:ascii="Times New Roman" w:hAnsi="Times New Roman" w:cs="Times New Roman"/>
          <w:bCs/>
          <w:sz w:val="32"/>
          <w:szCs w:val="32"/>
        </w:rPr>
        <w:t>概况</w:t>
      </w:r>
    </w:p>
    <w:p w14:paraId="4C3E160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1F399C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97D1C0E">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3CA3BCA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0923D3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B7EE67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DB08EF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3D233E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878649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F99EFA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55372C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BE8F23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07CF68A">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751732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F42700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DFF79E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2D635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A843A9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7433F8D">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03907D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37C381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C20D7F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3B14AF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D3B84E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9480F7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70D5245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2C3438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44F49FC">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45F79FCB">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4461C955">
      <w:pPr>
        <w:pStyle w:val="15"/>
        <w:spacing w:line="600" w:lineRule="exact"/>
        <w:rPr>
          <w:rFonts w:ascii="Times New Roman" w:hAnsi="Times New Roman" w:cs="Times New Roman"/>
          <w:bCs/>
          <w:sz w:val="28"/>
          <w:szCs w:val="28"/>
        </w:rPr>
      </w:pPr>
    </w:p>
    <w:p w14:paraId="218F6639">
      <w:pPr>
        <w:jc w:val="center"/>
        <w:rPr>
          <w:rFonts w:ascii="Times New Roman" w:hAnsi="Times New Roman" w:cs="Times New Roman"/>
          <w:sz w:val="72"/>
          <w:szCs w:val="72"/>
        </w:rPr>
      </w:pPr>
    </w:p>
    <w:p w14:paraId="6FA740C5">
      <w:pPr>
        <w:jc w:val="center"/>
        <w:rPr>
          <w:rFonts w:ascii="Times New Roman" w:hAnsi="Times New Roman" w:cs="Times New Roman"/>
          <w:sz w:val="72"/>
          <w:szCs w:val="72"/>
        </w:rPr>
      </w:pPr>
    </w:p>
    <w:p w14:paraId="044FFFA3">
      <w:pPr>
        <w:jc w:val="center"/>
        <w:rPr>
          <w:rFonts w:ascii="Times New Roman" w:hAnsi="Times New Roman" w:cs="Times New Roman"/>
          <w:sz w:val="72"/>
          <w:szCs w:val="72"/>
        </w:rPr>
      </w:pPr>
    </w:p>
    <w:p w14:paraId="03ADE247">
      <w:pPr>
        <w:pStyle w:val="7"/>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5D612B2">
      <w:pPr>
        <w:rPr>
          <w:rFonts w:ascii="Times New Roman" w:hAnsi="Times New Roman" w:eastAsia="方正小标宋_GBK" w:cs="Times New Roman"/>
          <w:sz w:val="72"/>
          <w:szCs w:val="72"/>
        </w:rPr>
      </w:pPr>
    </w:p>
    <w:p w14:paraId="52F0A54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C1F1AED">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溆浦县商业企业改制事务中心</w:t>
      </w:r>
      <w:r>
        <w:rPr>
          <w:rFonts w:ascii="Times New Roman" w:hAnsi="Times New Roman" w:eastAsia="方正小标宋_GBK" w:cs="Times New Roman"/>
          <w:sz w:val="52"/>
          <w:szCs w:val="52"/>
        </w:rPr>
        <w:t>概况</w:t>
      </w:r>
    </w:p>
    <w:p w14:paraId="30FA34A0">
      <w:pPr>
        <w:pStyle w:val="8"/>
        <w:ind w:left="0" w:leftChars="0" w:firstLine="0" w:firstLineChars="0"/>
        <w:rPr>
          <w:rFonts w:ascii="Times New Roman" w:hAnsi="Times New Roman" w:cs="Times New Roman"/>
        </w:rPr>
      </w:pPr>
    </w:p>
    <w:p w14:paraId="6528FF24">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7CE46E7">
      <w:pPr>
        <w:ind w:firstLine="640" w:firstLineChars="200"/>
        <w:jc w:val="left"/>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单位的部门主要工作职责：溆浦县商业企业改制事务中心的主要工作职责是负责指导全县商业物资企业的改制工作，承担全县国有商业物资企业的改制服务工作；负责所属离退休人员的管理与服务工作；受县人民政府国有资产主管部门的委托，负责所属企业国有资产管理与监督；负责所属企业的信息维稳、安全生产等工作；承办县委、县人民政府交办的其他事项。</w:t>
      </w:r>
    </w:p>
    <w:p w14:paraId="0391CD2F">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E873634">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本</w:t>
      </w:r>
      <w:r>
        <w:rPr>
          <w:rFonts w:hint="eastAsia" w:ascii="Times New Roman" w:hAnsi="Times New Roman" w:eastAsia="仿宋_GB2312" w:cs="仿宋_GB2312"/>
          <w:bCs/>
          <w:kern w:val="0"/>
          <w:sz w:val="32"/>
          <w:szCs w:val="32"/>
        </w:rPr>
        <w:t>单位内设机构包括：</w:t>
      </w:r>
      <w:r>
        <w:rPr>
          <w:rFonts w:hint="eastAsia" w:ascii="Times New Roman" w:hAnsi="Times New Roman" w:eastAsia="仿宋_GB2312" w:cs="仿宋_GB2312"/>
          <w:bCs/>
          <w:kern w:val="0"/>
          <w:sz w:val="32"/>
          <w:szCs w:val="32"/>
          <w:lang w:val="en-US" w:eastAsia="zh-CN"/>
        </w:rPr>
        <w:t>内设3个股室，下属商业子公司7个。本单位是全额拨款事业单位，属溆浦县商务局下级股级机构。核定编制3个，实有人数3人，其中事业人员3人，离退休人员18人。</w:t>
      </w:r>
    </w:p>
    <w:p w14:paraId="1445CEA4">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本</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溆浦县商业企业改制事务中心</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不含独立核算的二级机构，没有所属单位决算在内的汇总决算。</w:t>
      </w:r>
    </w:p>
    <w:p w14:paraId="729229F3">
      <w:pPr>
        <w:jc w:val="center"/>
        <w:rPr>
          <w:rFonts w:ascii="Times New Roman" w:hAnsi="Times New Roman" w:eastAsia="黑体" w:cs="Times New Roman"/>
          <w:sz w:val="28"/>
          <w:szCs w:val="28"/>
        </w:rPr>
      </w:pPr>
    </w:p>
    <w:p w14:paraId="6C8F35ED">
      <w:pPr>
        <w:jc w:val="center"/>
        <w:rPr>
          <w:rFonts w:ascii="Times New Roman" w:hAnsi="Times New Roman" w:eastAsia="黑体" w:cs="Times New Roman"/>
          <w:sz w:val="28"/>
          <w:szCs w:val="28"/>
        </w:rPr>
      </w:pPr>
    </w:p>
    <w:p w14:paraId="6C23200C">
      <w:pPr>
        <w:jc w:val="center"/>
        <w:rPr>
          <w:rFonts w:ascii="Times New Roman" w:hAnsi="Times New Roman" w:eastAsia="黑体" w:cs="Times New Roman"/>
          <w:sz w:val="28"/>
          <w:szCs w:val="28"/>
        </w:rPr>
      </w:pPr>
    </w:p>
    <w:p w14:paraId="6D91D8C7">
      <w:pPr>
        <w:jc w:val="center"/>
        <w:rPr>
          <w:rFonts w:ascii="Times New Roman" w:hAnsi="Times New Roman" w:eastAsia="黑体" w:cs="Times New Roman"/>
          <w:sz w:val="28"/>
          <w:szCs w:val="28"/>
        </w:rPr>
      </w:pPr>
    </w:p>
    <w:p w14:paraId="4A7CD79D">
      <w:pPr>
        <w:jc w:val="center"/>
        <w:rPr>
          <w:rFonts w:ascii="Times New Roman" w:hAnsi="Times New Roman" w:eastAsia="黑体" w:cs="Times New Roman"/>
          <w:sz w:val="28"/>
          <w:szCs w:val="28"/>
        </w:rPr>
      </w:pPr>
    </w:p>
    <w:p w14:paraId="63FDE3AF">
      <w:pPr>
        <w:pStyle w:val="7"/>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7867FA8">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Style w:val="10"/>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4"/>
        <w:gridCol w:w="835"/>
        <w:gridCol w:w="1115"/>
        <w:gridCol w:w="4475"/>
        <w:gridCol w:w="835"/>
        <w:gridCol w:w="2056"/>
      </w:tblGrid>
      <w:tr w14:paraId="5943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070" w:type="dxa"/>
            <w:gridSpan w:val="6"/>
            <w:tcBorders>
              <w:top w:val="nil"/>
              <w:left w:val="nil"/>
              <w:bottom w:val="nil"/>
              <w:right w:val="nil"/>
            </w:tcBorders>
            <w:shd w:val="clear" w:color="auto" w:fill="auto"/>
            <w:noWrap/>
            <w:vAlign w:val="center"/>
          </w:tcPr>
          <w:p w14:paraId="513C23B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7D38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411ACBF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1C7B1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8C843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D5803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71E9E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C81875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3F7F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2886252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部门：溆浦县商业企业改制服务办公室</w:t>
            </w:r>
          </w:p>
        </w:tc>
        <w:tc>
          <w:tcPr>
            <w:tcW w:w="0" w:type="auto"/>
            <w:tcBorders>
              <w:top w:val="nil"/>
              <w:left w:val="nil"/>
              <w:bottom w:val="single" w:color="000000" w:themeColor="text1" w:sz="4" w:space="0"/>
              <w:right w:val="nil"/>
            </w:tcBorders>
            <w:shd w:val="clear" w:color="auto" w:fill="auto"/>
            <w:noWrap/>
            <w:vAlign w:val="center"/>
          </w:tcPr>
          <w:p w14:paraId="47AB8BA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D3AB49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8C0E8D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B91B04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1FB9AE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692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208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E78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5785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BD0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AE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DEE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F4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A92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20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7482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9DD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FA67DD">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A29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85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B82D0">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39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951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166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AD8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6A03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83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0D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E55C64">
            <w:pPr>
              <w:jc w:val="right"/>
              <w:rPr>
                <w:rFonts w:hint="eastAsia" w:ascii="宋体" w:hAnsi="宋体" w:eastAsia="宋体" w:cs="宋体"/>
                <w:i w:val="0"/>
                <w:iCs w:val="0"/>
                <w:color w:val="000000"/>
                <w:sz w:val="22"/>
                <w:szCs w:val="22"/>
                <w:u w:val="none"/>
              </w:rPr>
            </w:pPr>
          </w:p>
        </w:tc>
      </w:tr>
      <w:tr w14:paraId="54CC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351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90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E9C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E25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10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0D8A2">
            <w:pPr>
              <w:jc w:val="right"/>
              <w:rPr>
                <w:rFonts w:hint="eastAsia" w:ascii="宋体" w:hAnsi="宋体" w:eastAsia="宋体" w:cs="宋体"/>
                <w:i w:val="0"/>
                <w:iCs w:val="0"/>
                <w:color w:val="000000"/>
                <w:sz w:val="22"/>
                <w:szCs w:val="22"/>
                <w:u w:val="none"/>
              </w:rPr>
            </w:pPr>
          </w:p>
        </w:tc>
      </w:tr>
      <w:tr w14:paraId="70DC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C3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7F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DB66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9E1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7CC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F8013">
            <w:pPr>
              <w:jc w:val="right"/>
              <w:rPr>
                <w:rFonts w:hint="eastAsia" w:ascii="宋体" w:hAnsi="宋体" w:eastAsia="宋体" w:cs="宋体"/>
                <w:i w:val="0"/>
                <w:iCs w:val="0"/>
                <w:color w:val="000000"/>
                <w:sz w:val="22"/>
                <w:szCs w:val="22"/>
                <w:u w:val="none"/>
              </w:rPr>
            </w:pPr>
          </w:p>
        </w:tc>
      </w:tr>
      <w:tr w14:paraId="439C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CFD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8E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9085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B2A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83F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882B50">
            <w:pPr>
              <w:jc w:val="right"/>
              <w:rPr>
                <w:rFonts w:hint="eastAsia" w:ascii="宋体" w:hAnsi="宋体" w:eastAsia="宋体" w:cs="宋体"/>
                <w:i w:val="0"/>
                <w:iCs w:val="0"/>
                <w:color w:val="000000"/>
                <w:sz w:val="22"/>
                <w:szCs w:val="22"/>
                <w:u w:val="none"/>
              </w:rPr>
            </w:pPr>
          </w:p>
        </w:tc>
      </w:tr>
      <w:tr w14:paraId="462C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8F1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784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1D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311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68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FA519">
            <w:pPr>
              <w:jc w:val="right"/>
              <w:rPr>
                <w:rFonts w:hint="eastAsia" w:ascii="宋体" w:hAnsi="宋体" w:eastAsia="宋体" w:cs="宋体"/>
                <w:i w:val="0"/>
                <w:iCs w:val="0"/>
                <w:color w:val="000000"/>
                <w:sz w:val="22"/>
                <w:szCs w:val="22"/>
                <w:u w:val="none"/>
              </w:rPr>
            </w:pPr>
          </w:p>
        </w:tc>
      </w:tr>
      <w:tr w14:paraId="0132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988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B6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4B0C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DD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950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DB0A27">
            <w:pPr>
              <w:jc w:val="right"/>
              <w:rPr>
                <w:rFonts w:hint="eastAsia" w:ascii="宋体" w:hAnsi="宋体" w:eastAsia="宋体" w:cs="宋体"/>
                <w:i w:val="0"/>
                <w:iCs w:val="0"/>
                <w:color w:val="000000"/>
                <w:sz w:val="22"/>
                <w:szCs w:val="22"/>
                <w:u w:val="none"/>
              </w:rPr>
            </w:pPr>
          </w:p>
        </w:tc>
      </w:tr>
      <w:tr w14:paraId="24CF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C23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94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F4F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5D0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19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CBC9A">
            <w:pPr>
              <w:jc w:val="right"/>
              <w:rPr>
                <w:rFonts w:hint="eastAsia" w:ascii="宋体" w:hAnsi="宋体" w:eastAsia="宋体" w:cs="宋体"/>
                <w:i w:val="0"/>
                <w:iCs w:val="0"/>
                <w:color w:val="000000"/>
                <w:sz w:val="22"/>
                <w:szCs w:val="22"/>
                <w:u w:val="none"/>
              </w:rPr>
            </w:pPr>
          </w:p>
        </w:tc>
      </w:tr>
      <w:tr w14:paraId="7340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F8B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D08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C22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506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871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0F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r>
      <w:tr w14:paraId="7623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80FD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DAD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BFD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E23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61E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CC70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r>
      <w:tr w14:paraId="7E50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E683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8AA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5E41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D49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DA4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438CF">
            <w:pPr>
              <w:jc w:val="right"/>
              <w:rPr>
                <w:rFonts w:hint="eastAsia" w:ascii="宋体" w:hAnsi="宋体" w:eastAsia="宋体" w:cs="宋体"/>
                <w:i w:val="0"/>
                <w:iCs w:val="0"/>
                <w:color w:val="000000"/>
                <w:sz w:val="22"/>
                <w:szCs w:val="22"/>
                <w:u w:val="none"/>
              </w:rPr>
            </w:pPr>
          </w:p>
        </w:tc>
      </w:tr>
      <w:tr w14:paraId="1CB1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E9E3F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412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A989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98D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6D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9011A1">
            <w:pPr>
              <w:jc w:val="right"/>
              <w:rPr>
                <w:rFonts w:hint="eastAsia" w:ascii="宋体" w:hAnsi="宋体" w:eastAsia="宋体" w:cs="宋体"/>
                <w:i w:val="0"/>
                <w:iCs w:val="0"/>
                <w:color w:val="000000"/>
                <w:sz w:val="22"/>
                <w:szCs w:val="22"/>
                <w:u w:val="none"/>
              </w:rPr>
            </w:pPr>
          </w:p>
        </w:tc>
      </w:tr>
      <w:tr w14:paraId="6AD9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908B2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6F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16EB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54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FA8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9B7998">
            <w:pPr>
              <w:jc w:val="right"/>
              <w:rPr>
                <w:rFonts w:hint="eastAsia" w:ascii="宋体" w:hAnsi="宋体" w:eastAsia="宋体" w:cs="宋体"/>
                <w:i w:val="0"/>
                <w:iCs w:val="0"/>
                <w:color w:val="000000"/>
                <w:sz w:val="22"/>
                <w:szCs w:val="22"/>
                <w:u w:val="none"/>
              </w:rPr>
            </w:pPr>
          </w:p>
        </w:tc>
      </w:tr>
      <w:tr w14:paraId="548B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6F36B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C50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EBD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44D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735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C92EEF">
            <w:pPr>
              <w:jc w:val="right"/>
              <w:rPr>
                <w:rFonts w:hint="eastAsia" w:ascii="宋体" w:hAnsi="宋体" w:eastAsia="宋体" w:cs="宋体"/>
                <w:i w:val="0"/>
                <w:iCs w:val="0"/>
                <w:color w:val="000000"/>
                <w:sz w:val="22"/>
                <w:szCs w:val="22"/>
                <w:u w:val="none"/>
              </w:rPr>
            </w:pPr>
          </w:p>
        </w:tc>
      </w:tr>
      <w:tr w14:paraId="5AF4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08598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D5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9299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1C3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E86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9B6A01">
            <w:pPr>
              <w:jc w:val="right"/>
              <w:rPr>
                <w:rFonts w:hint="eastAsia" w:ascii="宋体" w:hAnsi="宋体" w:eastAsia="宋体" w:cs="宋体"/>
                <w:i w:val="0"/>
                <w:iCs w:val="0"/>
                <w:color w:val="000000"/>
                <w:sz w:val="22"/>
                <w:szCs w:val="22"/>
                <w:u w:val="none"/>
              </w:rPr>
            </w:pPr>
          </w:p>
        </w:tc>
      </w:tr>
      <w:tr w14:paraId="0279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1D5CB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DD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0E81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A4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CFA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71D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315.72</w:t>
            </w:r>
          </w:p>
        </w:tc>
      </w:tr>
      <w:tr w14:paraId="3AC5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8EE7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0F1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7EA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DCB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69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4B3D1">
            <w:pPr>
              <w:jc w:val="right"/>
              <w:rPr>
                <w:rFonts w:hint="eastAsia" w:ascii="宋体" w:hAnsi="宋体" w:eastAsia="宋体" w:cs="宋体"/>
                <w:i w:val="0"/>
                <w:iCs w:val="0"/>
                <w:color w:val="000000"/>
                <w:sz w:val="22"/>
                <w:szCs w:val="22"/>
                <w:u w:val="none"/>
              </w:rPr>
            </w:pPr>
          </w:p>
        </w:tc>
      </w:tr>
      <w:tr w14:paraId="053A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CDFC6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00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55F0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D09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1C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4C801">
            <w:pPr>
              <w:jc w:val="right"/>
              <w:rPr>
                <w:rFonts w:hint="eastAsia" w:ascii="宋体" w:hAnsi="宋体" w:eastAsia="宋体" w:cs="宋体"/>
                <w:i w:val="0"/>
                <w:iCs w:val="0"/>
                <w:color w:val="000000"/>
                <w:sz w:val="22"/>
                <w:szCs w:val="22"/>
                <w:u w:val="none"/>
              </w:rPr>
            </w:pPr>
          </w:p>
        </w:tc>
      </w:tr>
      <w:tr w14:paraId="79AE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AD133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EE6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ABF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DCB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A57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DF01F">
            <w:pPr>
              <w:jc w:val="right"/>
              <w:rPr>
                <w:rFonts w:hint="eastAsia" w:ascii="宋体" w:hAnsi="宋体" w:eastAsia="宋体" w:cs="宋体"/>
                <w:i w:val="0"/>
                <w:iCs w:val="0"/>
                <w:color w:val="000000"/>
                <w:sz w:val="22"/>
                <w:szCs w:val="22"/>
                <w:u w:val="none"/>
              </w:rPr>
            </w:pPr>
          </w:p>
        </w:tc>
      </w:tr>
      <w:tr w14:paraId="4339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80A29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B3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BAEB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B58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47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15C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r w14:paraId="1A8F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2AD92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5AF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264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011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853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4E4F1">
            <w:pPr>
              <w:jc w:val="right"/>
              <w:rPr>
                <w:rFonts w:hint="eastAsia" w:ascii="宋体" w:hAnsi="宋体" w:eastAsia="宋体" w:cs="宋体"/>
                <w:i w:val="0"/>
                <w:iCs w:val="0"/>
                <w:color w:val="000000"/>
                <w:sz w:val="22"/>
                <w:szCs w:val="22"/>
                <w:u w:val="none"/>
              </w:rPr>
            </w:pPr>
          </w:p>
        </w:tc>
      </w:tr>
      <w:tr w14:paraId="7A5A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735F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4C5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488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B6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757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AE015">
            <w:pPr>
              <w:jc w:val="right"/>
              <w:rPr>
                <w:rFonts w:hint="eastAsia" w:ascii="宋体" w:hAnsi="宋体" w:eastAsia="宋体" w:cs="宋体"/>
                <w:i w:val="0"/>
                <w:iCs w:val="0"/>
                <w:color w:val="000000"/>
                <w:sz w:val="22"/>
                <w:szCs w:val="22"/>
                <w:u w:val="none"/>
              </w:rPr>
            </w:pPr>
          </w:p>
        </w:tc>
      </w:tr>
      <w:tr w14:paraId="265F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A3113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2AC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7E9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C40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DB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FC310">
            <w:pPr>
              <w:jc w:val="right"/>
              <w:rPr>
                <w:rFonts w:hint="eastAsia" w:ascii="宋体" w:hAnsi="宋体" w:eastAsia="宋体" w:cs="宋体"/>
                <w:i w:val="0"/>
                <w:iCs w:val="0"/>
                <w:color w:val="000000"/>
                <w:sz w:val="22"/>
                <w:szCs w:val="22"/>
                <w:u w:val="none"/>
              </w:rPr>
            </w:pPr>
          </w:p>
        </w:tc>
      </w:tr>
      <w:tr w14:paraId="3570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8A77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D9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4F1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04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45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28ADA">
            <w:pPr>
              <w:jc w:val="right"/>
              <w:rPr>
                <w:rFonts w:hint="eastAsia" w:ascii="宋体" w:hAnsi="宋体" w:eastAsia="宋体" w:cs="宋体"/>
                <w:i w:val="0"/>
                <w:iCs w:val="0"/>
                <w:color w:val="000000"/>
                <w:sz w:val="22"/>
                <w:szCs w:val="22"/>
                <w:u w:val="none"/>
              </w:rPr>
            </w:pPr>
          </w:p>
        </w:tc>
      </w:tr>
      <w:tr w14:paraId="08C9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CE8D9C">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DC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98B37E">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94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19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DE6712">
            <w:pPr>
              <w:jc w:val="right"/>
              <w:rPr>
                <w:rFonts w:hint="eastAsia" w:ascii="宋体" w:hAnsi="宋体" w:eastAsia="宋体" w:cs="宋体"/>
                <w:i w:val="0"/>
                <w:iCs w:val="0"/>
                <w:color w:val="000000"/>
                <w:sz w:val="22"/>
                <w:szCs w:val="22"/>
                <w:u w:val="none"/>
              </w:rPr>
            </w:pPr>
          </w:p>
        </w:tc>
      </w:tr>
      <w:tr w14:paraId="5C10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AC02CB">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CD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7BE2B1">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583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2A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67D4A7">
            <w:pPr>
              <w:jc w:val="right"/>
              <w:rPr>
                <w:rFonts w:hint="eastAsia" w:ascii="宋体" w:hAnsi="宋体" w:eastAsia="宋体" w:cs="宋体"/>
                <w:i w:val="0"/>
                <w:iCs w:val="0"/>
                <w:color w:val="000000"/>
                <w:sz w:val="22"/>
                <w:szCs w:val="22"/>
                <w:u w:val="none"/>
              </w:rPr>
            </w:pPr>
          </w:p>
        </w:tc>
      </w:tr>
      <w:tr w14:paraId="7588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A7F61">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CB1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809509">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BEC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384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0B7C8">
            <w:pPr>
              <w:jc w:val="right"/>
              <w:rPr>
                <w:rFonts w:hint="eastAsia" w:ascii="宋体" w:hAnsi="宋体" w:eastAsia="宋体" w:cs="宋体"/>
                <w:i w:val="0"/>
                <w:iCs w:val="0"/>
                <w:color w:val="000000"/>
                <w:sz w:val="22"/>
                <w:szCs w:val="22"/>
                <w:u w:val="none"/>
              </w:rPr>
            </w:pPr>
          </w:p>
        </w:tc>
      </w:tr>
      <w:tr w14:paraId="15322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FA7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22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C621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64A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BC2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BF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r>
      <w:tr w14:paraId="0897F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BC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AB1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A98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A80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89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6C4AC4">
            <w:pPr>
              <w:jc w:val="right"/>
              <w:rPr>
                <w:rFonts w:hint="eastAsia" w:ascii="宋体" w:hAnsi="宋体" w:eastAsia="宋体" w:cs="宋体"/>
                <w:i w:val="0"/>
                <w:iCs w:val="0"/>
                <w:color w:val="000000"/>
                <w:sz w:val="22"/>
                <w:szCs w:val="22"/>
                <w:u w:val="none"/>
              </w:rPr>
            </w:pPr>
          </w:p>
        </w:tc>
      </w:tr>
      <w:tr w14:paraId="328C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01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43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70E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EF7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D81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689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AA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390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481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E2D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D776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04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69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r>
      <w:tr w14:paraId="3ED2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6"/>
            <w:tcBorders>
              <w:top w:val="single" w:color="000000" w:themeColor="text1" w:sz="4" w:space="0"/>
              <w:left w:val="nil"/>
              <w:bottom w:val="nil"/>
              <w:right w:val="nil"/>
            </w:tcBorders>
            <w:shd w:val="clear" w:color="auto" w:fill="auto"/>
            <w:noWrap/>
            <w:vAlign w:val="center"/>
          </w:tcPr>
          <w:p w14:paraId="76E58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2076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nil"/>
              <w:left w:val="nil"/>
              <w:bottom w:val="nil"/>
              <w:right w:val="nil"/>
            </w:tcBorders>
            <w:shd w:val="clear" w:color="auto" w:fill="auto"/>
            <w:noWrap/>
            <w:vAlign w:val="center"/>
          </w:tcPr>
          <w:p w14:paraId="3E976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614AB214">
      <w:pPr>
        <w:widowControl/>
        <w:spacing w:afterLines="50"/>
        <w:jc w:val="center"/>
        <w:textAlignment w:val="center"/>
        <w:rPr>
          <w:rFonts w:ascii="Times New Roman" w:hAnsi="Times New Roman" w:eastAsia="黑体" w:cs="Times New Roman"/>
          <w:color w:val="000000"/>
          <w:kern w:val="0"/>
          <w:sz w:val="36"/>
          <w:szCs w:val="36"/>
        </w:rPr>
      </w:pPr>
    </w:p>
    <w:p w14:paraId="127D235E">
      <w:pPr>
        <w:widowControl/>
        <w:spacing w:afterLines="50"/>
        <w:jc w:val="center"/>
        <w:textAlignment w:val="center"/>
        <w:rPr>
          <w:rFonts w:ascii="Times New Roman" w:hAnsi="Times New Roman" w:eastAsia="黑体" w:cs="Times New Roman"/>
          <w:color w:val="000000"/>
          <w:kern w:val="0"/>
          <w:sz w:val="36"/>
          <w:szCs w:val="36"/>
        </w:rPr>
      </w:pPr>
    </w:p>
    <w:p w14:paraId="4F0C56A7">
      <w:pPr>
        <w:widowControl/>
        <w:spacing w:afterLines="50"/>
        <w:jc w:val="center"/>
        <w:textAlignment w:val="center"/>
        <w:rPr>
          <w:rFonts w:ascii="Times New Roman" w:hAnsi="Times New Roman" w:eastAsia="黑体" w:cs="Times New Roman"/>
          <w:color w:val="000000"/>
          <w:kern w:val="0"/>
          <w:sz w:val="36"/>
          <w:szCs w:val="36"/>
        </w:rPr>
      </w:pPr>
    </w:p>
    <w:p w14:paraId="015987CB">
      <w:pPr>
        <w:widowControl/>
        <w:spacing w:afterLines="50"/>
        <w:jc w:val="center"/>
        <w:textAlignment w:val="center"/>
        <w:rPr>
          <w:rFonts w:ascii="Times New Roman" w:hAnsi="Times New Roman" w:eastAsia="黑体" w:cs="Times New Roman"/>
          <w:color w:val="000000"/>
          <w:kern w:val="0"/>
          <w:sz w:val="36"/>
          <w:szCs w:val="36"/>
        </w:rPr>
      </w:pPr>
    </w:p>
    <w:p w14:paraId="4F2F7FA1">
      <w:pPr>
        <w:widowControl/>
        <w:spacing w:afterLines="50"/>
        <w:jc w:val="center"/>
        <w:textAlignment w:val="center"/>
        <w:rPr>
          <w:rFonts w:ascii="Times New Roman" w:hAnsi="Times New Roman" w:eastAsia="黑体" w:cs="Times New Roman"/>
          <w:color w:val="000000"/>
          <w:kern w:val="0"/>
          <w:sz w:val="36"/>
          <w:szCs w:val="36"/>
        </w:rPr>
      </w:pPr>
    </w:p>
    <w:p w14:paraId="253D65D3">
      <w:pPr>
        <w:widowControl/>
        <w:spacing w:afterLines="50"/>
        <w:jc w:val="center"/>
        <w:textAlignment w:val="center"/>
        <w:rPr>
          <w:rFonts w:ascii="Times New Roman" w:hAnsi="Times New Roman" w:eastAsia="黑体" w:cs="Times New Roman"/>
          <w:color w:val="000000"/>
          <w:kern w:val="0"/>
          <w:sz w:val="36"/>
          <w:szCs w:val="36"/>
        </w:rPr>
      </w:pPr>
    </w:p>
    <w:p w14:paraId="1D73FDEB">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47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438"/>
        <w:gridCol w:w="1361"/>
        <w:gridCol w:w="1361"/>
        <w:gridCol w:w="1230"/>
        <w:gridCol w:w="1230"/>
        <w:gridCol w:w="1230"/>
        <w:gridCol w:w="1230"/>
        <w:gridCol w:w="1918"/>
      </w:tblGrid>
      <w:tr w14:paraId="550D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790" w:type="dxa"/>
            <w:gridSpan w:val="11"/>
            <w:tcBorders>
              <w:top w:val="nil"/>
              <w:left w:val="nil"/>
              <w:bottom w:val="nil"/>
              <w:right w:val="nil"/>
            </w:tcBorders>
            <w:shd w:val="clear" w:color="auto" w:fill="auto"/>
            <w:noWrap/>
            <w:vAlign w:val="center"/>
          </w:tcPr>
          <w:p w14:paraId="529D14A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4711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9C277C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DC0AE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50FFD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9C288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7837C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C150B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9037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3494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E87E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25472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B9521C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27F1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47BA5CB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部门：溆浦县商业企业改制服务办公室</w:t>
            </w:r>
          </w:p>
        </w:tc>
        <w:tc>
          <w:tcPr>
            <w:tcW w:w="0" w:type="auto"/>
            <w:tcBorders>
              <w:top w:val="nil"/>
              <w:left w:val="nil"/>
              <w:bottom w:val="single" w:color="000000" w:themeColor="text1" w:sz="4" w:space="0"/>
              <w:right w:val="nil"/>
            </w:tcBorders>
            <w:shd w:val="clear" w:color="auto" w:fill="auto"/>
            <w:noWrap/>
            <w:vAlign w:val="center"/>
          </w:tcPr>
          <w:p w14:paraId="1279946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CA495E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FBFA64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B5EC58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514495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B74D11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5B11B79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13A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75C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D10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E0CD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B81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E4D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E2B5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ADE9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CD9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132E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B31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777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8A8407">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047090">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C27B31C">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6D9EC6">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F7BAF5">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DFD67CC">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96123C">
            <w:pPr>
              <w:jc w:val="center"/>
              <w:rPr>
                <w:rFonts w:hint="eastAsia" w:ascii="宋体" w:hAnsi="宋体" w:eastAsia="宋体" w:cs="宋体"/>
                <w:i w:val="0"/>
                <w:iCs w:val="0"/>
                <w:color w:val="000000"/>
                <w:sz w:val="22"/>
                <w:szCs w:val="22"/>
                <w:u w:val="none"/>
              </w:rPr>
            </w:pPr>
          </w:p>
        </w:tc>
      </w:tr>
      <w:tr w14:paraId="5110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E5B81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975536">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CCD257">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02E205">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5CAF44C">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7CD089">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058CAF3">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A00FE1">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75A44D">
            <w:pPr>
              <w:jc w:val="center"/>
              <w:rPr>
                <w:rFonts w:hint="eastAsia" w:ascii="宋体" w:hAnsi="宋体" w:eastAsia="宋体" w:cs="宋体"/>
                <w:i w:val="0"/>
                <w:iCs w:val="0"/>
                <w:color w:val="000000"/>
                <w:sz w:val="22"/>
                <w:szCs w:val="22"/>
                <w:u w:val="none"/>
              </w:rPr>
            </w:pPr>
          </w:p>
        </w:tc>
      </w:tr>
      <w:tr w14:paraId="2744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CD8499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B1DD1C">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B78EF7">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CA334A">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F2CAA61">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743C4D">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0B4C01">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29752C">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C616A6">
            <w:pPr>
              <w:jc w:val="center"/>
              <w:rPr>
                <w:rFonts w:hint="eastAsia" w:ascii="宋体" w:hAnsi="宋体" w:eastAsia="宋体" w:cs="宋体"/>
                <w:i w:val="0"/>
                <w:iCs w:val="0"/>
                <w:color w:val="000000"/>
                <w:sz w:val="22"/>
                <w:szCs w:val="22"/>
                <w:u w:val="none"/>
              </w:rPr>
            </w:pPr>
          </w:p>
        </w:tc>
      </w:tr>
      <w:tr w14:paraId="2020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CA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F49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63F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9A47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EC0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49B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D70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C1E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89D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AF3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A4A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325.97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278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325.97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3F8C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C39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20A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746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CD28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8F5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61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ADD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90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141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F4D3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4A18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946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AD97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E7A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46D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645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D3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FAB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84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7C7D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A3C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56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C1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A0C8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DA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6F3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4D5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781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A54A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EA2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01F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0C0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07C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671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30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9F6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35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891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6F11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16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926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60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F09D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536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3B1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D3D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008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7C8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2D04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B65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0E3F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09E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E29E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5346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8A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8A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456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D7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578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82A1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A7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5C3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E186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166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2F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A5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D5D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6103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8E1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C7E4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0BFE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91C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2C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527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FE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0FF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46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8281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F96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16E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9A7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2A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0A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E0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FF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ABC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CB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B83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7F4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857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64E6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B86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016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2E9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55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E9A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76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E56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5E9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083C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533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FCFE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8A1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47B4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84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390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E65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B8B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D4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2FB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11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FEBE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C8C7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F66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E6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46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645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7C4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8F7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B3C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F9F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B63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9D2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4D28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3C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14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F9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AAD4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8A49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3D8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92C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1515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8C4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77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52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42B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EC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C2C0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9816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CCA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AB68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1D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6D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2B1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48F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09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6F8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2985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E643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1888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D8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91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EED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B1CE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C7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11"/>
            <w:tcBorders>
              <w:top w:val="single" w:color="000000" w:themeColor="text1" w:sz="4" w:space="0"/>
              <w:left w:val="nil"/>
              <w:bottom w:val="nil"/>
              <w:right w:val="nil"/>
            </w:tcBorders>
            <w:shd w:val="clear" w:color="auto" w:fill="auto"/>
            <w:noWrap/>
            <w:vAlign w:val="center"/>
          </w:tcPr>
          <w:p w14:paraId="68AC7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38958BF4">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3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459"/>
        <w:gridCol w:w="1377"/>
        <w:gridCol w:w="1377"/>
        <w:gridCol w:w="1310"/>
        <w:gridCol w:w="1111"/>
        <w:gridCol w:w="1111"/>
        <w:gridCol w:w="1930"/>
      </w:tblGrid>
      <w:tr w14:paraId="1518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470" w:type="dxa"/>
            <w:gridSpan w:val="10"/>
            <w:tcBorders>
              <w:top w:val="nil"/>
              <w:left w:val="nil"/>
              <w:bottom w:val="nil"/>
              <w:right w:val="nil"/>
            </w:tcBorders>
            <w:shd w:val="clear" w:color="auto" w:fill="auto"/>
            <w:noWrap/>
            <w:vAlign w:val="center"/>
          </w:tcPr>
          <w:p w14:paraId="78031C0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31D2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1166D89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AF713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E4611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5DF38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BE5B1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ECD9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CFB1E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F5166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9DF90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1D2288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7FC7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130B802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部门：溆浦县商业企业改制服务办公室</w:t>
            </w:r>
          </w:p>
        </w:tc>
        <w:tc>
          <w:tcPr>
            <w:tcW w:w="0" w:type="auto"/>
            <w:tcBorders>
              <w:top w:val="nil"/>
              <w:left w:val="nil"/>
              <w:bottom w:val="single" w:color="000000" w:themeColor="text1" w:sz="4" w:space="0"/>
              <w:right w:val="nil"/>
            </w:tcBorders>
            <w:shd w:val="clear" w:color="auto" w:fill="auto"/>
            <w:noWrap/>
            <w:vAlign w:val="center"/>
          </w:tcPr>
          <w:p w14:paraId="3737974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B83B13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B7EBCE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2F3A2E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03C587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22EDBD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B45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C10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126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54B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933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2D3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3E5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2EA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5191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DF0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6DB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F05C66">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F06D9D">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01E4868">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E26CFE">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A9FD0E">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919F52">
            <w:pPr>
              <w:jc w:val="center"/>
              <w:rPr>
                <w:rFonts w:hint="eastAsia" w:ascii="宋体" w:hAnsi="宋体" w:eastAsia="宋体" w:cs="宋体"/>
                <w:i w:val="0"/>
                <w:iCs w:val="0"/>
                <w:color w:val="000000"/>
                <w:sz w:val="22"/>
                <w:szCs w:val="22"/>
                <w:u w:val="none"/>
              </w:rPr>
            </w:pPr>
          </w:p>
        </w:tc>
      </w:tr>
      <w:tr w14:paraId="086A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D9F85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99A89C">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4F388B">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349954">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111497">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CB1376">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585AC5">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20C742">
            <w:pPr>
              <w:jc w:val="center"/>
              <w:rPr>
                <w:rFonts w:hint="eastAsia" w:ascii="宋体" w:hAnsi="宋体" w:eastAsia="宋体" w:cs="宋体"/>
                <w:i w:val="0"/>
                <w:iCs w:val="0"/>
                <w:color w:val="000000"/>
                <w:sz w:val="22"/>
                <w:szCs w:val="22"/>
                <w:u w:val="none"/>
              </w:rPr>
            </w:pPr>
          </w:p>
        </w:tc>
      </w:tr>
      <w:tr w14:paraId="25F8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AE978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6A2A2D">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5F2DE7">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9258EAF">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0DE622">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F01978">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40D78C">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C99F8FD">
            <w:pPr>
              <w:jc w:val="center"/>
              <w:rPr>
                <w:rFonts w:hint="eastAsia" w:ascii="宋体" w:hAnsi="宋体" w:eastAsia="宋体" w:cs="宋体"/>
                <w:i w:val="0"/>
                <w:iCs w:val="0"/>
                <w:color w:val="000000"/>
                <w:sz w:val="22"/>
                <w:szCs w:val="22"/>
                <w:u w:val="none"/>
              </w:rPr>
            </w:pPr>
          </w:p>
        </w:tc>
      </w:tr>
      <w:tr w14:paraId="6404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2B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25B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B00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2D4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13D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484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CD0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A64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F6A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F73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325.97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FBA3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F17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383B81">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544F8D">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FADDB4">
            <w:pPr>
              <w:jc w:val="right"/>
              <w:rPr>
                <w:rFonts w:hint="eastAsia" w:ascii="宋体" w:hAnsi="宋体" w:eastAsia="宋体" w:cs="宋体"/>
                <w:b/>
                <w:bCs/>
                <w:i w:val="0"/>
                <w:iCs w:val="0"/>
                <w:color w:val="000000"/>
                <w:sz w:val="22"/>
                <w:szCs w:val="22"/>
                <w:u w:val="none"/>
              </w:rPr>
            </w:pPr>
          </w:p>
        </w:tc>
      </w:tr>
      <w:tr w14:paraId="41E8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634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2C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632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CA24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9FE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904E7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653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08983">
            <w:pPr>
              <w:jc w:val="right"/>
              <w:rPr>
                <w:rFonts w:hint="eastAsia" w:ascii="宋体" w:hAnsi="宋体" w:eastAsia="宋体" w:cs="宋体"/>
                <w:i w:val="0"/>
                <w:iCs w:val="0"/>
                <w:color w:val="000000"/>
                <w:sz w:val="22"/>
                <w:szCs w:val="22"/>
                <w:u w:val="none"/>
              </w:rPr>
            </w:pPr>
          </w:p>
        </w:tc>
      </w:tr>
      <w:tr w14:paraId="46E45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7B0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BD4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0E4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99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849C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0940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AB9C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16C9E7">
            <w:pPr>
              <w:jc w:val="right"/>
              <w:rPr>
                <w:rFonts w:hint="eastAsia" w:ascii="宋体" w:hAnsi="宋体" w:eastAsia="宋体" w:cs="宋体"/>
                <w:i w:val="0"/>
                <w:iCs w:val="0"/>
                <w:color w:val="000000"/>
                <w:sz w:val="22"/>
                <w:szCs w:val="22"/>
                <w:u w:val="none"/>
              </w:rPr>
            </w:pPr>
          </w:p>
        </w:tc>
      </w:tr>
      <w:tr w14:paraId="4EDE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744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E09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44BF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0B0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279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3CBC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2B5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B7A773">
            <w:pPr>
              <w:jc w:val="right"/>
              <w:rPr>
                <w:rFonts w:hint="eastAsia" w:ascii="宋体" w:hAnsi="宋体" w:eastAsia="宋体" w:cs="宋体"/>
                <w:i w:val="0"/>
                <w:iCs w:val="0"/>
                <w:color w:val="000000"/>
                <w:sz w:val="22"/>
                <w:szCs w:val="22"/>
                <w:u w:val="none"/>
              </w:rPr>
            </w:pPr>
          </w:p>
        </w:tc>
      </w:tr>
      <w:tr w14:paraId="752E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83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D3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972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C8ED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F2A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52C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451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13EC0C">
            <w:pPr>
              <w:jc w:val="right"/>
              <w:rPr>
                <w:rFonts w:hint="eastAsia" w:ascii="宋体" w:hAnsi="宋体" w:eastAsia="宋体" w:cs="宋体"/>
                <w:i w:val="0"/>
                <w:iCs w:val="0"/>
                <w:color w:val="000000"/>
                <w:sz w:val="22"/>
                <w:szCs w:val="22"/>
                <w:u w:val="none"/>
              </w:rPr>
            </w:pPr>
          </w:p>
        </w:tc>
      </w:tr>
      <w:tr w14:paraId="0996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343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A17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BCFF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9491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A74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01DA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E70B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8EC89">
            <w:pPr>
              <w:jc w:val="right"/>
              <w:rPr>
                <w:rFonts w:hint="eastAsia" w:ascii="宋体" w:hAnsi="宋体" w:eastAsia="宋体" w:cs="宋体"/>
                <w:i w:val="0"/>
                <w:iCs w:val="0"/>
                <w:color w:val="000000"/>
                <w:sz w:val="22"/>
                <w:szCs w:val="22"/>
                <w:u w:val="none"/>
              </w:rPr>
            </w:pPr>
          </w:p>
        </w:tc>
      </w:tr>
      <w:tr w14:paraId="5037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E15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07A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94BD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0072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5E0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0AF2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8044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CDFC7D">
            <w:pPr>
              <w:jc w:val="right"/>
              <w:rPr>
                <w:rFonts w:hint="eastAsia" w:ascii="宋体" w:hAnsi="宋体" w:eastAsia="宋体" w:cs="宋体"/>
                <w:i w:val="0"/>
                <w:iCs w:val="0"/>
                <w:color w:val="000000"/>
                <w:sz w:val="22"/>
                <w:szCs w:val="22"/>
                <w:u w:val="none"/>
              </w:rPr>
            </w:pPr>
          </w:p>
        </w:tc>
      </w:tr>
      <w:tr w14:paraId="58D0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5A9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6F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8EA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34B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6801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2778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E5F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49734">
            <w:pPr>
              <w:jc w:val="right"/>
              <w:rPr>
                <w:rFonts w:hint="eastAsia" w:ascii="宋体" w:hAnsi="宋体" w:eastAsia="宋体" w:cs="宋体"/>
                <w:i w:val="0"/>
                <w:iCs w:val="0"/>
                <w:color w:val="000000"/>
                <w:sz w:val="22"/>
                <w:szCs w:val="22"/>
                <w:u w:val="none"/>
              </w:rPr>
            </w:pPr>
          </w:p>
        </w:tc>
      </w:tr>
      <w:tr w14:paraId="170F5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21B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82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B32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5D4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F750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4C1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A2F0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4BC403">
            <w:pPr>
              <w:jc w:val="right"/>
              <w:rPr>
                <w:rFonts w:hint="eastAsia" w:ascii="宋体" w:hAnsi="宋体" w:eastAsia="宋体" w:cs="宋体"/>
                <w:i w:val="0"/>
                <w:iCs w:val="0"/>
                <w:color w:val="000000"/>
                <w:sz w:val="22"/>
                <w:szCs w:val="22"/>
                <w:u w:val="none"/>
              </w:rPr>
            </w:pPr>
          </w:p>
        </w:tc>
      </w:tr>
      <w:tr w14:paraId="6097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F85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1C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CEA6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9A98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C8AD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8024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454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934E81">
            <w:pPr>
              <w:jc w:val="right"/>
              <w:rPr>
                <w:rFonts w:hint="eastAsia" w:ascii="宋体" w:hAnsi="宋体" w:eastAsia="宋体" w:cs="宋体"/>
                <w:i w:val="0"/>
                <w:iCs w:val="0"/>
                <w:color w:val="000000"/>
                <w:sz w:val="22"/>
                <w:szCs w:val="22"/>
                <w:u w:val="none"/>
              </w:rPr>
            </w:pPr>
          </w:p>
        </w:tc>
      </w:tr>
      <w:tr w14:paraId="29CF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64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859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FE4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3413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EC4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497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6051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6FD80">
            <w:pPr>
              <w:jc w:val="right"/>
              <w:rPr>
                <w:rFonts w:hint="eastAsia" w:ascii="宋体" w:hAnsi="宋体" w:eastAsia="宋体" w:cs="宋体"/>
                <w:i w:val="0"/>
                <w:iCs w:val="0"/>
                <w:color w:val="000000"/>
                <w:sz w:val="22"/>
                <w:szCs w:val="22"/>
                <w:u w:val="none"/>
              </w:rPr>
            </w:pPr>
          </w:p>
        </w:tc>
      </w:tr>
      <w:tr w14:paraId="2069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E44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E0D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ABC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F407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4DFC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0C2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F478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3D1BC6">
            <w:pPr>
              <w:jc w:val="right"/>
              <w:rPr>
                <w:rFonts w:hint="eastAsia" w:ascii="宋体" w:hAnsi="宋体" w:eastAsia="宋体" w:cs="宋体"/>
                <w:i w:val="0"/>
                <w:iCs w:val="0"/>
                <w:color w:val="000000"/>
                <w:sz w:val="22"/>
                <w:szCs w:val="22"/>
                <w:u w:val="none"/>
              </w:rPr>
            </w:pPr>
          </w:p>
        </w:tc>
      </w:tr>
      <w:tr w14:paraId="447A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765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A18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AC06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93C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D98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6A8B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302A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1B952">
            <w:pPr>
              <w:jc w:val="right"/>
              <w:rPr>
                <w:rFonts w:hint="eastAsia" w:ascii="宋体" w:hAnsi="宋体" w:eastAsia="宋体" w:cs="宋体"/>
                <w:i w:val="0"/>
                <w:iCs w:val="0"/>
                <w:color w:val="000000"/>
                <w:sz w:val="22"/>
                <w:szCs w:val="22"/>
                <w:u w:val="none"/>
              </w:rPr>
            </w:pPr>
          </w:p>
        </w:tc>
      </w:tr>
      <w:tr w14:paraId="4867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CC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671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7F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D4F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E01C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36F0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1F7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EF5D3">
            <w:pPr>
              <w:jc w:val="right"/>
              <w:rPr>
                <w:rFonts w:hint="eastAsia" w:ascii="宋体" w:hAnsi="宋体" w:eastAsia="宋体" w:cs="宋体"/>
                <w:i w:val="0"/>
                <w:iCs w:val="0"/>
                <w:color w:val="000000"/>
                <w:sz w:val="22"/>
                <w:szCs w:val="22"/>
                <w:u w:val="none"/>
              </w:rPr>
            </w:pPr>
          </w:p>
        </w:tc>
      </w:tr>
      <w:tr w14:paraId="298B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DA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CDA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BCA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15C8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4545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AE6E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AFF7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CEAEC">
            <w:pPr>
              <w:jc w:val="right"/>
              <w:rPr>
                <w:rFonts w:hint="eastAsia" w:ascii="宋体" w:hAnsi="宋体" w:eastAsia="宋体" w:cs="宋体"/>
                <w:i w:val="0"/>
                <w:iCs w:val="0"/>
                <w:color w:val="000000"/>
                <w:sz w:val="22"/>
                <w:szCs w:val="22"/>
                <w:u w:val="none"/>
              </w:rPr>
            </w:pPr>
          </w:p>
        </w:tc>
      </w:tr>
      <w:tr w14:paraId="4EC3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0BF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9E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B2CD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A13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1D8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D59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198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559A6">
            <w:pPr>
              <w:jc w:val="right"/>
              <w:rPr>
                <w:rFonts w:hint="eastAsia" w:ascii="宋体" w:hAnsi="宋体" w:eastAsia="宋体" w:cs="宋体"/>
                <w:i w:val="0"/>
                <w:iCs w:val="0"/>
                <w:color w:val="000000"/>
                <w:sz w:val="22"/>
                <w:szCs w:val="22"/>
                <w:u w:val="none"/>
              </w:rPr>
            </w:pPr>
          </w:p>
        </w:tc>
      </w:tr>
      <w:tr w14:paraId="51EA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1D211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19B0A227">
      <w:pPr>
        <w:widowControl/>
        <w:jc w:val="center"/>
        <w:textAlignment w:val="center"/>
        <w:rPr>
          <w:rFonts w:ascii="Times New Roman" w:hAnsi="Times New Roman" w:eastAsia="黑体" w:cs="Times New Roman"/>
          <w:color w:val="000000"/>
          <w:kern w:val="0"/>
          <w:sz w:val="32"/>
          <w:szCs w:val="32"/>
        </w:rPr>
      </w:pPr>
    </w:p>
    <w:p w14:paraId="7C73DFA0">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48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30"/>
        <w:gridCol w:w="570"/>
        <w:gridCol w:w="1328"/>
        <w:gridCol w:w="3951"/>
        <w:gridCol w:w="570"/>
        <w:gridCol w:w="965"/>
        <w:gridCol w:w="1328"/>
        <w:gridCol w:w="1076"/>
        <w:gridCol w:w="1779"/>
      </w:tblGrid>
      <w:tr w14:paraId="039E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895" w:type="dxa"/>
            <w:gridSpan w:val="9"/>
            <w:tcBorders>
              <w:top w:val="nil"/>
              <w:left w:val="nil"/>
              <w:bottom w:val="nil"/>
              <w:right w:val="nil"/>
            </w:tcBorders>
            <w:shd w:val="clear" w:color="auto" w:fill="auto"/>
            <w:noWrap/>
            <w:vAlign w:val="center"/>
          </w:tcPr>
          <w:p w14:paraId="183C47B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356C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744875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DE51C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78F1B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AD7F1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9F6D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306A6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E6D6C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DBC8F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E00B75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3781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0EBC165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部门：溆浦县商业企业改制服务办公室</w:t>
            </w:r>
          </w:p>
        </w:tc>
        <w:tc>
          <w:tcPr>
            <w:tcW w:w="0" w:type="auto"/>
            <w:tcBorders>
              <w:top w:val="nil"/>
              <w:left w:val="nil"/>
              <w:bottom w:val="single" w:color="000000" w:themeColor="text1" w:sz="4" w:space="0"/>
              <w:right w:val="nil"/>
            </w:tcBorders>
            <w:shd w:val="clear" w:color="auto" w:fill="auto"/>
            <w:noWrap/>
            <w:vAlign w:val="center"/>
          </w:tcPr>
          <w:p w14:paraId="59827CA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E9A303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DEE5FE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FC3AD5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456213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E8045A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D25A6F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8DF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0CC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80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0576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B85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E06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F0C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384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526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6D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DB1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A2E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CAD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3622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5AA407">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B95DAD">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A9852A">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D2A16C">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CA094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8CCD4">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3F7D24">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A9A90A">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643E49">
            <w:pPr>
              <w:jc w:val="center"/>
              <w:rPr>
                <w:rFonts w:hint="eastAsia" w:ascii="宋体" w:hAnsi="宋体" w:eastAsia="宋体" w:cs="宋体"/>
                <w:i w:val="0"/>
                <w:iCs w:val="0"/>
                <w:color w:val="000000"/>
                <w:sz w:val="22"/>
                <w:szCs w:val="22"/>
                <w:u w:val="none"/>
              </w:rPr>
            </w:pPr>
          </w:p>
        </w:tc>
      </w:tr>
      <w:tr w14:paraId="5A24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110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191064">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73D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CD3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CE9E5A">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B46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7AB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1BC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566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D48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C15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23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C997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D08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01E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D1B1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5DE1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0470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FD8A63">
            <w:pPr>
              <w:jc w:val="right"/>
              <w:rPr>
                <w:rFonts w:hint="eastAsia" w:ascii="宋体" w:hAnsi="宋体" w:eastAsia="宋体" w:cs="宋体"/>
                <w:i w:val="0"/>
                <w:iCs w:val="0"/>
                <w:color w:val="000000"/>
                <w:sz w:val="22"/>
                <w:szCs w:val="22"/>
                <w:u w:val="none"/>
              </w:rPr>
            </w:pPr>
          </w:p>
        </w:tc>
      </w:tr>
      <w:tr w14:paraId="1F3D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E9E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B0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DDED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37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654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B11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87F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0936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EB4E4">
            <w:pPr>
              <w:jc w:val="right"/>
              <w:rPr>
                <w:rFonts w:hint="eastAsia" w:ascii="宋体" w:hAnsi="宋体" w:eastAsia="宋体" w:cs="宋体"/>
                <w:i w:val="0"/>
                <w:iCs w:val="0"/>
                <w:color w:val="000000"/>
                <w:sz w:val="22"/>
                <w:szCs w:val="22"/>
                <w:u w:val="none"/>
              </w:rPr>
            </w:pPr>
          </w:p>
        </w:tc>
      </w:tr>
      <w:tr w14:paraId="2457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1BD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127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F18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43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AC4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019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3B15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EBD0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7F6498">
            <w:pPr>
              <w:jc w:val="right"/>
              <w:rPr>
                <w:rFonts w:hint="eastAsia" w:ascii="宋体" w:hAnsi="宋体" w:eastAsia="宋体" w:cs="宋体"/>
                <w:i w:val="0"/>
                <w:iCs w:val="0"/>
                <w:color w:val="000000"/>
                <w:sz w:val="22"/>
                <w:szCs w:val="22"/>
                <w:u w:val="none"/>
              </w:rPr>
            </w:pPr>
          </w:p>
        </w:tc>
      </w:tr>
      <w:tr w14:paraId="727F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4CE9E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F2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BB4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A3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508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A840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33E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8BE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27A49">
            <w:pPr>
              <w:jc w:val="right"/>
              <w:rPr>
                <w:rFonts w:hint="eastAsia" w:ascii="宋体" w:hAnsi="宋体" w:eastAsia="宋体" w:cs="宋体"/>
                <w:i w:val="0"/>
                <w:iCs w:val="0"/>
                <w:color w:val="000000"/>
                <w:sz w:val="22"/>
                <w:szCs w:val="22"/>
                <w:u w:val="none"/>
              </w:rPr>
            </w:pPr>
          </w:p>
        </w:tc>
      </w:tr>
      <w:tr w14:paraId="087D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297B8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B7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86E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1B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835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FD05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43A8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2401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ED58F1">
            <w:pPr>
              <w:jc w:val="right"/>
              <w:rPr>
                <w:rFonts w:hint="eastAsia" w:ascii="宋体" w:hAnsi="宋体" w:eastAsia="宋体" w:cs="宋体"/>
                <w:i w:val="0"/>
                <w:iCs w:val="0"/>
                <w:color w:val="000000"/>
                <w:sz w:val="22"/>
                <w:szCs w:val="22"/>
                <w:u w:val="none"/>
              </w:rPr>
            </w:pPr>
          </w:p>
        </w:tc>
      </w:tr>
      <w:tr w14:paraId="5E4CF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DD36A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E71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C605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8C8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45C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642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8AB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BFE2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A8BA09">
            <w:pPr>
              <w:jc w:val="right"/>
              <w:rPr>
                <w:rFonts w:hint="eastAsia" w:ascii="宋体" w:hAnsi="宋体" w:eastAsia="宋体" w:cs="宋体"/>
                <w:i w:val="0"/>
                <w:iCs w:val="0"/>
                <w:color w:val="000000"/>
                <w:sz w:val="22"/>
                <w:szCs w:val="22"/>
                <w:u w:val="none"/>
              </w:rPr>
            </w:pPr>
          </w:p>
        </w:tc>
      </w:tr>
      <w:tr w14:paraId="614F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6E4B0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FB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12B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79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471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19D4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4AE9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5B4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D6E194">
            <w:pPr>
              <w:jc w:val="right"/>
              <w:rPr>
                <w:rFonts w:hint="eastAsia" w:ascii="宋体" w:hAnsi="宋体" w:eastAsia="宋体" w:cs="宋体"/>
                <w:i w:val="0"/>
                <w:iCs w:val="0"/>
                <w:color w:val="000000"/>
                <w:sz w:val="22"/>
                <w:szCs w:val="22"/>
                <w:u w:val="none"/>
              </w:rPr>
            </w:pPr>
          </w:p>
        </w:tc>
      </w:tr>
      <w:tr w14:paraId="5FD5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5B67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107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47B8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DE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98E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B0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96C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3CC5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8A9D7A">
            <w:pPr>
              <w:jc w:val="right"/>
              <w:rPr>
                <w:rFonts w:hint="eastAsia" w:ascii="宋体" w:hAnsi="宋体" w:eastAsia="宋体" w:cs="宋体"/>
                <w:i w:val="0"/>
                <w:iCs w:val="0"/>
                <w:color w:val="000000"/>
                <w:sz w:val="22"/>
                <w:szCs w:val="22"/>
                <w:u w:val="none"/>
              </w:rPr>
            </w:pPr>
          </w:p>
        </w:tc>
      </w:tr>
      <w:tr w14:paraId="1692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25A37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7D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111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C59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92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29C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1E3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F70C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9BE6C">
            <w:pPr>
              <w:jc w:val="right"/>
              <w:rPr>
                <w:rFonts w:hint="eastAsia" w:ascii="宋体" w:hAnsi="宋体" w:eastAsia="宋体" w:cs="宋体"/>
                <w:i w:val="0"/>
                <w:iCs w:val="0"/>
                <w:color w:val="000000"/>
                <w:sz w:val="22"/>
                <w:szCs w:val="22"/>
                <w:u w:val="none"/>
              </w:rPr>
            </w:pPr>
          </w:p>
        </w:tc>
      </w:tr>
      <w:tr w14:paraId="0B67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8B3C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3E0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DA8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DB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791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FC6C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F1A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7CD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4ACDB6">
            <w:pPr>
              <w:jc w:val="right"/>
              <w:rPr>
                <w:rFonts w:hint="eastAsia" w:ascii="宋体" w:hAnsi="宋体" w:eastAsia="宋体" w:cs="宋体"/>
                <w:i w:val="0"/>
                <w:iCs w:val="0"/>
                <w:color w:val="000000"/>
                <w:sz w:val="22"/>
                <w:szCs w:val="22"/>
                <w:u w:val="none"/>
              </w:rPr>
            </w:pPr>
          </w:p>
        </w:tc>
      </w:tr>
      <w:tr w14:paraId="7619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1D9B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6F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1B3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D6D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ABF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FDA0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D5B4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3562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43F5C2">
            <w:pPr>
              <w:jc w:val="right"/>
              <w:rPr>
                <w:rFonts w:hint="eastAsia" w:ascii="宋体" w:hAnsi="宋体" w:eastAsia="宋体" w:cs="宋体"/>
                <w:i w:val="0"/>
                <w:iCs w:val="0"/>
                <w:color w:val="000000"/>
                <w:sz w:val="22"/>
                <w:szCs w:val="22"/>
                <w:u w:val="none"/>
              </w:rPr>
            </w:pPr>
          </w:p>
        </w:tc>
      </w:tr>
      <w:tr w14:paraId="3351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FC966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12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D434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81F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C56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63F7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99FE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4F01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915478">
            <w:pPr>
              <w:jc w:val="right"/>
              <w:rPr>
                <w:rFonts w:hint="eastAsia" w:ascii="宋体" w:hAnsi="宋体" w:eastAsia="宋体" w:cs="宋体"/>
                <w:i w:val="0"/>
                <w:iCs w:val="0"/>
                <w:color w:val="000000"/>
                <w:sz w:val="22"/>
                <w:szCs w:val="22"/>
                <w:u w:val="none"/>
              </w:rPr>
            </w:pPr>
          </w:p>
        </w:tc>
      </w:tr>
      <w:tr w14:paraId="01BE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9F377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EAA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E5B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24B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B57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E2E3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C790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09F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D89417">
            <w:pPr>
              <w:jc w:val="right"/>
              <w:rPr>
                <w:rFonts w:hint="eastAsia" w:ascii="宋体" w:hAnsi="宋体" w:eastAsia="宋体" w:cs="宋体"/>
                <w:i w:val="0"/>
                <w:iCs w:val="0"/>
                <w:color w:val="000000"/>
                <w:sz w:val="22"/>
                <w:szCs w:val="22"/>
                <w:u w:val="none"/>
              </w:rPr>
            </w:pPr>
          </w:p>
        </w:tc>
      </w:tr>
      <w:tr w14:paraId="5A44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3D0E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8AF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8CD1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F3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D8F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D57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9C4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533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66C79">
            <w:pPr>
              <w:jc w:val="right"/>
              <w:rPr>
                <w:rFonts w:hint="eastAsia" w:ascii="宋体" w:hAnsi="宋体" w:eastAsia="宋体" w:cs="宋体"/>
                <w:i w:val="0"/>
                <w:iCs w:val="0"/>
                <w:color w:val="000000"/>
                <w:sz w:val="22"/>
                <w:szCs w:val="22"/>
                <w:u w:val="none"/>
              </w:rPr>
            </w:pPr>
          </w:p>
        </w:tc>
      </w:tr>
      <w:tr w14:paraId="51DE6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E460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CE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64E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3C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98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FB03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3A4C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190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E5734C">
            <w:pPr>
              <w:jc w:val="right"/>
              <w:rPr>
                <w:rFonts w:hint="eastAsia" w:ascii="宋体" w:hAnsi="宋体" w:eastAsia="宋体" w:cs="宋体"/>
                <w:i w:val="0"/>
                <w:iCs w:val="0"/>
                <w:color w:val="000000"/>
                <w:sz w:val="22"/>
                <w:szCs w:val="22"/>
                <w:u w:val="none"/>
              </w:rPr>
            </w:pPr>
          </w:p>
        </w:tc>
      </w:tr>
      <w:tr w14:paraId="21F0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232FB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4A4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8E80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81F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64F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127E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FCB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E40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CD58C">
            <w:pPr>
              <w:jc w:val="right"/>
              <w:rPr>
                <w:rFonts w:hint="eastAsia" w:ascii="宋体" w:hAnsi="宋体" w:eastAsia="宋体" w:cs="宋体"/>
                <w:i w:val="0"/>
                <w:iCs w:val="0"/>
                <w:color w:val="000000"/>
                <w:sz w:val="22"/>
                <w:szCs w:val="22"/>
                <w:u w:val="none"/>
              </w:rPr>
            </w:pPr>
          </w:p>
        </w:tc>
      </w:tr>
      <w:tr w14:paraId="2558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8AC8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15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8A12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B1E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5D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032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CB95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9E9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213BC">
            <w:pPr>
              <w:jc w:val="right"/>
              <w:rPr>
                <w:rFonts w:hint="eastAsia" w:ascii="宋体" w:hAnsi="宋体" w:eastAsia="宋体" w:cs="宋体"/>
                <w:i w:val="0"/>
                <w:iCs w:val="0"/>
                <w:color w:val="000000"/>
                <w:sz w:val="22"/>
                <w:szCs w:val="22"/>
                <w:u w:val="none"/>
              </w:rPr>
            </w:pPr>
          </w:p>
        </w:tc>
      </w:tr>
      <w:tr w14:paraId="765F9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EF8B5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4AB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141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913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543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6992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FD5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6B0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82038">
            <w:pPr>
              <w:jc w:val="right"/>
              <w:rPr>
                <w:rFonts w:hint="eastAsia" w:ascii="宋体" w:hAnsi="宋体" w:eastAsia="宋体" w:cs="宋体"/>
                <w:i w:val="0"/>
                <w:iCs w:val="0"/>
                <w:color w:val="000000"/>
                <w:sz w:val="22"/>
                <w:szCs w:val="22"/>
                <w:u w:val="none"/>
              </w:rPr>
            </w:pPr>
          </w:p>
        </w:tc>
      </w:tr>
      <w:tr w14:paraId="6368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F481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16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1C7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21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8F0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56F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B07F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1E9F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C96DD9">
            <w:pPr>
              <w:jc w:val="right"/>
              <w:rPr>
                <w:rFonts w:hint="eastAsia" w:ascii="宋体" w:hAnsi="宋体" w:eastAsia="宋体" w:cs="宋体"/>
                <w:i w:val="0"/>
                <w:iCs w:val="0"/>
                <w:color w:val="000000"/>
                <w:sz w:val="22"/>
                <w:szCs w:val="22"/>
                <w:u w:val="none"/>
              </w:rPr>
            </w:pPr>
          </w:p>
        </w:tc>
      </w:tr>
      <w:tr w14:paraId="40A0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C7AD7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447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96E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B3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5B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013B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277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8DD8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9582F">
            <w:pPr>
              <w:jc w:val="right"/>
              <w:rPr>
                <w:rFonts w:hint="eastAsia" w:ascii="宋体" w:hAnsi="宋体" w:eastAsia="宋体" w:cs="宋体"/>
                <w:i w:val="0"/>
                <w:iCs w:val="0"/>
                <w:color w:val="000000"/>
                <w:sz w:val="22"/>
                <w:szCs w:val="22"/>
                <w:u w:val="none"/>
              </w:rPr>
            </w:pPr>
          </w:p>
        </w:tc>
      </w:tr>
      <w:tr w14:paraId="4DDD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31A01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DF3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87A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9C4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90B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71E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3FC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D63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8F610">
            <w:pPr>
              <w:jc w:val="right"/>
              <w:rPr>
                <w:rFonts w:hint="eastAsia" w:ascii="宋体" w:hAnsi="宋体" w:eastAsia="宋体" w:cs="宋体"/>
                <w:i w:val="0"/>
                <w:iCs w:val="0"/>
                <w:color w:val="000000"/>
                <w:sz w:val="22"/>
                <w:szCs w:val="22"/>
                <w:u w:val="none"/>
              </w:rPr>
            </w:pPr>
          </w:p>
        </w:tc>
      </w:tr>
      <w:tr w14:paraId="5407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3318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AC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151D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4D4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68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E30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172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0D15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8B39B">
            <w:pPr>
              <w:jc w:val="right"/>
              <w:rPr>
                <w:rFonts w:hint="eastAsia" w:ascii="宋体" w:hAnsi="宋体" w:eastAsia="宋体" w:cs="宋体"/>
                <w:i w:val="0"/>
                <w:iCs w:val="0"/>
                <w:color w:val="000000"/>
                <w:sz w:val="22"/>
                <w:szCs w:val="22"/>
                <w:u w:val="none"/>
              </w:rPr>
            </w:pPr>
          </w:p>
        </w:tc>
      </w:tr>
      <w:tr w14:paraId="7024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31A9D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67C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D25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B3F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4B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15F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AD6C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81D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0CA595">
            <w:pPr>
              <w:jc w:val="right"/>
              <w:rPr>
                <w:rFonts w:hint="eastAsia" w:ascii="宋体" w:hAnsi="宋体" w:eastAsia="宋体" w:cs="宋体"/>
                <w:i w:val="0"/>
                <w:iCs w:val="0"/>
                <w:color w:val="000000"/>
                <w:sz w:val="22"/>
                <w:szCs w:val="22"/>
                <w:u w:val="none"/>
              </w:rPr>
            </w:pPr>
          </w:p>
        </w:tc>
      </w:tr>
      <w:tr w14:paraId="5415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F7B495">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AF8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D50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11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B4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AED8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EFC2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D485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E576BF">
            <w:pPr>
              <w:jc w:val="right"/>
              <w:rPr>
                <w:rFonts w:hint="eastAsia" w:ascii="宋体" w:hAnsi="宋体" w:eastAsia="宋体" w:cs="宋体"/>
                <w:i w:val="0"/>
                <w:iCs w:val="0"/>
                <w:color w:val="000000"/>
                <w:sz w:val="22"/>
                <w:szCs w:val="22"/>
                <w:u w:val="none"/>
              </w:rPr>
            </w:pPr>
          </w:p>
        </w:tc>
      </w:tr>
      <w:tr w14:paraId="252D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97ABA">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015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F904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6CA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51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1231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CB2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6512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8B5934">
            <w:pPr>
              <w:jc w:val="right"/>
              <w:rPr>
                <w:rFonts w:hint="eastAsia" w:ascii="宋体" w:hAnsi="宋体" w:eastAsia="宋体" w:cs="宋体"/>
                <w:i w:val="0"/>
                <w:iCs w:val="0"/>
                <w:color w:val="000000"/>
                <w:sz w:val="22"/>
                <w:szCs w:val="22"/>
                <w:u w:val="none"/>
              </w:rPr>
            </w:pPr>
          </w:p>
        </w:tc>
      </w:tr>
      <w:tr w14:paraId="0949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90B25">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037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AFF5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A5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A4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4F34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CDB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42D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4DB34D">
            <w:pPr>
              <w:jc w:val="right"/>
              <w:rPr>
                <w:rFonts w:hint="eastAsia" w:ascii="宋体" w:hAnsi="宋体" w:eastAsia="宋体" w:cs="宋体"/>
                <w:i w:val="0"/>
                <w:iCs w:val="0"/>
                <w:color w:val="000000"/>
                <w:sz w:val="22"/>
                <w:szCs w:val="22"/>
                <w:u w:val="none"/>
              </w:rPr>
            </w:pPr>
          </w:p>
        </w:tc>
      </w:tr>
      <w:tr w14:paraId="0AD4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EA4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DEC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741A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E3AC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A8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982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337F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B935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8FC99">
            <w:pPr>
              <w:jc w:val="right"/>
              <w:rPr>
                <w:rFonts w:hint="eastAsia" w:ascii="宋体" w:hAnsi="宋体" w:eastAsia="宋体" w:cs="宋体"/>
                <w:i w:val="0"/>
                <w:iCs w:val="0"/>
                <w:color w:val="000000"/>
                <w:sz w:val="22"/>
                <w:szCs w:val="22"/>
                <w:u w:val="none"/>
              </w:rPr>
            </w:pPr>
          </w:p>
        </w:tc>
      </w:tr>
      <w:tr w14:paraId="5BEE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666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A79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6631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291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8C2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6760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1C0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8D10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EAEF5">
            <w:pPr>
              <w:jc w:val="right"/>
              <w:rPr>
                <w:rFonts w:hint="eastAsia" w:ascii="宋体" w:hAnsi="宋体" w:eastAsia="宋体" w:cs="宋体"/>
                <w:i w:val="0"/>
                <w:iCs w:val="0"/>
                <w:color w:val="000000"/>
                <w:sz w:val="22"/>
                <w:szCs w:val="22"/>
                <w:u w:val="none"/>
              </w:rPr>
            </w:pPr>
          </w:p>
        </w:tc>
      </w:tr>
      <w:tr w14:paraId="75F5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75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C8E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8E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16A06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670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0055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9206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EF8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49AC4B">
            <w:pPr>
              <w:jc w:val="right"/>
              <w:rPr>
                <w:rFonts w:hint="eastAsia" w:ascii="宋体" w:hAnsi="宋体" w:eastAsia="宋体" w:cs="宋体"/>
                <w:i w:val="0"/>
                <w:iCs w:val="0"/>
                <w:color w:val="000000"/>
                <w:sz w:val="22"/>
                <w:szCs w:val="22"/>
                <w:u w:val="none"/>
              </w:rPr>
            </w:pPr>
          </w:p>
        </w:tc>
      </w:tr>
      <w:tr w14:paraId="6060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0E8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596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F32B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E2862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3E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7556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B3CC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365B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26590">
            <w:pPr>
              <w:jc w:val="right"/>
              <w:rPr>
                <w:rFonts w:hint="eastAsia" w:ascii="宋体" w:hAnsi="宋体" w:eastAsia="宋体" w:cs="宋体"/>
                <w:i w:val="0"/>
                <w:iCs w:val="0"/>
                <w:color w:val="000000"/>
                <w:sz w:val="22"/>
                <w:szCs w:val="22"/>
                <w:u w:val="none"/>
              </w:rPr>
            </w:pPr>
          </w:p>
        </w:tc>
      </w:tr>
      <w:tr w14:paraId="5345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56C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E64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0E33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1F3D9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43D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D7E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F3CE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FBA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54CAF8">
            <w:pPr>
              <w:jc w:val="right"/>
              <w:rPr>
                <w:rFonts w:hint="eastAsia" w:ascii="宋体" w:hAnsi="宋体" w:eastAsia="宋体" w:cs="宋体"/>
                <w:i w:val="0"/>
                <w:iCs w:val="0"/>
                <w:color w:val="000000"/>
                <w:sz w:val="22"/>
                <w:szCs w:val="22"/>
                <w:u w:val="none"/>
              </w:rPr>
            </w:pPr>
          </w:p>
        </w:tc>
      </w:tr>
      <w:tr w14:paraId="4F15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205D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56E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927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A556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0DC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33E3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14F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A972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702F7">
            <w:pPr>
              <w:jc w:val="right"/>
              <w:rPr>
                <w:rFonts w:hint="eastAsia" w:ascii="宋体" w:hAnsi="宋体" w:eastAsia="宋体" w:cs="宋体"/>
                <w:i w:val="0"/>
                <w:iCs w:val="0"/>
                <w:color w:val="000000"/>
                <w:sz w:val="22"/>
                <w:szCs w:val="22"/>
                <w:u w:val="none"/>
              </w:rPr>
            </w:pPr>
          </w:p>
        </w:tc>
      </w:tr>
      <w:tr w14:paraId="7F68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8"/>
            <w:tcBorders>
              <w:top w:val="single" w:color="000000" w:themeColor="text1" w:sz="4" w:space="0"/>
              <w:left w:val="nil"/>
              <w:bottom w:val="nil"/>
              <w:right w:val="nil"/>
            </w:tcBorders>
            <w:shd w:val="clear" w:color="auto" w:fill="auto"/>
            <w:noWrap/>
            <w:vAlign w:val="center"/>
          </w:tcPr>
          <w:p w14:paraId="162F7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themeColor="text1" w:sz="4" w:space="0"/>
              <w:left w:val="nil"/>
              <w:bottom w:val="nil"/>
              <w:right w:val="nil"/>
            </w:tcBorders>
            <w:shd w:val="clear" w:color="auto" w:fill="auto"/>
            <w:noWrap/>
            <w:vAlign w:val="center"/>
          </w:tcPr>
          <w:p w14:paraId="20962338">
            <w:pPr>
              <w:jc w:val="left"/>
              <w:rPr>
                <w:rFonts w:hint="eastAsia" w:ascii="宋体" w:hAnsi="宋体" w:eastAsia="宋体" w:cs="宋体"/>
                <w:i w:val="0"/>
                <w:iCs w:val="0"/>
                <w:color w:val="000000"/>
                <w:sz w:val="20"/>
                <w:szCs w:val="20"/>
                <w:u w:val="none"/>
              </w:rPr>
            </w:pPr>
          </w:p>
        </w:tc>
      </w:tr>
    </w:tbl>
    <w:p w14:paraId="1782B292">
      <w:pPr>
        <w:widowControl/>
        <w:spacing w:afterLines="50"/>
        <w:jc w:val="center"/>
        <w:textAlignment w:val="center"/>
        <w:rPr>
          <w:rFonts w:ascii="Times New Roman" w:hAnsi="Times New Roman" w:eastAsia="黑体" w:cs="Times New Roman"/>
          <w:color w:val="000000"/>
          <w:kern w:val="0"/>
          <w:sz w:val="36"/>
          <w:szCs w:val="36"/>
        </w:rPr>
      </w:pPr>
    </w:p>
    <w:p w14:paraId="46F50BC0">
      <w:pPr>
        <w:widowControl/>
        <w:spacing w:afterLines="50"/>
        <w:jc w:val="center"/>
        <w:textAlignment w:val="center"/>
        <w:rPr>
          <w:rFonts w:ascii="Times New Roman" w:hAnsi="Times New Roman" w:eastAsia="黑体" w:cs="Times New Roman"/>
          <w:color w:val="000000"/>
          <w:kern w:val="0"/>
          <w:sz w:val="36"/>
          <w:szCs w:val="36"/>
        </w:rPr>
      </w:pPr>
    </w:p>
    <w:p w14:paraId="3DA81008">
      <w:pPr>
        <w:widowControl/>
        <w:spacing w:afterLines="50"/>
        <w:jc w:val="center"/>
        <w:textAlignment w:val="center"/>
        <w:rPr>
          <w:rFonts w:ascii="Times New Roman" w:hAnsi="Times New Roman" w:eastAsia="黑体" w:cs="Times New Roman"/>
          <w:color w:val="000000"/>
          <w:kern w:val="0"/>
          <w:sz w:val="36"/>
          <w:szCs w:val="36"/>
        </w:rPr>
      </w:pPr>
    </w:p>
    <w:p w14:paraId="5DFB49F6">
      <w:pPr>
        <w:widowControl/>
        <w:spacing w:afterLines="50"/>
        <w:jc w:val="center"/>
        <w:textAlignment w:val="center"/>
        <w:rPr>
          <w:rFonts w:ascii="Times New Roman" w:hAnsi="Times New Roman" w:eastAsia="黑体" w:cs="Times New Roman"/>
          <w:color w:val="000000"/>
          <w:kern w:val="0"/>
          <w:sz w:val="36"/>
          <w:szCs w:val="36"/>
        </w:rPr>
      </w:pPr>
    </w:p>
    <w:p w14:paraId="0B9552E7">
      <w:pPr>
        <w:widowControl/>
        <w:spacing w:afterLines="50"/>
        <w:jc w:val="center"/>
        <w:textAlignment w:val="center"/>
        <w:rPr>
          <w:rFonts w:ascii="Times New Roman" w:hAnsi="Times New Roman" w:eastAsia="黑体" w:cs="Times New Roman"/>
          <w:color w:val="000000"/>
          <w:kern w:val="0"/>
          <w:sz w:val="36"/>
          <w:szCs w:val="36"/>
        </w:rPr>
      </w:pPr>
    </w:p>
    <w:p w14:paraId="65077F20">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605"/>
        <w:gridCol w:w="1930"/>
        <w:gridCol w:w="1930"/>
        <w:gridCol w:w="2383"/>
      </w:tblGrid>
      <w:tr w14:paraId="100E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670" w:type="dxa"/>
            <w:gridSpan w:val="7"/>
            <w:tcBorders>
              <w:top w:val="nil"/>
              <w:left w:val="nil"/>
              <w:bottom w:val="nil"/>
              <w:right w:val="nil"/>
            </w:tcBorders>
            <w:shd w:val="clear" w:color="auto" w:fill="auto"/>
            <w:noWrap/>
            <w:vAlign w:val="center"/>
          </w:tcPr>
          <w:p w14:paraId="7A382AD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6C3D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CD6A56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36C46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AD281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638A7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96A9D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05689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B95274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4705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1317878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部门：溆浦县商业企业改制服务办公室</w:t>
            </w:r>
          </w:p>
        </w:tc>
        <w:tc>
          <w:tcPr>
            <w:tcW w:w="0" w:type="auto"/>
            <w:tcBorders>
              <w:top w:val="nil"/>
              <w:left w:val="nil"/>
              <w:bottom w:val="single" w:color="000000" w:themeColor="text1" w:sz="4" w:space="0"/>
              <w:right w:val="nil"/>
            </w:tcBorders>
            <w:shd w:val="clear" w:color="auto" w:fill="auto"/>
            <w:noWrap/>
            <w:vAlign w:val="center"/>
          </w:tcPr>
          <w:p w14:paraId="000407A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F9A720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D17F93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E15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BC4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817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DB9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76B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EAB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583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531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EE09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61EE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08355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BACA3D">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E05AF3">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DA411F">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0B6302">
            <w:pPr>
              <w:jc w:val="center"/>
              <w:rPr>
                <w:rFonts w:hint="eastAsia" w:ascii="宋体" w:hAnsi="宋体" w:eastAsia="宋体" w:cs="宋体"/>
                <w:i w:val="0"/>
                <w:iCs w:val="0"/>
                <w:color w:val="000000"/>
                <w:sz w:val="22"/>
                <w:szCs w:val="22"/>
                <w:u w:val="none"/>
              </w:rPr>
            </w:pPr>
          </w:p>
        </w:tc>
      </w:tr>
      <w:tr w14:paraId="0F5B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0A99C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8E275">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0746B5">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EDE9F7">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D4A8B4">
            <w:pPr>
              <w:jc w:val="center"/>
              <w:rPr>
                <w:rFonts w:hint="eastAsia" w:ascii="宋体" w:hAnsi="宋体" w:eastAsia="宋体" w:cs="宋体"/>
                <w:i w:val="0"/>
                <w:iCs w:val="0"/>
                <w:color w:val="000000"/>
                <w:sz w:val="22"/>
                <w:szCs w:val="22"/>
                <w:u w:val="none"/>
              </w:rPr>
            </w:pPr>
          </w:p>
        </w:tc>
      </w:tr>
      <w:tr w14:paraId="3CA7B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10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449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96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49B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6B2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D8F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0D6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325.97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7EE8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B9CC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30.97</w:t>
            </w:r>
          </w:p>
        </w:tc>
      </w:tr>
      <w:tr w14:paraId="22F8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18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6D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9A4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FE8A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DDFA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14:paraId="4E8C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8D3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2B8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0ADE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444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2A3EC5">
            <w:pPr>
              <w:jc w:val="right"/>
              <w:rPr>
                <w:rFonts w:hint="eastAsia" w:ascii="宋体" w:hAnsi="宋体" w:eastAsia="宋体" w:cs="宋体"/>
                <w:i w:val="0"/>
                <w:iCs w:val="0"/>
                <w:color w:val="000000"/>
                <w:sz w:val="22"/>
                <w:szCs w:val="22"/>
                <w:u w:val="none"/>
              </w:rPr>
            </w:pPr>
          </w:p>
        </w:tc>
      </w:tr>
      <w:tr w14:paraId="6E4F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A9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E5C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13FE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727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F67E5">
            <w:pPr>
              <w:jc w:val="right"/>
              <w:rPr>
                <w:rFonts w:hint="eastAsia" w:ascii="宋体" w:hAnsi="宋体" w:eastAsia="宋体" w:cs="宋体"/>
                <w:i w:val="0"/>
                <w:iCs w:val="0"/>
                <w:color w:val="000000"/>
                <w:sz w:val="22"/>
                <w:szCs w:val="22"/>
                <w:u w:val="none"/>
              </w:rPr>
            </w:pPr>
          </w:p>
        </w:tc>
      </w:tr>
      <w:tr w14:paraId="3B42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A5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E0A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0136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4083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798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14:paraId="191C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4AD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D1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E16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EA51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9878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14:paraId="78AD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945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B46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529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7D3B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E7FF8">
            <w:pPr>
              <w:jc w:val="right"/>
              <w:rPr>
                <w:rFonts w:hint="eastAsia" w:ascii="宋体" w:hAnsi="宋体" w:eastAsia="宋体" w:cs="宋体"/>
                <w:i w:val="0"/>
                <w:iCs w:val="0"/>
                <w:color w:val="000000"/>
                <w:sz w:val="22"/>
                <w:szCs w:val="22"/>
                <w:u w:val="none"/>
              </w:rPr>
            </w:pPr>
          </w:p>
        </w:tc>
      </w:tr>
      <w:tr w14:paraId="1E5C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03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667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E357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A4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9C3339">
            <w:pPr>
              <w:jc w:val="right"/>
              <w:rPr>
                <w:rFonts w:hint="eastAsia" w:ascii="宋体" w:hAnsi="宋体" w:eastAsia="宋体" w:cs="宋体"/>
                <w:i w:val="0"/>
                <w:iCs w:val="0"/>
                <w:color w:val="000000"/>
                <w:sz w:val="22"/>
                <w:szCs w:val="22"/>
                <w:u w:val="none"/>
              </w:rPr>
            </w:pPr>
          </w:p>
        </w:tc>
      </w:tr>
      <w:tr w14:paraId="2298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779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C45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468A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3B16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B472D3">
            <w:pPr>
              <w:jc w:val="right"/>
              <w:rPr>
                <w:rFonts w:hint="eastAsia" w:ascii="宋体" w:hAnsi="宋体" w:eastAsia="宋体" w:cs="宋体"/>
                <w:i w:val="0"/>
                <w:iCs w:val="0"/>
                <w:color w:val="000000"/>
                <w:sz w:val="22"/>
                <w:szCs w:val="22"/>
                <w:u w:val="none"/>
              </w:rPr>
            </w:pPr>
          </w:p>
        </w:tc>
      </w:tr>
      <w:tr w14:paraId="5688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C76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85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0C1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665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9424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2B73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9A2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CD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374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5C5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CBF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5B89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A64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C1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6CD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18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325D87">
            <w:pPr>
              <w:jc w:val="right"/>
              <w:rPr>
                <w:rFonts w:hint="eastAsia" w:ascii="宋体" w:hAnsi="宋体" w:eastAsia="宋体" w:cs="宋体"/>
                <w:i w:val="0"/>
                <w:iCs w:val="0"/>
                <w:color w:val="000000"/>
                <w:sz w:val="22"/>
                <w:szCs w:val="22"/>
                <w:u w:val="none"/>
              </w:rPr>
            </w:pPr>
          </w:p>
        </w:tc>
      </w:tr>
      <w:tr w14:paraId="4032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82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5F1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39F5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9340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B48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2D06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56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CC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FD7F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C518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544186">
            <w:pPr>
              <w:jc w:val="right"/>
              <w:rPr>
                <w:rFonts w:hint="eastAsia" w:ascii="宋体" w:hAnsi="宋体" w:eastAsia="宋体" w:cs="宋体"/>
                <w:i w:val="0"/>
                <w:iCs w:val="0"/>
                <w:color w:val="000000"/>
                <w:sz w:val="22"/>
                <w:szCs w:val="22"/>
                <w:u w:val="none"/>
              </w:rPr>
            </w:pPr>
          </w:p>
        </w:tc>
      </w:tr>
      <w:tr w14:paraId="2838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98F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6EC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07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F9D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A71F2">
            <w:pPr>
              <w:jc w:val="right"/>
              <w:rPr>
                <w:rFonts w:hint="eastAsia" w:ascii="宋体" w:hAnsi="宋体" w:eastAsia="宋体" w:cs="宋体"/>
                <w:i w:val="0"/>
                <w:iCs w:val="0"/>
                <w:color w:val="000000"/>
                <w:sz w:val="22"/>
                <w:szCs w:val="22"/>
                <w:u w:val="none"/>
              </w:rPr>
            </w:pPr>
          </w:p>
        </w:tc>
      </w:tr>
      <w:tr w14:paraId="039C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8AE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019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F32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A7E2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111A0">
            <w:pPr>
              <w:jc w:val="right"/>
              <w:rPr>
                <w:rFonts w:hint="eastAsia" w:ascii="宋体" w:hAnsi="宋体" w:eastAsia="宋体" w:cs="宋体"/>
                <w:i w:val="0"/>
                <w:iCs w:val="0"/>
                <w:color w:val="000000"/>
                <w:sz w:val="22"/>
                <w:szCs w:val="22"/>
                <w:u w:val="none"/>
              </w:rPr>
            </w:pPr>
          </w:p>
        </w:tc>
      </w:tr>
      <w:tr w14:paraId="53E5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6A0B4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4CE97828">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5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25"/>
        <w:gridCol w:w="1320"/>
        <w:gridCol w:w="766"/>
        <w:gridCol w:w="2775"/>
        <w:gridCol w:w="1050"/>
        <w:gridCol w:w="766"/>
        <w:gridCol w:w="2856"/>
        <w:gridCol w:w="1476"/>
      </w:tblGrid>
      <w:tr w14:paraId="0DF5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300" w:type="dxa"/>
            <w:gridSpan w:val="9"/>
            <w:tcBorders>
              <w:top w:val="nil"/>
              <w:left w:val="nil"/>
              <w:bottom w:val="nil"/>
              <w:right w:val="nil"/>
            </w:tcBorders>
            <w:shd w:val="clear" w:color="auto" w:fill="auto"/>
            <w:noWrap/>
            <w:vAlign w:val="center"/>
          </w:tcPr>
          <w:p w14:paraId="5DA9F05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1322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B6FEFB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5770C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E2023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8941A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65476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09D69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935716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BBAF9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8FF09D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66F78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2F59FA0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部门：溆浦县商业企业改制服务办公室</w:t>
            </w:r>
          </w:p>
        </w:tc>
        <w:tc>
          <w:tcPr>
            <w:tcW w:w="0" w:type="auto"/>
            <w:tcBorders>
              <w:top w:val="nil"/>
              <w:left w:val="nil"/>
              <w:bottom w:val="single" w:color="000000" w:themeColor="text1" w:sz="4" w:space="0"/>
              <w:right w:val="nil"/>
            </w:tcBorders>
            <w:shd w:val="clear" w:color="auto" w:fill="auto"/>
            <w:noWrap/>
            <w:vAlign w:val="center"/>
          </w:tcPr>
          <w:p w14:paraId="0EE19CC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FC5C70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8EC12C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C69A38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01171F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6A48A5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6477539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5816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655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57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27BB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15B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816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FDE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B5C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B84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BEF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5648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84E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626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658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F4772B">
            <w:pPr>
              <w:jc w:val="center"/>
              <w:rPr>
                <w:rFonts w:hint="eastAsia" w:ascii="宋体" w:hAnsi="宋体" w:eastAsia="宋体" w:cs="宋体"/>
                <w:i w:val="0"/>
                <w:iCs w:val="0"/>
                <w:color w:val="000000"/>
                <w:sz w:val="22"/>
                <w:szCs w:val="22"/>
                <w:u w:val="none"/>
              </w:rPr>
            </w:pPr>
          </w:p>
        </w:tc>
        <w:tc>
          <w:tcPr>
            <w:tcW w:w="35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7A8834">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7D362D">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0DF9C4">
            <w:pPr>
              <w:jc w:val="center"/>
              <w:rPr>
                <w:rFonts w:hint="eastAsia" w:ascii="宋体" w:hAnsi="宋体" w:eastAsia="宋体" w:cs="宋体"/>
                <w:i w:val="0"/>
                <w:iCs w:val="0"/>
                <w:color w:val="000000"/>
                <w:sz w:val="22"/>
                <w:szCs w:val="22"/>
                <w:u w:val="none"/>
              </w:rPr>
            </w:pPr>
          </w:p>
        </w:tc>
        <w:tc>
          <w:tcPr>
            <w:tcW w:w="27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899905">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F67C62">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564C27C">
            <w:pPr>
              <w:jc w:val="center"/>
              <w:rPr>
                <w:rFonts w:hint="eastAsia" w:ascii="宋体" w:hAnsi="宋体" w:eastAsia="宋体" w:cs="宋体"/>
                <w:i w:val="0"/>
                <w:iCs w:val="0"/>
                <w:color w:val="000000"/>
                <w:sz w:val="22"/>
                <w:szCs w:val="22"/>
                <w:u w:val="none"/>
              </w:rPr>
            </w:pPr>
          </w:p>
        </w:tc>
        <w:tc>
          <w:tcPr>
            <w:tcW w:w="28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93A89E">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08642B">
            <w:pPr>
              <w:jc w:val="center"/>
              <w:rPr>
                <w:rFonts w:hint="eastAsia" w:ascii="宋体" w:hAnsi="宋体" w:eastAsia="宋体" w:cs="宋体"/>
                <w:i w:val="0"/>
                <w:iCs w:val="0"/>
                <w:color w:val="000000"/>
                <w:sz w:val="22"/>
                <w:szCs w:val="22"/>
                <w:u w:val="none"/>
              </w:rPr>
            </w:pPr>
          </w:p>
        </w:tc>
      </w:tr>
      <w:tr w14:paraId="4FC8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34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F9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796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079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DD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7F3A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4A2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96D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820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F2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12C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296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30A3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DF5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B28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A9CE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AA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351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6E3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88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98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5EE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1300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0F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AA6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589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48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5D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F7A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51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EC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F60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AD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44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87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9C9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4DD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45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80E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A7E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10A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6E0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3FD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42B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E73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DA4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344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172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95B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C8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C4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E87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77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12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BE4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84AE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083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575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51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0F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B29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4CC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053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44B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2A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C12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A73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8C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D15A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B3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C2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4F6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B2DF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188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F9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9D75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E53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AF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6867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44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F01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24F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96F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C5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DA5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92BA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E7D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47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1C67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38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9DE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AB9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8D9F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9D0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052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68DD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961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4B7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091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8A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865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A68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5E1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8B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063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31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C6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3B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301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65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E20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5F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E5E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2F0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097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6F6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88F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BBD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7DBD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C1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4B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EB2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E26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66A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61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3EC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11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D6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36A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25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DA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649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811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A61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C3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323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299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A28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64D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0F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49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7D5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51F4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45E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BF4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6B42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71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681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FC8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1F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E7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E9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59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51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AC09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A4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226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68A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910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44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77C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03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9A5A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226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24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23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616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5C5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34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F0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06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637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09F6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87C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A75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3255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B2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F18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98C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33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0B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9DD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A6BF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1E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BC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706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C2D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3D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50F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11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126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B10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74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6C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B49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DE8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7C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F41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1E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05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E30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6E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E05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B81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A3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7FC3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10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3FF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2CF5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57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37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13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5E05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8E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F9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125F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294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768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A92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E2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E9E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996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61AC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09A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D0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67A1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706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866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11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6A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1B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03C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5D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B8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34B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798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4E4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C9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991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D1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ABA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AE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0AC6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9BC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EB3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DDA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79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C1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460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CE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CA8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2B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7D7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2A6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D7F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C3F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C81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AE0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44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089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284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499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FFD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3D2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E2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F58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42945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DFEE3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449DA3">
            <w:pPr>
              <w:jc w:val="right"/>
              <w:rPr>
                <w:rFonts w:hint="eastAsia" w:ascii="宋体" w:hAnsi="宋体" w:eastAsia="宋体" w:cs="宋体"/>
                <w:i w:val="0"/>
                <w:iCs w:val="0"/>
                <w:color w:val="000000"/>
                <w:sz w:val="22"/>
                <w:szCs w:val="22"/>
                <w:u w:val="none"/>
              </w:rPr>
            </w:pPr>
          </w:p>
        </w:tc>
      </w:tr>
      <w:tr w14:paraId="28E02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98D4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AEC6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90C3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674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F0B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59B8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EBA69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ACD72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FDD181">
            <w:pPr>
              <w:jc w:val="right"/>
              <w:rPr>
                <w:rFonts w:hint="eastAsia" w:ascii="宋体" w:hAnsi="宋体" w:eastAsia="宋体" w:cs="宋体"/>
                <w:i w:val="0"/>
                <w:iCs w:val="0"/>
                <w:color w:val="000000"/>
                <w:sz w:val="22"/>
                <w:szCs w:val="22"/>
                <w:u w:val="none"/>
              </w:rPr>
            </w:pPr>
          </w:p>
        </w:tc>
      </w:tr>
      <w:tr w14:paraId="3172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7F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62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289.06</w:t>
            </w:r>
          </w:p>
        </w:tc>
        <w:tc>
          <w:tcPr>
            <w:tcW w:w="0" w:type="auto"/>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A14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924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r>
      <w:tr w14:paraId="4AFA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9"/>
            <w:tcBorders>
              <w:top w:val="single" w:color="000000" w:themeColor="text1" w:sz="4" w:space="0"/>
              <w:left w:val="nil"/>
              <w:bottom w:val="nil"/>
              <w:right w:val="nil"/>
            </w:tcBorders>
            <w:shd w:val="clear" w:color="auto" w:fill="auto"/>
            <w:noWrap/>
            <w:vAlign w:val="center"/>
          </w:tcPr>
          <w:p w14:paraId="50952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5B6733A4">
      <w:pPr>
        <w:widowControl/>
        <w:spacing w:afterLines="50"/>
        <w:jc w:val="center"/>
        <w:textAlignment w:val="center"/>
        <w:rPr>
          <w:rFonts w:ascii="Times New Roman" w:hAnsi="Times New Roman" w:eastAsia="黑体" w:cs="Times New Roman"/>
          <w:color w:val="000000"/>
          <w:kern w:val="0"/>
          <w:sz w:val="36"/>
          <w:szCs w:val="36"/>
        </w:rPr>
      </w:pPr>
    </w:p>
    <w:p w14:paraId="629D461F">
      <w:pPr>
        <w:widowControl/>
        <w:spacing w:line="400" w:lineRule="exact"/>
        <w:jc w:val="center"/>
        <w:textAlignment w:val="center"/>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xml:space="preserve"> </w:t>
      </w:r>
    </w:p>
    <w:p w14:paraId="452D923D">
      <w:pPr>
        <w:widowControl/>
        <w:spacing w:line="400" w:lineRule="exact"/>
        <w:jc w:val="center"/>
        <w:textAlignment w:val="center"/>
        <w:rPr>
          <w:rFonts w:hint="eastAsia" w:ascii="Times New Roman" w:hAnsi="Times New Roman" w:eastAsia="仿宋_GB2312" w:cs="Times New Roman"/>
          <w:color w:val="000000"/>
          <w:kern w:val="0"/>
          <w:sz w:val="32"/>
          <w:szCs w:val="32"/>
          <w:lang w:val="en-US" w:eastAsia="zh-CN"/>
        </w:rPr>
      </w:pPr>
    </w:p>
    <w:p w14:paraId="2E3FE29B">
      <w:pPr>
        <w:widowControl/>
        <w:spacing w:line="400" w:lineRule="exact"/>
        <w:jc w:val="center"/>
        <w:textAlignment w:val="center"/>
        <w:rPr>
          <w:rFonts w:hint="eastAsia" w:ascii="Times New Roman" w:hAnsi="Times New Roman" w:eastAsia="仿宋_GB2312" w:cs="Times New Roman"/>
          <w:color w:val="000000"/>
          <w:kern w:val="0"/>
          <w:sz w:val="32"/>
          <w:szCs w:val="32"/>
          <w:lang w:val="en-US" w:eastAsia="zh-CN"/>
        </w:rPr>
      </w:pPr>
    </w:p>
    <w:p w14:paraId="215A923B">
      <w:pPr>
        <w:widowControl/>
        <w:spacing w:line="400" w:lineRule="exact"/>
        <w:jc w:val="center"/>
        <w:textAlignment w:val="center"/>
        <w:rPr>
          <w:rFonts w:hint="eastAsia" w:ascii="Times New Roman" w:hAnsi="Times New Roman" w:eastAsia="仿宋_GB2312" w:cs="Times New Roman"/>
          <w:color w:val="000000"/>
          <w:kern w:val="0"/>
          <w:sz w:val="32"/>
          <w:szCs w:val="32"/>
          <w:lang w:val="en-US" w:eastAsia="zh-CN"/>
        </w:rPr>
      </w:pPr>
    </w:p>
    <w:p w14:paraId="57B0DB72">
      <w:pPr>
        <w:widowControl/>
        <w:spacing w:line="400" w:lineRule="exact"/>
        <w:jc w:val="center"/>
        <w:textAlignment w:val="center"/>
        <w:rPr>
          <w:rFonts w:hint="eastAsia" w:ascii="Times New Roman" w:hAnsi="Times New Roman" w:eastAsia="仿宋_GB2312" w:cs="Times New Roman"/>
          <w:color w:val="000000"/>
          <w:kern w:val="0"/>
          <w:sz w:val="32"/>
          <w:szCs w:val="32"/>
          <w:lang w:val="en-US" w:eastAsia="zh-CN"/>
        </w:rPr>
      </w:pPr>
    </w:p>
    <w:p w14:paraId="2A7AD66E">
      <w:pPr>
        <w:widowControl/>
        <w:spacing w:line="400" w:lineRule="exact"/>
        <w:jc w:val="center"/>
        <w:textAlignment w:val="center"/>
        <w:rPr>
          <w:rFonts w:hint="eastAsia" w:ascii="Times New Roman" w:hAnsi="Times New Roman" w:eastAsia="仿宋_GB2312" w:cs="Times New Roman"/>
          <w:color w:val="000000"/>
          <w:kern w:val="0"/>
          <w:sz w:val="32"/>
          <w:szCs w:val="32"/>
          <w:lang w:val="en-US" w:eastAsia="zh-CN"/>
        </w:rPr>
      </w:pPr>
    </w:p>
    <w:p w14:paraId="3B05177A">
      <w:pPr>
        <w:widowControl/>
        <w:spacing w:line="400" w:lineRule="exact"/>
        <w:jc w:val="center"/>
        <w:textAlignment w:val="center"/>
        <w:rPr>
          <w:rFonts w:hint="eastAsia" w:ascii="Times New Roman" w:hAnsi="Times New Roman" w:eastAsia="仿宋_GB2312" w:cs="Times New Roman"/>
          <w:color w:val="000000"/>
          <w:kern w:val="0"/>
          <w:sz w:val="32"/>
          <w:szCs w:val="32"/>
          <w:lang w:val="en-US" w:eastAsia="zh-CN"/>
        </w:rPr>
      </w:pPr>
    </w:p>
    <w:p w14:paraId="14C7B7EA">
      <w:pPr>
        <w:widowControl/>
        <w:spacing w:line="400" w:lineRule="exact"/>
        <w:jc w:val="center"/>
        <w:textAlignment w:val="center"/>
        <w:rPr>
          <w:rFonts w:hint="eastAsia" w:ascii="Times New Roman" w:hAnsi="Times New Roman" w:eastAsia="仿宋_GB2312" w:cs="Times New Roman"/>
          <w:color w:val="000000"/>
          <w:kern w:val="0"/>
          <w:sz w:val="32"/>
          <w:szCs w:val="32"/>
          <w:lang w:val="en-US" w:eastAsia="zh-CN"/>
        </w:rPr>
      </w:pPr>
    </w:p>
    <w:p w14:paraId="285CA4B9">
      <w:pPr>
        <w:widowControl/>
        <w:spacing w:line="400" w:lineRule="exact"/>
        <w:jc w:val="center"/>
        <w:textAlignment w:val="center"/>
        <w:rPr>
          <w:rFonts w:hint="eastAsia" w:ascii="Times New Roman" w:hAnsi="Times New Roman" w:eastAsia="仿宋_GB2312" w:cs="Times New Roman"/>
          <w:color w:val="000000"/>
          <w:kern w:val="0"/>
          <w:sz w:val="32"/>
          <w:szCs w:val="32"/>
          <w:lang w:val="en-US" w:eastAsia="zh-CN"/>
        </w:rPr>
      </w:pPr>
    </w:p>
    <w:p w14:paraId="6277AAE6">
      <w:pPr>
        <w:widowControl/>
        <w:spacing w:line="400" w:lineRule="exact"/>
        <w:jc w:val="center"/>
        <w:textAlignment w:val="center"/>
        <w:rPr>
          <w:rFonts w:hint="eastAsia" w:ascii="Times New Roman" w:hAnsi="Times New Roman" w:eastAsia="仿宋_GB2312" w:cs="Times New Roman"/>
          <w:color w:val="000000"/>
          <w:kern w:val="0"/>
          <w:sz w:val="32"/>
          <w:szCs w:val="32"/>
          <w:lang w:val="en-US" w:eastAsia="zh-CN"/>
        </w:rPr>
      </w:pPr>
    </w:p>
    <w:p w14:paraId="33E1984C">
      <w:pPr>
        <w:widowControl/>
        <w:spacing w:line="400" w:lineRule="exact"/>
        <w:jc w:val="center"/>
        <w:textAlignment w:val="center"/>
        <w:rPr>
          <w:rFonts w:hint="eastAsia" w:ascii="Times New Roman" w:hAnsi="Times New Roman" w:eastAsia="仿宋_GB2312" w:cs="Times New Roman"/>
          <w:color w:val="000000"/>
          <w:kern w:val="0"/>
          <w:sz w:val="32"/>
          <w:szCs w:val="32"/>
          <w:lang w:val="en-US" w:eastAsia="zh-CN"/>
        </w:rPr>
      </w:pPr>
    </w:p>
    <w:p w14:paraId="1294805D">
      <w:pPr>
        <w:widowControl/>
        <w:spacing w:line="400" w:lineRule="exact"/>
        <w:jc w:val="center"/>
        <w:textAlignment w:val="center"/>
        <w:rPr>
          <w:rFonts w:hint="eastAsia" w:ascii="Times New Roman" w:hAnsi="Times New Roman" w:eastAsia="仿宋_GB2312" w:cs="Times New Roman"/>
          <w:color w:val="000000"/>
          <w:kern w:val="0"/>
          <w:sz w:val="32"/>
          <w:szCs w:val="32"/>
          <w:lang w:val="en-US" w:eastAsia="zh-CN"/>
        </w:rPr>
      </w:pPr>
    </w:p>
    <w:p w14:paraId="15510DB0">
      <w:pPr>
        <w:widowControl/>
        <w:spacing w:line="400" w:lineRule="exact"/>
        <w:jc w:val="center"/>
        <w:textAlignment w:val="center"/>
        <w:rPr>
          <w:rFonts w:hint="eastAsia" w:ascii="Times New Roman" w:hAnsi="Times New Roman" w:eastAsia="仿宋_GB2312" w:cs="Times New Roman"/>
          <w:color w:val="000000"/>
          <w:kern w:val="0"/>
          <w:sz w:val="32"/>
          <w:szCs w:val="32"/>
          <w:lang w:val="en-US" w:eastAsia="zh-CN"/>
        </w:rPr>
      </w:pPr>
    </w:p>
    <w:p w14:paraId="712EB62B">
      <w:pPr>
        <w:widowControl/>
        <w:spacing w:line="400" w:lineRule="exact"/>
        <w:jc w:val="center"/>
        <w:textAlignment w:val="center"/>
        <w:rPr>
          <w:rFonts w:hint="eastAsia" w:ascii="Times New Roman" w:hAnsi="Times New Roman" w:eastAsia="仿宋_GB2312" w:cs="Times New Roman"/>
          <w:color w:val="000000"/>
          <w:kern w:val="0"/>
          <w:sz w:val="32"/>
          <w:szCs w:val="32"/>
          <w:lang w:val="en-US" w:eastAsia="zh-CN"/>
        </w:rPr>
      </w:pPr>
    </w:p>
    <w:tbl>
      <w:tblPr>
        <w:tblStyle w:val="10"/>
        <w:tblW w:w="150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222"/>
        <w:gridCol w:w="222"/>
        <w:gridCol w:w="1096"/>
        <w:gridCol w:w="1633"/>
        <w:gridCol w:w="1633"/>
        <w:gridCol w:w="1633"/>
        <w:gridCol w:w="1633"/>
        <w:gridCol w:w="1633"/>
        <w:gridCol w:w="1680"/>
      </w:tblGrid>
      <w:tr w14:paraId="6CE5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001" w:type="dxa"/>
            <w:gridSpan w:val="10"/>
            <w:tcBorders>
              <w:top w:val="nil"/>
              <w:left w:val="nil"/>
              <w:bottom w:val="nil"/>
              <w:right w:val="nil"/>
            </w:tcBorders>
            <w:shd w:val="clear" w:color="auto" w:fill="auto"/>
            <w:noWrap/>
            <w:vAlign w:val="center"/>
          </w:tcPr>
          <w:p w14:paraId="037BE7B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20CB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03639B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9C18F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86FE1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23901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1E397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9ED29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8E637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B21F0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19E40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FCB809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69DD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51F467D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部门：溆浦县商业企业改制服务办公室</w:t>
            </w:r>
          </w:p>
        </w:tc>
        <w:tc>
          <w:tcPr>
            <w:tcW w:w="0" w:type="auto"/>
            <w:tcBorders>
              <w:top w:val="nil"/>
              <w:left w:val="nil"/>
              <w:bottom w:val="single" w:color="000000" w:themeColor="text1" w:sz="4" w:space="0"/>
              <w:right w:val="nil"/>
            </w:tcBorders>
            <w:shd w:val="clear" w:color="auto" w:fill="auto"/>
            <w:noWrap/>
            <w:vAlign w:val="center"/>
          </w:tcPr>
          <w:p w14:paraId="1D099C6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24C49A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15D177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5BE5DD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FFF835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0ACD37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C372C7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F59C6A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D036FE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0AE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794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3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E5E8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3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2EF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89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C9E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09F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440A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06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F0D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E9A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3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03AA90">
            <w:pPr>
              <w:jc w:val="center"/>
              <w:rPr>
                <w:rFonts w:hint="eastAsia" w:ascii="宋体" w:hAnsi="宋体" w:eastAsia="宋体" w:cs="宋体"/>
                <w:i w:val="0"/>
                <w:iCs w:val="0"/>
                <w:color w:val="000000"/>
                <w:sz w:val="22"/>
                <w:szCs w:val="22"/>
                <w:u w:val="none"/>
              </w:rPr>
            </w:pPr>
          </w:p>
        </w:tc>
        <w:tc>
          <w:tcPr>
            <w:tcW w:w="163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B864FD">
            <w:pPr>
              <w:jc w:val="center"/>
              <w:rPr>
                <w:rFonts w:hint="eastAsia" w:ascii="宋体" w:hAnsi="宋体" w:eastAsia="宋体" w:cs="宋体"/>
                <w:i w:val="0"/>
                <w:iCs w:val="0"/>
                <w:color w:val="000000"/>
                <w:sz w:val="22"/>
                <w:szCs w:val="22"/>
                <w:u w:val="none"/>
              </w:rPr>
            </w:pPr>
          </w:p>
        </w:tc>
        <w:tc>
          <w:tcPr>
            <w:tcW w:w="163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AF7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3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DDA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3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BF4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C193C7">
            <w:pPr>
              <w:jc w:val="center"/>
              <w:rPr>
                <w:rFonts w:hint="eastAsia" w:ascii="宋体" w:hAnsi="宋体" w:eastAsia="宋体" w:cs="宋体"/>
                <w:i w:val="0"/>
                <w:iCs w:val="0"/>
                <w:color w:val="000000"/>
                <w:sz w:val="22"/>
                <w:szCs w:val="22"/>
                <w:u w:val="none"/>
              </w:rPr>
            </w:pPr>
          </w:p>
        </w:tc>
      </w:tr>
      <w:tr w14:paraId="259B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06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0EFB2E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B250B9">
            <w:pPr>
              <w:jc w:val="center"/>
              <w:rPr>
                <w:rFonts w:hint="eastAsia" w:ascii="宋体" w:hAnsi="宋体" w:eastAsia="宋体" w:cs="宋体"/>
                <w:i w:val="0"/>
                <w:iCs w:val="0"/>
                <w:color w:val="000000"/>
                <w:sz w:val="22"/>
                <w:szCs w:val="22"/>
                <w:u w:val="none"/>
              </w:rPr>
            </w:pPr>
          </w:p>
        </w:tc>
        <w:tc>
          <w:tcPr>
            <w:tcW w:w="163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295CD6">
            <w:pPr>
              <w:jc w:val="center"/>
              <w:rPr>
                <w:rFonts w:hint="eastAsia" w:ascii="宋体" w:hAnsi="宋体" w:eastAsia="宋体" w:cs="宋体"/>
                <w:i w:val="0"/>
                <w:iCs w:val="0"/>
                <w:color w:val="000000"/>
                <w:sz w:val="22"/>
                <w:szCs w:val="22"/>
                <w:u w:val="none"/>
              </w:rPr>
            </w:pPr>
          </w:p>
        </w:tc>
        <w:tc>
          <w:tcPr>
            <w:tcW w:w="163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78DC2B">
            <w:pPr>
              <w:jc w:val="center"/>
              <w:rPr>
                <w:rFonts w:hint="eastAsia" w:ascii="宋体" w:hAnsi="宋体" w:eastAsia="宋体" w:cs="宋体"/>
                <w:i w:val="0"/>
                <w:iCs w:val="0"/>
                <w:color w:val="000000"/>
                <w:sz w:val="22"/>
                <w:szCs w:val="22"/>
                <w:u w:val="none"/>
              </w:rPr>
            </w:pPr>
          </w:p>
        </w:tc>
        <w:tc>
          <w:tcPr>
            <w:tcW w:w="163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86B057">
            <w:pPr>
              <w:jc w:val="center"/>
              <w:rPr>
                <w:rFonts w:hint="eastAsia" w:ascii="宋体" w:hAnsi="宋体" w:eastAsia="宋体" w:cs="宋体"/>
                <w:i w:val="0"/>
                <w:iCs w:val="0"/>
                <w:color w:val="000000"/>
                <w:sz w:val="22"/>
                <w:szCs w:val="22"/>
                <w:u w:val="none"/>
              </w:rPr>
            </w:pPr>
          </w:p>
        </w:tc>
        <w:tc>
          <w:tcPr>
            <w:tcW w:w="163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D0E2D1">
            <w:pPr>
              <w:jc w:val="center"/>
              <w:rPr>
                <w:rFonts w:hint="eastAsia" w:ascii="宋体" w:hAnsi="宋体" w:eastAsia="宋体" w:cs="宋体"/>
                <w:i w:val="0"/>
                <w:iCs w:val="0"/>
                <w:color w:val="000000"/>
                <w:sz w:val="22"/>
                <w:szCs w:val="22"/>
                <w:u w:val="none"/>
              </w:rPr>
            </w:pPr>
          </w:p>
        </w:tc>
        <w:tc>
          <w:tcPr>
            <w:tcW w:w="163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FB1547">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9687A9">
            <w:pPr>
              <w:jc w:val="center"/>
              <w:rPr>
                <w:rFonts w:hint="eastAsia" w:ascii="宋体" w:hAnsi="宋体" w:eastAsia="宋体" w:cs="宋体"/>
                <w:i w:val="0"/>
                <w:iCs w:val="0"/>
                <w:color w:val="000000"/>
                <w:sz w:val="22"/>
                <w:szCs w:val="22"/>
                <w:u w:val="none"/>
              </w:rPr>
            </w:pPr>
          </w:p>
        </w:tc>
      </w:tr>
      <w:tr w14:paraId="6D5F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06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9F5DC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BCC95">
            <w:pPr>
              <w:jc w:val="center"/>
              <w:rPr>
                <w:rFonts w:hint="eastAsia" w:ascii="宋体" w:hAnsi="宋体" w:eastAsia="宋体" w:cs="宋体"/>
                <w:i w:val="0"/>
                <w:iCs w:val="0"/>
                <w:color w:val="000000"/>
                <w:sz w:val="22"/>
                <w:szCs w:val="22"/>
                <w:u w:val="none"/>
              </w:rPr>
            </w:pPr>
          </w:p>
        </w:tc>
        <w:tc>
          <w:tcPr>
            <w:tcW w:w="163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6768D7">
            <w:pPr>
              <w:jc w:val="center"/>
              <w:rPr>
                <w:rFonts w:hint="eastAsia" w:ascii="宋体" w:hAnsi="宋体" w:eastAsia="宋体" w:cs="宋体"/>
                <w:i w:val="0"/>
                <w:iCs w:val="0"/>
                <w:color w:val="000000"/>
                <w:sz w:val="22"/>
                <w:szCs w:val="22"/>
                <w:u w:val="none"/>
              </w:rPr>
            </w:pPr>
          </w:p>
        </w:tc>
        <w:tc>
          <w:tcPr>
            <w:tcW w:w="163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A2C7AED">
            <w:pPr>
              <w:jc w:val="center"/>
              <w:rPr>
                <w:rFonts w:hint="eastAsia" w:ascii="宋体" w:hAnsi="宋体" w:eastAsia="宋体" w:cs="宋体"/>
                <w:i w:val="0"/>
                <w:iCs w:val="0"/>
                <w:color w:val="000000"/>
                <w:sz w:val="22"/>
                <w:szCs w:val="22"/>
                <w:u w:val="none"/>
              </w:rPr>
            </w:pPr>
          </w:p>
        </w:tc>
        <w:tc>
          <w:tcPr>
            <w:tcW w:w="163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CF569A">
            <w:pPr>
              <w:jc w:val="center"/>
              <w:rPr>
                <w:rFonts w:hint="eastAsia" w:ascii="宋体" w:hAnsi="宋体" w:eastAsia="宋体" w:cs="宋体"/>
                <w:i w:val="0"/>
                <w:iCs w:val="0"/>
                <w:color w:val="000000"/>
                <w:sz w:val="22"/>
                <w:szCs w:val="22"/>
                <w:u w:val="none"/>
              </w:rPr>
            </w:pPr>
          </w:p>
        </w:tc>
        <w:tc>
          <w:tcPr>
            <w:tcW w:w="163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8425589">
            <w:pPr>
              <w:jc w:val="center"/>
              <w:rPr>
                <w:rFonts w:hint="eastAsia" w:ascii="宋体" w:hAnsi="宋体" w:eastAsia="宋体" w:cs="宋体"/>
                <w:i w:val="0"/>
                <w:iCs w:val="0"/>
                <w:color w:val="000000"/>
                <w:sz w:val="22"/>
                <w:szCs w:val="22"/>
                <w:u w:val="none"/>
              </w:rPr>
            </w:pPr>
          </w:p>
        </w:tc>
        <w:tc>
          <w:tcPr>
            <w:tcW w:w="163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35511B">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420B8C">
            <w:pPr>
              <w:jc w:val="center"/>
              <w:rPr>
                <w:rFonts w:hint="eastAsia" w:ascii="宋体" w:hAnsi="宋体" w:eastAsia="宋体" w:cs="宋体"/>
                <w:i w:val="0"/>
                <w:iCs w:val="0"/>
                <w:color w:val="000000"/>
                <w:sz w:val="22"/>
                <w:szCs w:val="22"/>
                <w:u w:val="none"/>
              </w:rPr>
            </w:pPr>
          </w:p>
        </w:tc>
      </w:tr>
      <w:tr w14:paraId="0E7D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8C8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9D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4F9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B60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CB3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5F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E64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D67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1D1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4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A1661">
            <w:pPr>
              <w:jc w:val="center"/>
              <w:rPr>
                <w:rFonts w:hint="eastAsia" w:ascii="宋体" w:hAnsi="宋体" w:eastAsia="宋体" w:cs="宋体"/>
                <w:b/>
                <w:bCs/>
                <w:i w:val="0"/>
                <w:iCs w:val="0"/>
                <w:color w:val="000000"/>
                <w:sz w:val="22"/>
                <w:szCs w:val="22"/>
                <w:u w:val="none"/>
              </w:rPr>
            </w:pPr>
            <w:r>
              <w:rPr>
                <w:rFonts w:ascii="Times New Roman" w:hAnsi="Times New Roman" w:eastAsia="仿宋_GB2312" w:cs="Times New Roman"/>
                <w:b/>
                <w:bCs/>
                <w:kern w:val="0"/>
                <w:sz w:val="24"/>
                <w:szCs w:val="24"/>
              </w:rPr>
              <w:t>我单位没有政府性基金收入，也没有使用政府性基金安排的支出，故本表无数据。</w:t>
            </w:r>
          </w:p>
        </w:tc>
      </w:tr>
      <w:tr w14:paraId="5C643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CA068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7950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981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37D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3F99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057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DEE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C021C0">
            <w:pPr>
              <w:jc w:val="right"/>
              <w:rPr>
                <w:rFonts w:hint="eastAsia" w:ascii="宋体" w:hAnsi="宋体" w:eastAsia="宋体" w:cs="宋体"/>
                <w:i w:val="0"/>
                <w:iCs w:val="0"/>
                <w:color w:val="000000"/>
                <w:sz w:val="22"/>
                <w:szCs w:val="22"/>
                <w:u w:val="none"/>
              </w:rPr>
            </w:pPr>
          </w:p>
        </w:tc>
      </w:tr>
      <w:tr w14:paraId="22C1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05FF5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47FAA728">
      <w:pPr>
        <w:widowControl/>
        <w:spacing w:line="400" w:lineRule="exact"/>
        <w:jc w:val="center"/>
        <w:textAlignment w:val="center"/>
        <w:rPr>
          <w:rFonts w:hint="eastAsia" w:ascii="Times New Roman" w:hAnsi="Times New Roman" w:eastAsia="仿宋_GB2312" w:cs="Times New Roman"/>
          <w:color w:val="000000"/>
          <w:kern w:val="0"/>
          <w:sz w:val="32"/>
          <w:szCs w:val="32"/>
          <w:lang w:val="en-US" w:eastAsia="zh-CN"/>
        </w:rPr>
      </w:pPr>
    </w:p>
    <w:p w14:paraId="41667CA6">
      <w:pPr>
        <w:widowControl/>
        <w:spacing w:afterLines="50"/>
        <w:jc w:val="center"/>
        <w:textAlignment w:val="center"/>
        <w:rPr>
          <w:rFonts w:ascii="Times New Roman" w:hAnsi="Times New Roman" w:eastAsia="黑体" w:cs="Times New Roman"/>
          <w:color w:val="000000"/>
          <w:kern w:val="0"/>
          <w:sz w:val="36"/>
          <w:szCs w:val="36"/>
        </w:rPr>
      </w:pPr>
    </w:p>
    <w:p w14:paraId="6DEE6757">
      <w:pPr>
        <w:widowControl/>
        <w:spacing w:afterLines="50"/>
        <w:jc w:val="center"/>
        <w:textAlignment w:val="center"/>
        <w:rPr>
          <w:rFonts w:ascii="Times New Roman" w:hAnsi="Times New Roman" w:eastAsia="黑体" w:cs="Times New Roman"/>
          <w:color w:val="000000"/>
          <w:kern w:val="0"/>
          <w:sz w:val="36"/>
          <w:szCs w:val="36"/>
        </w:rPr>
      </w:pPr>
    </w:p>
    <w:p w14:paraId="764BA458">
      <w:pPr>
        <w:widowControl/>
        <w:spacing w:afterLines="50"/>
        <w:jc w:val="center"/>
        <w:textAlignment w:val="center"/>
        <w:rPr>
          <w:rFonts w:ascii="Times New Roman" w:hAnsi="Times New Roman" w:eastAsia="黑体" w:cs="Times New Roman"/>
          <w:color w:val="000000"/>
          <w:kern w:val="0"/>
          <w:sz w:val="36"/>
          <w:szCs w:val="36"/>
        </w:rPr>
      </w:pPr>
    </w:p>
    <w:p w14:paraId="5BD42E0F">
      <w:pPr>
        <w:widowControl/>
        <w:spacing w:afterLines="50"/>
        <w:jc w:val="center"/>
        <w:textAlignment w:val="center"/>
        <w:rPr>
          <w:rFonts w:ascii="Times New Roman" w:hAnsi="Times New Roman" w:eastAsia="黑体" w:cs="Times New Roman"/>
          <w:color w:val="000000"/>
          <w:kern w:val="0"/>
          <w:sz w:val="36"/>
          <w:szCs w:val="36"/>
        </w:rPr>
      </w:pPr>
    </w:p>
    <w:p w14:paraId="174A3107">
      <w:pPr>
        <w:widowControl/>
        <w:spacing w:afterLines="50"/>
        <w:jc w:val="center"/>
        <w:textAlignment w:val="center"/>
        <w:rPr>
          <w:rFonts w:ascii="Times New Roman" w:hAnsi="Times New Roman" w:eastAsia="黑体" w:cs="Times New Roman"/>
          <w:color w:val="000000"/>
          <w:kern w:val="0"/>
          <w:sz w:val="36"/>
          <w:szCs w:val="36"/>
        </w:rPr>
      </w:pPr>
    </w:p>
    <w:p w14:paraId="359D9C02">
      <w:pPr>
        <w:widowControl/>
        <w:spacing w:afterLines="50"/>
        <w:jc w:val="center"/>
        <w:textAlignment w:val="center"/>
        <w:rPr>
          <w:rFonts w:ascii="Times New Roman" w:hAnsi="Times New Roman" w:eastAsia="黑体" w:cs="Times New Roman"/>
          <w:color w:val="000000"/>
          <w:kern w:val="0"/>
          <w:sz w:val="36"/>
          <w:szCs w:val="36"/>
        </w:rPr>
      </w:pPr>
    </w:p>
    <w:p w14:paraId="0D9BB0B7">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02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5"/>
        <w:gridCol w:w="455"/>
        <w:gridCol w:w="455"/>
        <w:gridCol w:w="2251"/>
        <w:gridCol w:w="1840"/>
        <w:gridCol w:w="1998"/>
        <w:gridCol w:w="3615"/>
      </w:tblGrid>
      <w:tr w14:paraId="72AA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264" w:type="dxa"/>
            <w:gridSpan w:val="7"/>
            <w:tcBorders>
              <w:top w:val="nil"/>
              <w:left w:val="nil"/>
              <w:bottom w:val="nil"/>
              <w:right w:val="nil"/>
            </w:tcBorders>
            <w:shd w:val="clear" w:color="auto" w:fill="auto"/>
            <w:noWrap/>
            <w:vAlign w:val="center"/>
          </w:tcPr>
          <w:p w14:paraId="1F781E8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1E73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77860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C655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FB88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C851F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CE8A7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35B63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5BB97A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0C29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2580F8B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部门：溆浦县商业企业改制服务办公室</w:t>
            </w:r>
          </w:p>
        </w:tc>
        <w:tc>
          <w:tcPr>
            <w:tcW w:w="0" w:type="auto"/>
            <w:tcBorders>
              <w:top w:val="nil"/>
              <w:left w:val="nil"/>
              <w:bottom w:val="single" w:color="000000" w:themeColor="text1" w:sz="4" w:space="0"/>
              <w:right w:val="nil"/>
            </w:tcBorders>
            <w:shd w:val="clear" w:color="auto" w:fill="auto"/>
            <w:noWrap/>
            <w:vAlign w:val="center"/>
          </w:tcPr>
          <w:p w14:paraId="555B77A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6DBA17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1334F7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A4E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E7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84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B59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D41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F75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F5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6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46A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695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91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592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E65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FE0DA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A99A2">
            <w:pPr>
              <w:jc w:val="center"/>
              <w:rPr>
                <w:rFonts w:hint="eastAsia" w:ascii="宋体" w:hAnsi="宋体" w:eastAsia="宋体" w:cs="宋体"/>
                <w:i w:val="0"/>
                <w:iCs w:val="0"/>
                <w:color w:val="000000"/>
                <w:sz w:val="22"/>
                <w:szCs w:val="22"/>
                <w:u w:val="none"/>
              </w:rPr>
            </w:pPr>
          </w:p>
        </w:tc>
        <w:tc>
          <w:tcPr>
            <w:tcW w:w="186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DF992B">
            <w:pPr>
              <w:jc w:val="center"/>
              <w:rPr>
                <w:rFonts w:hint="eastAsia" w:ascii="宋体" w:hAnsi="宋体" w:eastAsia="宋体" w:cs="宋体"/>
                <w:i w:val="0"/>
                <w:iCs w:val="0"/>
                <w:color w:val="000000"/>
                <w:sz w:val="22"/>
                <w:szCs w:val="22"/>
                <w:u w:val="none"/>
              </w:rPr>
            </w:pPr>
          </w:p>
        </w:tc>
        <w:tc>
          <w:tcPr>
            <w:tcW w:w="206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754D6C">
            <w:pPr>
              <w:jc w:val="center"/>
              <w:rPr>
                <w:rFonts w:hint="eastAsia" w:ascii="宋体" w:hAnsi="宋体" w:eastAsia="宋体" w:cs="宋体"/>
                <w:i w:val="0"/>
                <w:iCs w:val="0"/>
                <w:color w:val="000000"/>
                <w:sz w:val="22"/>
                <w:szCs w:val="22"/>
                <w:u w:val="none"/>
              </w:rPr>
            </w:pPr>
          </w:p>
        </w:tc>
        <w:tc>
          <w:tcPr>
            <w:tcW w:w="291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5E5AC9">
            <w:pPr>
              <w:jc w:val="center"/>
              <w:rPr>
                <w:rFonts w:hint="eastAsia" w:ascii="宋体" w:hAnsi="宋体" w:eastAsia="宋体" w:cs="宋体"/>
                <w:i w:val="0"/>
                <w:iCs w:val="0"/>
                <w:color w:val="000000"/>
                <w:sz w:val="22"/>
                <w:szCs w:val="22"/>
                <w:u w:val="none"/>
              </w:rPr>
            </w:pPr>
          </w:p>
        </w:tc>
      </w:tr>
      <w:tr w14:paraId="114E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624FB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42341">
            <w:pPr>
              <w:jc w:val="center"/>
              <w:rPr>
                <w:rFonts w:hint="eastAsia" w:ascii="宋体" w:hAnsi="宋体" w:eastAsia="宋体" w:cs="宋体"/>
                <w:i w:val="0"/>
                <w:iCs w:val="0"/>
                <w:color w:val="000000"/>
                <w:sz w:val="22"/>
                <w:szCs w:val="22"/>
                <w:u w:val="none"/>
              </w:rPr>
            </w:pPr>
          </w:p>
        </w:tc>
        <w:tc>
          <w:tcPr>
            <w:tcW w:w="186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4CA938">
            <w:pPr>
              <w:jc w:val="center"/>
              <w:rPr>
                <w:rFonts w:hint="eastAsia" w:ascii="宋体" w:hAnsi="宋体" w:eastAsia="宋体" w:cs="宋体"/>
                <w:i w:val="0"/>
                <w:iCs w:val="0"/>
                <w:color w:val="000000"/>
                <w:sz w:val="22"/>
                <w:szCs w:val="22"/>
                <w:u w:val="none"/>
              </w:rPr>
            </w:pPr>
          </w:p>
        </w:tc>
        <w:tc>
          <w:tcPr>
            <w:tcW w:w="206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975309">
            <w:pPr>
              <w:jc w:val="center"/>
              <w:rPr>
                <w:rFonts w:hint="eastAsia" w:ascii="宋体" w:hAnsi="宋体" w:eastAsia="宋体" w:cs="宋体"/>
                <w:i w:val="0"/>
                <w:iCs w:val="0"/>
                <w:color w:val="000000"/>
                <w:sz w:val="22"/>
                <w:szCs w:val="22"/>
                <w:u w:val="none"/>
              </w:rPr>
            </w:pPr>
          </w:p>
        </w:tc>
        <w:tc>
          <w:tcPr>
            <w:tcW w:w="291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78EFBD">
            <w:pPr>
              <w:jc w:val="center"/>
              <w:rPr>
                <w:rFonts w:hint="eastAsia" w:ascii="宋体" w:hAnsi="宋体" w:eastAsia="宋体" w:cs="宋体"/>
                <w:i w:val="0"/>
                <w:iCs w:val="0"/>
                <w:color w:val="000000"/>
                <w:sz w:val="22"/>
                <w:szCs w:val="22"/>
                <w:u w:val="none"/>
              </w:rPr>
            </w:pPr>
          </w:p>
        </w:tc>
      </w:tr>
      <w:tr w14:paraId="6F79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9F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07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E3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54B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C1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F5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84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17110">
            <w:pPr>
              <w:jc w:val="center"/>
              <w:rPr>
                <w:rFonts w:hint="eastAsia" w:ascii="宋体" w:hAnsi="宋体" w:eastAsia="宋体" w:cs="宋体"/>
                <w:b/>
                <w:bCs/>
                <w:i w:val="0"/>
                <w:iCs w:val="0"/>
                <w:color w:val="000000"/>
                <w:sz w:val="22"/>
                <w:szCs w:val="22"/>
                <w:u w:val="none"/>
              </w:rPr>
            </w:pPr>
            <w:r>
              <w:rPr>
                <w:rFonts w:ascii="Times New Roman" w:hAnsi="Times New Roman" w:eastAsia="楷体_GB2312" w:cs="Times New Roman"/>
                <w:b/>
                <w:bCs/>
                <w:kern w:val="0"/>
                <w:sz w:val="24"/>
                <w:szCs w:val="24"/>
              </w:rPr>
              <w:t>我单位没有使用国有资本经营预算安排的支出，故本表无数据。</w:t>
            </w:r>
          </w:p>
        </w:tc>
      </w:tr>
      <w:tr w14:paraId="0354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EFE5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4E2F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9B4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D36A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FAEF9B">
            <w:pPr>
              <w:jc w:val="right"/>
              <w:rPr>
                <w:rFonts w:hint="eastAsia" w:ascii="宋体" w:hAnsi="宋体" w:eastAsia="宋体" w:cs="宋体"/>
                <w:i w:val="0"/>
                <w:iCs w:val="0"/>
                <w:color w:val="000000"/>
                <w:sz w:val="22"/>
                <w:szCs w:val="22"/>
                <w:u w:val="none"/>
              </w:rPr>
            </w:pPr>
          </w:p>
        </w:tc>
      </w:tr>
      <w:tr w14:paraId="7214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1D2D8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4B8D7565">
      <w:pPr>
        <w:pStyle w:val="7"/>
        <w:spacing w:line="400" w:lineRule="exact"/>
        <w:rPr>
          <w:rFonts w:ascii="Times New Roman" w:hAnsi="Times New Roman" w:eastAsia="华文中宋" w:cs="Times New Roman"/>
          <w:color w:val="000000"/>
          <w:kern w:val="0"/>
          <w:sz w:val="32"/>
          <w:szCs w:val="32"/>
        </w:rPr>
      </w:pPr>
    </w:p>
    <w:p w14:paraId="3A329E9C">
      <w:pPr>
        <w:pStyle w:val="8"/>
        <w:rPr>
          <w:rFonts w:ascii="Times New Roman" w:hAnsi="Times New Roman" w:eastAsia="华文中宋" w:cs="Times New Roman"/>
          <w:color w:val="000000"/>
          <w:kern w:val="0"/>
          <w:sz w:val="32"/>
          <w:szCs w:val="32"/>
        </w:rPr>
      </w:pPr>
    </w:p>
    <w:p w14:paraId="6C5F8F90">
      <w:pPr>
        <w:pStyle w:val="8"/>
        <w:rPr>
          <w:rFonts w:ascii="Times New Roman" w:hAnsi="Times New Roman" w:eastAsia="华文中宋" w:cs="Times New Roman"/>
          <w:color w:val="000000"/>
          <w:kern w:val="0"/>
          <w:sz w:val="32"/>
          <w:szCs w:val="32"/>
        </w:rPr>
      </w:pPr>
    </w:p>
    <w:p w14:paraId="63E73AD6">
      <w:pPr>
        <w:pStyle w:val="8"/>
        <w:rPr>
          <w:rFonts w:ascii="Times New Roman" w:hAnsi="Times New Roman" w:eastAsia="华文中宋" w:cs="Times New Roman"/>
          <w:color w:val="000000"/>
          <w:kern w:val="0"/>
          <w:sz w:val="32"/>
          <w:szCs w:val="32"/>
        </w:rPr>
      </w:pPr>
    </w:p>
    <w:p w14:paraId="553D4344">
      <w:pPr>
        <w:widowControl/>
        <w:spacing w:afterLines="50"/>
        <w:jc w:val="center"/>
        <w:textAlignment w:val="center"/>
        <w:rPr>
          <w:rFonts w:ascii="Times New Roman" w:hAnsi="Times New Roman" w:eastAsia="黑体" w:cs="Times New Roman"/>
          <w:color w:val="000000"/>
          <w:kern w:val="0"/>
          <w:sz w:val="36"/>
          <w:szCs w:val="36"/>
        </w:rPr>
      </w:pPr>
    </w:p>
    <w:p w14:paraId="4659BF97">
      <w:pPr>
        <w:widowControl/>
        <w:spacing w:afterLines="50"/>
        <w:jc w:val="center"/>
        <w:textAlignment w:val="center"/>
        <w:rPr>
          <w:rFonts w:ascii="Times New Roman" w:hAnsi="Times New Roman" w:eastAsia="黑体" w:cs="Times New Roman"/>
          <w:color w:val="000000"/>
          <w:kern w:val="0"/>
          <w:sz w:val="36"/>
          <w:szCs w:val="36"/>
        </w:rPr>
      </w:pPr>
    </w:p>
    <w:p w14:paraId="7EEC4A98">
      <w:pPr>
        <w:widowControl/>
        <w:spacing w:afterLines="50"/>
        <w:jc w:val="center"/>
        <w:textAlignment w:val="center"/>
        <w:rPr>
          <w:rFonts w:ascii="Times New Roman" w:hAnsi="Times New Roman" w:eastAsia="黑体" w:cs="Times New Roman"/>
          <w:color w:val="000000"/>
          <w:kern w:val="0"/>
          <w:sz w:val="36"/>
          <w:szCs w:val="36"/>
        </w:rPr>
      </w:pPr>
    </w:p>
    <w:p w14:paraId="625A9DA4">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36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5"/>
        <w:gridCol w:w="1205"/>
        <w:gridCol w:w="1206"/>
        <w:gridCol w:w="1065"/>
        <w:gridCol w:w="1269"/>
        <w:gridCol w:w="1065"/>
        <w:gridCol w:w="1065"/>
        <w:gridCol w:w="1065"/>
        <w:gridCol w:w="1065"/>
        <w:gridCol w:w="1065"/>
        <w:gridCol w:w="1195"/>
        <w:gridCol w:w="1616"/>
      </w:tblGrid>
      <w:tr w14:paraId="0D02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3665" w:type="dxa"/>
            <w:gridSpan w:val="12"/>
            <w:tcBorders>
              <w:top w:val="nil"/>
              <w:left w:val="nil"/>
              <w:bottom w:val="nil"/>
              <w:right w:val="nil"/>
            </w:tcBorders>
            <w:shd w:val="clear" w:color="auto" w:fill="auto"/>
            <w:noWrap/>
            <w:vAlign w:val="center"/>
          </w:tcPr>
          <w:p w14:paraId="29172C0A">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38DB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CA82F5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48A17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B37F3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27786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64DD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7FD69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4632F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082A6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66D08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39197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8C749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B45AC3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2286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3"/>
            <w:tcBorders>
              <w:top w:val="nil"/>
              <w:left w:val="nil"/>
              <w:bottom w:val="single" w:color="000000" w:themeColor="text1" w:sz="4" w:space="0"/>
              <w:right w:val="nil"/>
            </w:tcBorders>
            <w:shd w:val="clear" w:color="auto" w:fill="auto"/>
            <w:noWrap/>
            <w:vAlign w:val="bottom"/>
          </w:tcPr>
          <w:p w14:paraId="07F3A3C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部门：溆浦县商业企业改制服务办公室</w:t>
            </w:r>
          </w:p>
        </w:tc>
        <w:tc>
          <w:tcPr>
            <w:tcW w:w="0" w:type="auto"/>
            <w:tcBorders>
              <w:top w:val="nil"/>
              <w:left w:val="nil"/>
              <w:bottom w:val="single" w:color="000000" w:themeColor="text1" w:sz="4" w:space="0"/>
              <w:right w:val="nil"/>
            </w:tcBorders>
            <w:shd w:val="clear" w:color="auto" w:fill="auto"/>
            <w:noWrap/>
            <w:vAlign w:val="center"/>
          </w:tcPr>
          <w:p w14:paraId="649F9D8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628FBC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57C5E7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B44797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328153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AB9317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EEE46B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68731E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2455D4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587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2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9C1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94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EAB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B41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E0D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0A8B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2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320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6FF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E7A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0005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0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D88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7D6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7F4E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766C053">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DF3BB9">
            <w:pPr>
              <w:jc w:val="center"/>
              <w:rPr>
                <w:rFonts w:hint="eastAsia" w:ascii="宋体" w:hAnsi="宋体" w:eastAsia="宋体" w:cs="宋体"/>
                <w:i w:val="0"/>
                <w:iCs w:val="0"/>
                <w:color w:val="000000"/>
                <w:sz w:val="22"/>
                <w:szCs w:val="22"/>
                <w:u w:val="none"/>
              </w:rPr>
            </w:pP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022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5AA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506A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D6BD65">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840752">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15409E">
            <w:pPr>
              <w:jc w:val="center"/>
              <w:rPr>
                <w:rFonts w:hint="eastAsia" w:ascii="宋体" w:hAnsi="宋体" w:eastAsia="宋体" w:cs="宋体"/>
                <w:i w:val="0"/>
                <w:iCs w:val="0"/>
                <w:color w:val="000000"/>
                <w:sz w:val="22"/>
                <w:szCs w:val="22"/>
                <w:u w:val="none"/>
              </w:rPr>
            </w:pP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3341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8E8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1DE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5DDA45">
            <w:pPr>
              <w:jc w:val="center"/>
              <w:rPr>
                <w:rFonts w:hint="eastAsia" w:ascii="宋体" w:hAnsi="宋体" w:eastAsia="宋体" w:cs="宋体"/>
                <w:i w:val="0"/>
                <w:iCs w:val="0"/>
                <w:color w:val="000000"/>
                <w:sz w:val="22"/>
                <w:szCs w:val="22"/>
                <w:u w:val="none"/>
              </w:rPr>
            </w:pPr>
          </w:p>
        </w:tc>
      </w:tr>
      <w:tr w14:paraId="6ED8A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ECE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24A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333A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954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4F3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642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F5B7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34E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D46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89A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2C7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DE5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6143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C1A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C502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C253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9D9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CF6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8E9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011A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19CF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D47A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EE6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CBB2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6A3D7">
            <w:pPr>
              <w:jc w:val="right"/>
              <w:rPr>
                <w:rFonts w:hint="eastAsia" w:ascii="宋体" w:hAnsi="宋体" w:eastAsia="宋体" w:cs="宋体"/>
                <w:i w:val="0"/>
                <w:iCs w:val="0"/>
                <w:color w:val="000000"/>
                <w:sz w:val="22"/>
                <w:szCs w:val="22"/>
                <w:u w:val="none"/>
              </w:rPr>
            </w:pPr>
          </w:p>
        </w:tc>
      </w:tr>
      <w:tr w14:paraId="7936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3665" w:type="dxa"/>
            <w:gridSpan w:val="12"/>
            <w:tcBorders>
              <w:top w:val="single" w:color="000000" w:themeColor="text1" w:sz="4" w:space="0"/>
              <w:left w:val="nil"/>
              <w:bottom w:val="nil"/>
              <w:right w:val="nil"/>
            </w:tcBorders>
            <w:shd w:val="clear" w:color="auto" w:fill="auto"/>
            <w:vAlign w:val="center"/>
          </w:tcPr>
          <w:p w14:paraId="31599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E99DACC">
      <w:pPr>
        <w:autoSpaceDE w:val="0"/>
        <w:autoSpaceDN w:val="0"/>
        <w:adjustRightInd w:val="0"/>
        <w:ind w:left="315" w:leftChars="150"/>
        <w:jc w:val="left"/>
        <w:rPr>
          <w:rFonts w:ascii="Times New Roman" w:hAnsi="Times New Roman" w:eastAsia="宋体" w:cs="Times New Roman"/>
          <w:kern w:val="0"/>
          <w:sz w:val="24"/>
          <w:szCs w:val="24"/>
        </w:rPr>
      </w:pPr>
    </w:p>
    <w:p w14:paraId="38F61ABB">
      <w:pPr>
        <w:autoSpaceDE w:val="0"/>
        <w:autoSpaceDN w:val="0"/>
        <w:adjustRightInd w:val="0"/>
        <w:ind w:left="315" w:leftChars="150"/>
        <w:jc w:val="left"/>
        <w:rPr>
          <w:rFonts w:ascii="Times New Roman" w:hAnsi="Times New Roman" w:eastAsia="宋体" w:cs="Times New Roman"/>
          <w:kern w:val="0"/>
          <w:sz w:val="24"/>
          <w:szCs w:val="24"/>
        </w:rPr>
      </w:pPr>
    </w:p>
    <w:p w14:paraId="47182DDD">
      <w:pPr>
        <w:autoSpaceDE w:val="0"/>
        <w:autoSpaceDN w:val="0"/>
        <w:adjustRightInd w:val="0"/>
        <w:ind w:left="315" w:leftChars="150"/>
        <w:jc w:val="left"/>
        <w:rPr>
          <w:rFonts w:ascii="Times New Roman" w:hAnsi="Times New Roman" w:eastAsia="宋体" w:cs="Times New Roman"/>
          <w:kern w:val="0"/>
          <w:sz w:val="24"/>
          <w:szCs w:val="24"/>
        </w:rPr>
      </w:pPr>
    </w:p>
    <w:p w14:paraId="648564EE">
      <w:pPr>
        <w:autoSpaceDE w:val="0"/>
        <w:autoSpaceDN w:val="0"/>
        <w:adjustRightInd w:val="0"/>
        <w:ind w:left="315" w:leftChars="150"/>
        <w:jc w:val="left"/>
        <w:rPr>
          <w:rFonts w:ascii="Times New Roman" w:hAnsi="Times New Roman" w:eastAsia="宋体" w:cs="Times New Roman"/>
          <w:kern w:val="0"/>
          <w:sz w:val="24"/>
          <w:szCs w:val="24"/>
        </w:rPr>
      </w:pPr>
    </w:p>
    <w:p w14:paraId="271BDA22">
      <w:pPr>
        <w:autoSpaceDE w:val="0"/>
        <w:autoSpaceDN w:val="0"/>
        <w:adjustRightInd w:val="0"/>
        <w:ind w:left="315" w:leftChars="150"/>
        <w:jc w:val="left"/>
        <w:rPr>
          <w:rFonts w:ascii="Times New Roman" w:hAnsi="Times New Roman" w:eastAsia="宋体" w:cs="Times New Roman"/>
          <w:kern w:val="0"/>
          <w:sz w:val="24"/>
          <w:szCs w:val="24"/>
        </w:rPr>
      </w:pPr>
    </w:p>
    <w:p w14:paraId="545A39F1">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p>
    <w:p w14:paraId="25A2DA4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6568795">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324645D">
      <w:pPr>
        <w:pStyle w:val="15"/>
        <w:numPr>
          <w:ilvl w:val="0"/>
          <w:numId w:val="0"/>
        </w:numPr>
        <w:spacing w:line="360" w:lineRule="auto"/>
        <w:ind w:leftChars="0" w:firstLine="640" w:firstLineChars="200"/>
        <w:jc w:val="left"/>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8E6901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325.97</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减少</w:t>
      </w:r>
      <w:r>
        <w:rPr>
          <w:rFonts w:hint="eastAsia" w:ascii="Times New Roman" w:hAnsi="Times New Roman" w:eastAsia="仿宋_GB2312" w:cs="Times New Roman"/>
          <w:sz w:val="32"/>
          <w:szCs w:val="32"/>
          <w:lang w:val="en-US" w:eastAsia="zh-CN"/>
        </w:rPr>
        <w:t>72.10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18.11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本单位年度减少</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eastAsia="zh-CN"/>
        </w:rPr>
        <w:t>资金</w:t>
      </w:r>
      <w:r>
        <w:rPr>
          <w:rFonts w:hint="eastAsia" w:ascii="Times New Roman" w:hAnsi="Times New Roman" w:eastAsia="仿宋_GB2312" w:cs="Times New Roman"/>
          <w:sz w:val="32"/>
          <w:szCs w:val="32"/>
          <w:lang w:val="en-US" w:eastAsia="zh-CN"/>
        </w:rPr>
        <w:t>68.86万元</w:t>
      </w:r>
      <w:r>
        <w:rPr>
          <w:rFonts w:hint="eastAsia" w:ascii="Times New Roman" w:hAnsi="Times New Roman" w:eastAsia="仿宋_GB2312" w:cs="Times New Roman"/>
          <w:sz w:val="32"/>
          <w:szCs w:val="32"/>
          <w:lang w:eastAsia="zh-CN"/>
        </w:rPr>
        <w:t>。</w:t>
      </w:r>
    </w:p>
    <w:p w14:paraId="2ABB89F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81C0A8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325.97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325.97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6A9F8D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689883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325.97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90.50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30.97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707D32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93C950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325.97</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72.10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18.11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本单位年度减少</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eastAsia="zh-CN"/>
        </w:rPr>
        <w:t>资金</w:t>
      </w:r>
      <w:r>
        <w:rPr>
          <w:rFonts w:hint="eastAsia" w:ascii="Times New Roman" w:hAnsi="Times New Roman" w:eastAsia="仿宋_GB2312" w:cs="Times New Roman"/>
          <w:sz w:val="32"/>
          <w:szCs w:val="32"/>
          <w:lang w:val="en-US" w:eastAsia="zh-CN"/>
        </w:rPr>
        <w:t>68.86万元</w:t>
      </w:r>
      <w:r>
        <w:rPr>
          <w:rFonts w:hint="eastAsia" w:ascii="Times New Roman" w:hAnsi="Times New Roman" w:eastAsia="仿宋_GB2312" w:cs="Times New Roman"/>
          <w:sz w:val="32"/>
          <w:szCs w:val="32"/>
          <w:lang w:eastAsia="zh-CN"/>
        </w:rPr>
        <w:t>。</w:t>
      </w:r>
    </w:p>
    <w:p w14:paraId="445A7AB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1205E88">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5CF11FE">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325.97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72.10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18.11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本单位年度减少</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eastAsia="zh-CN"/>
        </w:rPr>
        <w:t>资金</w:t>
      </w:r>
      <w:r>
        <w:rPr>
          <w:rFonts w:hint="eastAsia" w:ascii="Times New Roman" w:hAnsi="Times New Roman" w:eastAsia="仿宋_GB2312" w:cs="Times New Roman"/>
          <w:sz w:val="32"/>
          <w:szCs w:val="32"/>
          <w:lang w:val="en-US" w:eastAsia="zh-CN"/>
        </w:rPr>
        <w:t>68.86万元</w:t>
      </w:r>
      <w:r>
        <w:rPr>
          <w:rFonts w:hint="eastAsia" w:ascii="Times New Roman" w:hAnsi="Times New Roman" w:eastAsia="仿宋_GB2312" w:cs="Times New Roman"/>
          <w:sz w:val="32"/>
          <w:szCs w:val="32"/>
          <w:lang w:eastAsia="zh-CN"/>
        </w:rPr>
        <w:t>。</w:t>
      </w:r>
    </w:p>
    <w:p w14:paraId="766C08B9">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18E8953">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325.97</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hint="eastAsia" w:ascii="Times New Roman" w:hAnsi="Times New Roman" w:eastAsia="仿宋_GB2312" w:cs="Times New Roman"/>
          <w:sz w:val="32"/>
          <w:szCs w:val="32"/>
          <w:lang w:val="en-US" w:eastAsia="zh-CN"/>
        </w:rPr>
        <w:t>6.1万元，占1.9%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卫生健康支出2.24万元，占0.69%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商业服务业等支出315.72万元，占96.86%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住房保障支出1.9万元，占0.58%。</w:t>
      </w:r>
    </w:p>
    <w:p w14:paraId="22D7B88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D01051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325.97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325.97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38ED6CB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0BC154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3B1D01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仿宋" w:hAnsi="仿宋" w:eastAsia="仿宋" w:cs="仿宋"/>
          <w:sz w:val="32"/>
          <w:szCs w:val="32"/>
        </w:rPr>
        <w:t>社会保障和就业（类）行政事业单位养老支出（款）机关事业单位基本养老保险缴费支出（项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）年初预算</w:t>
      </w:r>
      <w:r>
        <w:rPr>
          <w:rFonts w:hint="eastAsia" w:ascii="仿宋" w:hAnsi="仿宋" w:eastAsia="仿宋" w:cs="仿宋"/>
          <w:sz w:val="32"/>
          <w:szCs w:val="32"/>
          <w:lang w:val="en-US" w:eastAsia="zh-CN"/>
        </w:rPr>
        <w:t>5.14</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5.14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Times New Roman" w:hAnsi="Times New Roman" w:eastAsia="仿宋_GB2312" w:cs="Times New Roman"/>
          <w:sz w:val="32"/>
          <w:szCs w:val="32"/>
          <w:lang w:eastAsia="zh-CN"/>
        </w:rPr>
        <w:t>。</w:t>
      </w:r>
    </w:p>
    <w:p w14:paraId="5F36D40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社会保障和就业（类）抚恤（款）死亡抚恤（项）年初预算为</w:t>
      </w:r>
      <w:r>
        <w:rPr>
          <w:rFonts w:hint="eastAsia" w:ascii="仿宋" w:hAnsi="仿宋" w:eastAsia="仿宋" w:cs="仿宋"/>
          <w:sz w:val="32"/>
          <w:szCs w:val="32"/>
          <w:lang w:val="en-US" w:eastAsia="zh-CN"/>
        </w:rPr>
        <w:t>0.97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0.97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Times New Roman" w:hAnsi="Times New Roman" w:eastAsia="仿宋_GB2312" w:cs="Times New Roman"/>
          <w:sz w:val="32"/>
          <w:szCs w:val="32"/>
          <w:lang w:eastAsia="zh-CN"/>
        </w:rPr>
        <w:t>。</w:t>
      </w:r>
    </w:p>
    <w:p w14:paraId="751606AC">
      <w:pPr>
        <w:pStyle w:val="15"/>
        <w:ind w:firstLine="640" w:firstLineChars="200"/>
        <w:rPr>
          <w:rFonts w:hint="eastAsia" w:ascii="仿宋" w:hAnsi="仿宋" w:eastAsia="仿宋" w:cs="仿宋"/>
          <w:sz w:val="32"/>
          <w:szCs w:val="32"/>
        </w:rPr>
      </w:pPr>
    </w:p>
    <w:p w14:paraId="0FF6838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、卫生健康支出（类）行政事业单位医疗（款）事业单位医疗（项）年初预算</w:t>
      </w:r>
      <w:r>
        <w:rPr>
          <w:rFonts w:hint="eastAsia" w:ascii="仿宋" w:hAnsi="仿宋" w:eastAsia="仿宋" w:cs="仿宋"/>
          <w:sz w:val="32"/>
          <w:szCs w:val="32"/>
          <w:lang w:val="en-US" w:eastAsia="zh-CN"/>
        </w:rPr>
        <w:t>2.24</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2.24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Times New Roman" w:hAnsi="Times New Roman" w:eastAsia="仿宋_GB2312" w:cs="Times New Roman"/>
          <w:sz w:val="32"/>
          <w:szCs w:val="32"/>
          <w:lang w:eastAsia="zh-CN"/>
        </w:rPr>
        <w:t>。</w:t>
      </w:r>
    </w:p>
    <w:p w14:paraId="5327A29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、商业服务业等支出（类）商业流通事务（款）行政运行（项）年初预算</w:t>
      </w:r>
      <w:r>
        <w:rPr>
          <w:rFonts w:hint="eastAsia" w:ascii="仿宋" w:hAnsi="仿宋" w:eastAsia="仿宋" w:cs="仿宋"/>
          <w:sz w:val="32"/>
          <w:szCs w:val="32"/>
          <w:lang w:val="en-US" w:eastAsia="zh-CN"/>
        </w:rPr>
        <w:t>285.72</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285.72</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14:paraId="2FC28356">
      <w:pPr>
        <w:pStyle w:val="15"/>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商业服务业等支出（类）商业流通事务（款）其他商业流通事务支出（项）年初预算</w:t>
      </w:r>
      <w:r>
        <w:rPr>
          <w:rFonts w:hint="eastAsia" w:ascii="仿宋" w:hAnsi="仿宋" w:eastAsia="仿宋" w:cs="仿宋"/>
          <w:sz w:val="32"/>
          <w:szCs w:val="32"/>
          <w:lang w:val="en-US" w:eastAsia="zh-CN"/>
        </w:rPr>
        <w:t>30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30</w:t>
      </w:r>
      <w:r>
        <w:rPr>
          <w:rFonts w:hint="eastAsia" w:ascii="仿宋" w:hAnsi="仿宋" w:eastAsia="仿宋" w:cs="仿宋"/>
          <w:sz w:val="32"/>
          <w:szCs w:val="32"/>
        </w:rPr>
        <w:t>万元 ，完成年初预算的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14:paraId="1A3D483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住房保障支出（类）住房改革支出（款）住房公积金（项）年初预算</w:t>
      </w:r>
      <w:r>
        <w:rPr>
          <w:rFonts w:hint="eastAsia" w:ascii="仿宋" w:hAnsi="仿宋" w:eastAsia="仿宋" w:cs="仿宋"/>
          <w:sz w:val="32"/>
          <w:szCs w:val="32"/>
          <w:lang w:val="en-US" w:eastAsia="zh-CN"/>
        </w:rPr>
        <w:t>1.9</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1.9</w:t>
      </w:r>
      <w:r>
        <w:rPr>
          <w:rFonts w:hint="eastAsia" w:ascii="仿宋" w:hAnsi="仿宋" w:eastAsia="仿宋" w:cs="仿宋"/>
          <w:sz w:val="32"/>
          <w:szCs w:val="32"/>
        </w:rPr>
        <w:t>万元 ，完成年初预算的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Times New Roman" w:hAnsi="Times New Roman" w:eastAsia="仿宋_GB2312" w:cs="Times New Roman"/>
          <w:sz w:val="32"/>
          <w:szCs w:val="32"/>
          <w:lang w:eastAsia="zh-CN"/>
        </w:rPr>
        <w:t>。</w:t>
      </w:r>
    </w:p>
    <w:p w14:paraId="14E4DD5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DD316A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295</w:t>
      </w:r>
      <w:r>
        <w:rPr>
          <w:rFonts w:ascii="Times New Roman" w:hAnsi="Times New Roman" w:eastAsia="仿宋_GB2312" w:cs="Times New Roman"/>
          <w:sz w:val="32"/>
          <w:szCs w:val="32"/>
        </w:rPr>
        <w:t>万元，其中：</w:t>
      </w:r>
    </w:p>
    <w:p w14:paraId="4681313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289.06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97.99</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15.49万元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津贴补贴</w:t>
      </w:r>
      <w:r>
        <w:rPr>
          <w:rFonts w:hint="eastAsia" w:ascii="Times New Roman" w:hAnsi="Times New Roman" w:eastAsia="仿宋_GB2312" w:cs="Times New Roman"/>
          <w:sz w:val="32"/>
          <w:szCs w:val="32"/>
          <w:lang w:val="en-US" w:eastAsia="zh-CN"/>
        </w:rPr>
        <w:t>7.06万元、奖金1.22万元、绩效工资4.03万元、基本养老保险费181.32、基本医疗保险2.24万元、其他社会保障缴费0.58万元、住房公积金1.9万元、医疗费0.22万元、</w:t>
      </w:r>
      <w:r>
        <w:rPr>
          <w:rFonts w:hint="eastAsia" w:ascii="Times New Roman" w:hAnsi="Times New Roman" w:eastAsia="仿宋_GB2312" w:cs="Times New Roman"/>
          <w:sz w:val="32"/>
          <w:szCs w:val="32"/>
          <w:lang w:eastAsia="zh-CN"/>
        </w:rPr>
        <w:t>生活补助</w:t>
      </w:r>
      <w:r>
        <w:rPr>
          <w:rFonts w:hint="eastAsia" w:ascii="Times New Roman" w:hAnsi="Times New Roman" w:eastAsia="仿宋_GB2312" w:cs="Times New Roman"/>
          <w:sz w:val="32"/>
          <w:szCs w:val="32"/>
          <w:lang w:val="en-US" w:eastAsia="zh-CN"/>
        </w:rPr>
        <w:t>5万元、救济费67万元、其他对个人和家庭的补助3万元</w:t>
      </w:r>
      <w:r>
        <w:rPr>
          <w:rFonts w:ascii="Times New Roman" w:hAnsi="Times New Roman" w:eastAsia="仿宋_GB2312" w:cs="Times New Roman"/>
          <w:sz w:val="32"/>
          <w:szCs w:val="32"/>
        </w:rPr>
        <w:t>。</w:t>
      </w:r>
    </w:p>
    <w:p w14:paraId="1D81E217">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公用经费</w:t>
      </w:r>
      <w:r>
        <w:rPr>
          <w:rFonts w:hint="eastAsia" w:ascii="Times New Roman" w:hAnsi="Times New Roman" w:eastAsia="仿宋_GB2312" w:cs="Times New Roman"/>
          <w:color w:val="auto"/>
          <w:sz w:val="32"/>
          <w:szCs w:val="32"/>
          <w:lang w:val="en-US" w:eastAsia="zh-CN"/>
        </w:rPr>
        <w:t>5.94</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2.01</w:t>
      </w:r>
      <w:r>
        <w:rPr>
          <w:rFonts w:ascii="Times New Roman" w:hAnsi="Times New Roman" w:eastAsia="仿宋_GB2312" w:cs="Times New Roman"/>
          <w:color w:val="auto"/>
          <w:sz w:val="32"/>
          <w:szCs w:val="32"/>
        </w:rPr>
        <w:t>%，主要包括办公费</w:t>
      </w:r>
      <w:r>
        <w:rPr>
          <w:rFonts w:hint="eastAsia" w:ascii="Times New Roman" w:hAnsi="Times New Roman" w:eastAsia="仿宋_GB2312" w:cs="Times New Roman"/>
          <w:color w:val="auto"/>
          <w:sz w:val="32"/>
          <w:szCs w:val="32"/>
          <w:lang w:val="en-US" w:eastAsia="zh-CN"/>
        </w:rPr>
        <w:t>0.26万元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水费</w:t>
      </w:r>
      <w:r>
        <w:rPr>
          <w:rFonts w:hint="eastAsia" w:ascii="Times New Roman" w:hAnsi="Times New Roman" w:eastAsia="仿宋_GB2312" w:cs="Times New Roman"/>
          <w:color w:val="auto"/>
          <w:sz w:val="32"/>
          <w:szCs w:val="32"/>
          <w:lang w:val="en-US" w:eastAsia="zh-CN"/>
        </w:rPr>
        <w:t>0.2万元</w:t>
      </w:r>
      <w:r>
        <w:rPr>
          <w:rFonts w:hint="eastAsia" w:ascii="Times New Roman" w:hAnsi="Times New Roman" w:eastAsia="仿宋_GB2312" w:cs="Times New Roman"/>
          <w:color w:val="auto"/>
          <w:sz w:val="32"/>
          <w:szCs w:val="32"/>
          <w:lang w:eastAsia="zh-CN"/>
        </w:rPr>
        <w:t>、电费</w:t>
      </w:r>
      <w:r>
        <w:rPr>
          <w:rFonts w:hint="eastAsia" w:ascii="Times New Roman" w:hAnsi="Times New Roman" w:eastAsia="仿宋_GB2312" w:cs="Times New Roman"/>
          <w:color w:val="auto"/>
          <w:sz w:val="32"/>
          <w:szCs w:val="32"/>
          <w:lang w:val="en-US" w:eastAsia="zh-CN"/>
        </w:rPr>
        <w:t>1.07万元</w:t>
      </w:r>
      <w:r>
        <w:rPr>
          <w:rFonts w:hint="eastAsia" w:ascii="Times New Roman" w:hAnsi="Times New Roman" w:eastAsia="仿宋_GB2312" w:cs="Times New Roman"/>
          <w:color w:val="auto"/>
          <w:sz w:val="32"/>
          <w:szCs w:val="32"/>
          <w:lang w:eastAsia="zh-CN"/>
        </w:rPr>
        <w:t>、邮电费</w:t>
      </w:r>
      <w:r>
        <w:rPr>
          <w:rFonts w:hint="eastAsia" w:ascii="Times New Roman" w:hAnsi="Times New Roman" w:eastAsia="仿宋_GB2312" w:cs="Times New Roman"/>
          <w:color w:val="auto"/>
          <w:sz w:val="32"/>
          <w:szCs w:val="32"/>
          <w:lang w:val="en-US" w:eastAsia="zh-CN"/>
        </w:rPr>
        <w:t>0.23万元</w:t>
      </w:r>
      <w:r>
        <w:rPr>
          <w:rFonts w:hint="eastAsia" w:ascii="Times New Roman" w:hAnsi="Times New Roman" w:eastAsia="仿宋_GB2312" w:cs="Times New Roman"/>
          <w:color w:val="auto"/>
          <w:sz w:val="32"/>
          <w:szCs w:val="32"/>
          <w:lang w:eastAsia="zh-CN"/>
        </w:rPr>
        <w:t>、差旅费</w:t>
      </w:r>
      <w:r>
        <w:rPr>
          <w:rFonts w:hint="eastAsia" w:ascii="Times New Roman" w:hAnsi="Times New Roman" w:eastAsia="仿宋_GB2312" w:cs="Times New Roman"/>
          <w:color w:val="auto"/>
          <w:sz w:val="32"/>
          <w:szCs w:val="32"/>
          <w:lang w:val="en-US" w:eastAsia="zh-CN"/>
        </w:rPr>
        <w:t>2.16万元</w:t>
      </w:r>
      <w:r>
        <w:rPr>
          <w:rFonts w:hint="eastAsia" w:ascii="Times New Roman" w:hAnsi="Times New Roman" w:eastAsia="仿宋_GB2312" w:cs="Times New Roman"/>
          <w:color w:val="auto"/>
          <w:sz w:val="32"/>
          <w:szCs w:val="32"/>
          <w:lang w:eastAsia="zh-CN"/>
        </w:rPr>
        <w:t>、维修费</w:t>
      </w:r>
      <w:r>
        <w:rPr>
          <w:rFonts w:hint="eastAsia" w:ascii="Times New Roman" w:hAnsi="Times New Roman" w:eastAsia="仿宋_GB2312" w:cs="Times New Roman"/>
          <w:color w:val="auto"/>
          <w:sz w:val="32"/>
          <w:szCs w:val="32"/>
          <w:lang w:val="en-US" w:eastAsia="zh-CN"/>
        </w:rPr>
        <w:t>0.05万元、</w:t>
      </w:r>
      <w:r>
        <w:rPr>
          <w:rFonts w:hint="eastAsia" w:ascii="Times New Roman" w:hAnsi="Times New Roman" w:eastAsia="仿宋_GB2312" w:cs="Times New Roman"/>
          <w:color w:val="auto"/>
          <w:sz w:val="32"/>
          <w:szCs w:val="32"/>
          <w:lang w:eastAsia="zh-CN"/>
        </w:rPr>
        <w:t>福利费</w:t>
      </w:r>
      <w:r>
        <w:rPr>
          <w:rFonts w:hint="eastAsia" w:ascii="Times New Roman" w:hAnsi="Times New Roman" w:eastAsia="仿宋_GB2312" w:cs="Times New Roman"/>
          <w:color w:val="auto"/>
          <w:sz w:val="32"/>
          <w:szCs w:val="32"/>
          <w:lang w:val="en-US" w:eastAsia="zh-CN"/>
        </w:rPr>
        <w:t>0.16万元</w:t>
      </w:r>
      <w:r>
        <w:rPr>
          <w:rFonts w:hint="eastAsia" w:ascii="Times New Roman" w:hAnsi="Times New Roman" w:eastAsia="仿宋_GB2312" w:cs="Times New Roman"/>
          <w:color w:val="auto"/>
          <w:sz w:val="32"/>
          <w:szCs w:val="32"/>
          <w:lang w:eastAsia="zh-CN"/>
        </w:rPr>
        <w:t>、其他交通费</w:t>
      </w:r>
      <w:r>
        <w:rPr>
          <w:rFonts w:hint="eastAsia" w:ascii="Times New Roman" w:hAnsi="Times New Roman" w:eastAsia="仿宋_GB2312" w:cs="Times New Roman"/>
          <w:color w:val="auto"/>
          <w:sz w:val="32"/>
          <w:szCs w:val="32"/>
          <w:lang w:val="en-US" w:eastAsia="zh-CN"/>
        </w:rPr>
        <w:t>1.79万元</w:t>
      </w:r>
      <w:r>
        <w:rPr>
          <w:rFonts w:hint="eastAsia" w:ascii="Times New Roman" w:hAnsi="Times New Roman" w:eastAsia="仿宋_GB2312" w:cs="Times New Roman"/>
          <w:color w:val="auto"/>
          <w:sz w:val="32"/>
          <w:szCs w:val="32"/>
          <w:lang w:eastAsia="zh-CN"/>
        </w:rPr>
        <w:t>、其他商品和服务支出</w:t>
      </w:r>
      <w:r>
        <w:rPr>
          <w:rFonts w:hint="eastAsia" w:ascii="Times New Roman" w:hAnsi="Times New Roman" w:eastAsia="仿宋_GB2312" w:cs="Times New Roman"/>
          <w:color w:val="auto"/>
          <w:sz w:val="32"/>
          <w:szCs w:val="32"/>
          <w:lang w:val="en-US" w:eastAsia="zh-CN"/>
        </w:rPr>
        <w:t>0.02万元</w:t>
      </w:r>
      <w:r>
        <w:rPr>
          <w:rFonts w:ascii="Times New Roman" w:hAnsi="Times New Roman" w:eastAsia="仿宋_GB2312" w:cs="Times New Roman"/>
          <w:color w:val="auto"/>
          <w:sz w:val="32"/>
          <w:szCs w:val="32"/>
        </w:rPr>
        <w:t>。</w:t>
      </w:r>
    </w:p>
    <w:p w14:paraId="3DE763F7">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24AEACE5">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6FBAD2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16CA68E">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DE62659">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ascii="Times New Roman" w:hAnsi="Times New Roman" w:eastAsia="楷体_GB2312" w:cs="Times New Roman"/>
          <w:b/>
          <w:bCs/>
          <w:i/>
          <w:color w:val="auto"/>
          <w:sz w:val="32"/>
          <w:szCs w:val="32"/>
        </w:rPr>
        <w:t>（精确到个位数）</w:t>
      </w:r>
      <w:r>
        <w:rPr>
          <w:rFonts w:ascii="Times New Roman" w:hAnsi="Times New Roman" w:eastAsia="楷体" w:cs="Times New Roman"/>
          <w:b/>
          <w:bCs/>
          <w:i/>
          <w:color w:val="auto"/>
          <w:sz w:val="32"/>
          <w:szCs w:val="32"/>
        </w:rPr>
        <w:t>,</w:t>
      </w:r>
      <w:r>
        <w:rPr>
          <w:rFonts w:ascii="Times New Roman" w:hAnsi="Times New Roman" w:eastAsia="仿宋_GB2312" w:cs="Times New Roman"/>
          <w:sz w:val="32"/>
          <w:szCs w:val="32"/>
        </w:rPr>
        <w:t>主要包括：</w:t>
      </w:r>
    </w:p>
    <w:p w14:paraId="77A2308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0421A34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溆浦县商业企业改制服务办公室</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14:paraId="695A3CF5">
      <w:pPr>
        <w:pStyle w:val="15"/>
        <w:overflowPunct w:val="0"/>
        <w:autoSpaceDE/>
        <w:autoSpaceDN/>
        <w:spacing w:line="600" w:lineRule="exact"/>
        <w:ind w:firstLine="640" w:firstLineChars="200"/>
        <w:jc w:val="both"/>
        <w:rPr>
          <w:rFonts w:hint="eastAsia" w:ascii="Times New Roman" w:hAnsi="Times New Roman" w:eastAsia="仿宋_GB2312" w:cs="Times New Roman"/>
          <w:b/>
          <w:bCs/>
          <w:i/>
          <w:sz w:val="32"/>
          <w:szCs w:val="32"/>
          <w:lang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53AD5A3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楷体_GB2312" w:cs="Times New Roman"/>
          <w:b/>
          <w:bCs/>
          <w:i/>
          <w:color w:val="auto"/>
          <w:sz w:val="32"/>
          <w:szCs w:val="32"/>
          <w:lang w:eastAsia="zh-CN"/>
        </w:rPr>
        <w:t>，</w:t>
      </w:r>
      <w:r>
        <w:rPr>
          <w:rFonts w:ascii="Times New Roman" w:hAnsi="Times New Roman" w:eastAsia="仿宋_GB2312" w:cs="Times New Roman"/>
          <w:sz w:val="32"/>
          <w:szCs w:val="32"/>
        </w:rPr>
        <w:t>发生的接待支出。</w:t>
      </w:r>
    </w:p>
    <w:p w14:paraId="36380C7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D0B06F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年度</w:t>
      </w:r>
      <w:r>
        <w:rPr>
          <w:rFonts w:hint="eastAsia" w:ascii="仿宋" w:hAnsi="仿宋" w:eastAsia="仿宋" w:cs="仿宋"/>
          <w:sz w:val="32"/>
          <w:szCs w:val="32"/>
          <w:lang w:val="en-US" w:eastAsia="zh-CN"/>
        </w:rPr>
        <w:t>本单位无</w:t>
      </w:r>
      <w:r>
        <w:rPr>
          <w:rFonts w:hint="eastAsia" w:ascii="仿宋" w:hAnsi="仿宋" w:eastAsia="仿宋" w:cs="仿宋"/>
          <w:sz w:val="32"/>
          <w:szCs w:val="32"/>
        </w:rPr>
        <w:t>政府性基金预算财政拨款收</w:t>
      </w:r>
      <w:r>
        <w:rPr>
          <w:rFonts w:hint="eastAsia" w:ascii="仿宋" w:hAnsi="仿宋" w:eastAsia="仿宋" w:cs="仿宋"/>
          <w:sz w:val="32"/>
          <w:szCs w:val="32"/>
          <w:lang w:val="en-US" w:eastAsia="zh-CN"/>
        </w:rPr>
        <w:t>支。</w:t>
      </w:r>
    </w:p>
    <w:p w14:paraId="43ECC011">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九、关于机关运行经费支出说明</w:t>
      </w:r>
    </w:p>
    <w:p w14:paraId="09F2D5C4">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本部门2024年度机关运行经费支出</w:t>
      </w:r>
      <w:r>
        <w:rPr>
          <w:rFonts w:hint="eastAsia" w:ascii="Times New Roman" w:hAnsi="Times New Roman" w:eastAsia="仿宋_GB2312" w:cs="Times New Roman"/>
          <w:color w:val="auto"/>
          <w:sz w:val="32"/>
          <w:szCs w:val="32"/>
          <w:lang w:val="en-US" w:eastAsia="zh-CN"/>
        </w:rPr>
        <w:t>5.94</w:t>
      </w:r>
      <w:r>
        <w:rPr>
          <w:rFonts w:ascii="Times New Roman" w:hAnsi="Times New Roman" w:eastAsia="仿宋_GB2312" w:cs="Times New Roman"/>
          <w:color w:val="auto"/>
          <w:sz w:val="32"/>
          <w:szCs w:val="32"/>
        </w:rPr>
        <w:t>万元，比上年决算数减少</w:t>
      </w:r>
      <w:r>
        <w:rPr>
          <w:rFonts w:hint="eastAsia" w:ascii="Times New Roman" w:hAnsi="Times New Roman" w:eastAsia="仿宋_GB2312" w:cs="Times New Roman"/>
          <w:color w:val="auto"/>
          <w:sz w:val="32"/>
          <w:szCs w:val="32"/>
          <w:lang w:val="en-US" w:eastAsia="zh-CN"/>
        </w:rPr>
        <w:t>1.15</w:t>
      </w:r>
      <w:r>
        <w:rPr>
          <w:rFonts w:ascii="Times New Roman" w:hAnsi="Times New Roman" w:eastAsia="仿宋_GB2312" w:cs="Times New Roman"/>
          <w:color w:val="auto"/>
          <w:sz w:val="32"/>
          <w:szCs w:val="32"/>
        </w:rPr>
        <w:t>万元，降低</w:t>
      </w:r>
      <w:r>
        <w:rPr>
          <w:rFonts w:hint="eastAsia" w:ascii="Times New Roman" w:hAnsi="Times New Roman" w:eastAsia="仿宋_GB2312" w:cs="Times New Roman"/>
          <w:color w:val="auto"/>
          <w:sz w:val="32"/>
          <w:szCs w:val="32"/>
          <w:lang w:val="en-US" w:eastAsia="zh-CN"/>
        </w:rPr>
        <w:t>19.36%</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其他商品和服务支出减少1.15万元。</w:t>
      </w:r>
    </w:p>
    <w:p w14:paraId="0182DFAB">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十、一般性支出情况说明</w:t>
      </w:r>
    </w:p>
    <w:p w14:paraId="0467C30D">
      <w:pPr>
        <w:pStyle w:val="15"/>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万元，用于召开</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人；开支培训费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万元，用于开展</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培训，人数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w:t>
      </w:r>
      <w:r>
        <w:rPr>
          <w:rFonts w:hint="eastAsia" w:ascii="Times New Roman" w:hAnsi="Times New Roman" w:eastAsia="仿宋_GB2312"/>
          <w:color w:val="auto"/>
          <w:sz w:val="32"/>
          <w:szCs w:val="32"/>
        </w:rPr>
        <w:t>差旅费</w:t>
      </w:r>
      <w:r>
        <w:rPr>
          <w:rFonts w:hint="eastAsia" w:ascii="Times New Roman" w:hAnsi="Times New Roman" w:eastAsia="仿宋_GB2312"/>
          <w:color w:val="auto"/>
          <w:sz w:val="32"/>
          <w:szCs w:val="32"/>
          <w:lang w:val="en-US" w:eastAsia="zh-CN"/>
        </w:rPr>
        <w:t>2.16</w:t>
      </w:r>
      <w:r>
        <w:rPr>
          <w:rFonts w:hint="eastAsia" w:ascii="Times New Roman" w:hAnsi="Times New Roman" w:eastAsia="仿宋_GB2312"/>
          <w:color w:val="auto"/>
          <w:sz w:val="32"/>
          <w:szCs w:val="32"/>
        </w:rPr>
        <w:t>万元，为职工下乡等出差补助；办公费0.</w:t>
      </w:r>
      <w:r>
        <w:rPr>
          <w:rFonts w:hint="eastAsia" w:ascii="Times New Roman" w:hAnsi="Times New Roman" w:eastAsia="仿宋_GB2312"/>
          <w:color w:val="auto"/>
          <w:sz w:val="32"/>
          <w:szCs w:val="32"/>
          <w:lang w:val="en-US" w:eastAsia="zh-CN"/>
        </w:rPr>
        <w:t>26</w:t>
      </w:r>
      <w:r>
        <w:rPr>
          <w:rFonts w:hint="eastAsia" w:ascii="Times New Roman" w:hAnsi="Times New Roman" w:eastAsia="仿宋_GB2312"/>
          <w:color w:val="auto"/>
          <w:sz w:val="32"/>
          <w:szCs w:val="32"/>
        </w:rPr>
        <w:t>万元，用于办公用品购置；水电费1.</w:t>
      </w:r>
      <w:r>
        <w:rPr>
          <w:rFonts w:hint="eastAsia" w:ascii="Times New Roman" w:hAnsi="Times New Roman" w:eastAsia="仿宋_GB2312"/>
          <w:color w:val="auto"/>
          <w:sz w:val="32"/>
          <w:szCs w:val="32"/>
          <w:lang w:val="en-US" w:eastAsia="zh-CN"/>
        </w:rPr>
        <w:t>27</w:t>
      </w:r>
      <w:r>
        <w:rPr>
          <w:rFonts w:hint="eastAsia" w:ascii="Times New Roman" w:hAnsi="Times New Roman" w:eastAsia="仿宋_GB2312"/>
          <w:color w:val="auto"/>
          <w:sz w:val="32"/>
          <w:szCs w:val="32"/>
        </w:rPr>
        <w:t>万元，用于办公用水用电开支；维护费</w:t>
      </w:r>
      <w:r>
        <w:rPr>
          <w:rFonts w:hint="eastAsia" w:ascii="Times New Roman" w:hAnsi="Times New Roman" w:eastAsia="仿宋_GB2312"/>
          <w:color w:val="auto"/>
          <w:sz w:val="32"/>
          <w:szCs w:val="32"/>
          <w:lang w:val="en-US" w:eastAsia="zh-CN"/>
        </w:rPr>
        <w:t>0.05</w:t>
      </w:r>
      <w:r>
        <w:rPr>
          <w:rFonts w:hint="eastAsia" w:ascii="Times New Roman" w:hAnsi="Times New Roman" w:eastAsia="仿宋_GB2312"/>
          <w:color w:val="auto"/>
          <w:sz w:val="32"/>
          <w:szCs w:val="32"/>
        </w:rPr>
        <w:t>万元，用于办公楼维修开支；其他交通费用1.</w:t>
      </w:r>
      <w:r>
        <w:rPr>
          <w:rFonts w:hint="eastAsia" w:ascii="Times New Roman" w:hAnsi="Times New Roman" w:eastAsia="仿宋_GB2312"/>
          <w:color w:val="auto"/>
          <w:sz w:val="32"/>
          <w:szCs w:val="32"/>
          <w:lang w:val="en-US" w:eastAsia="zh-CN"/>
        </w:rPr>
        <w:t>79</w:t>
      </w:r>
      <w:r>
        <w:rPr>
          <w:rFonts w:hint="eastAsia" w:ascii="Times New Roman" w:hAnsi="Times New Roman" w:eastAsia="仿宋_GB2312"/>
          <w:color w:val="auto"/>
          <w:sz w:val="32"/>
          <w:szCs w:val="32"/>
        </w:rPr>
        <w:t>万元，为职工交通补贴。</w:t>
      </w:r>
    </w:p>
    <w:p w14:paraId="25A4055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0FFFEDCF">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01B886FE">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5AC582FE">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E4C7B45">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0E49E40">
      <w:pPr>
        <w:ind w:firstLine="640" w:firstLineChars="200"/>
        <w:rPr>
          <w:rFonts w:ascii="Times New Roman" w:hAnsi="Times New Roman" w:eastAsia="楷体" w:cs="Times New Roman"/>
          <w:b/>
          <w:bCs/>
          <w:color w:val="FF0000"/>
          <w:sz w:val="32"/>
          <w:szCs w:val="32"/>
        </w:rPr>
      </w:pPr>
      <w:r>
        <w:rPr>
          <w:rFonts w:ascii="Times New Roman" w:hAnsi="Times New Roman" w:eastAsia="楷体_GB2312" w:cs="Times New Roman"/>
          <w:b/>
          <w:bCs/>
          <w:color w:val="auto"/>
          <w:sz w:val="32"/>
          <w:szCs w:val="32"/>
        </w:rPr>
        <w:t>（一）绩效评价工作开展情况。</w:t>
      </w:r>
      <w:r>
        <w:rPr>
          <w:rFonts w:ascii="Times New Roman" w:hAnsi="Times New Roman" w:eastAsia="仿宋_GB2312" w:cs="Times New Roman"/>
          <w:b/>
          <w:bCs/>
          <w:color w:val="auto"/>
          <w:kern w:val="0"/>
          <w:sz w:val="32"/>
          <w:szCs w:val="32"/>
        </w:rPr>
        <w:t>一是绩效自评开展情况。</w:t>
      </w:r>
      <w:r>
        <w:rPr>
          <w:rFonts w:hint="eastAsia" w:ascii="仿宋" w:hAnsi="仿宋" w:eastAsia="仿宋"/>
          <w:color w:val="auto"/>
          <w:sz w:val="32"/>
          <w:szCs w:val="32"/>
        </w:rPr>
        <w:t>根据文件要求，本单位对2024年度的部门履职效能情况、单位运行情况、预算执行等部门整体支出资金进行了绩效自评。2024年度全年预算数325.97万元，执行数325.97万元。涉及项目5 个，即对2024年度“商都宾馆拆除补偿款”、“商业物管办划拨土地补偿款”、“商业物管办职工安置补偿”、“商业物管办职工养老保险”、遗属生活补助等5个项目开展了绩效自评。</w:t>
      </w:r>
      <w:r>
        <w:rPr>
          <w:rFonts w:ascii="Times New Roman" w:hAnsi="Times New Roman" w:eastAsia="仿宋_GB2312" w:cs="Times New Roman"/>
          <w:b/>
          <w:bCs/>
          <w:color w:val="auto"/>
          <w:kern w:val="0"/>
          <w:sz w:val="32"/>
          <w:szCs w:val="32"/>
        </w:rPr>
        <w:t>二是部门评价开展情况。</w:t>
      </w:r>
      <w:r>
        <w:rPr>
          <w:rFonts w:ascii="Times New Roman" w:hAnsi="Times New Roman" w:eastAsia="仿宋_GB2312" w:cs="Times New Roman"/>
          <w:color w:val="auto"/>
          <w:kern w:val="0"/>
          <w:sz w:val="32"/>
          <w:szCs w:val="32"/>
        </w:rPr>
        <w:t>组织对所属单位2024年度“</w:t>
      </w:r>
      <w:r>
        <w:rPr>
          <w:rFonts w:hint="eastAsia" w:ascii="Times New Roman" w:hAnsi="Times New Roman" w:eastAsia="仿宋_GB2312" w:cs="Times New Roman"/>
          <w:color w:val="auto"/>
          <w:sz w:val="32"/>
          <w:szCs w:val="32"/>
          <w:lang w:eastAsia="zh-CN"/>
        </w:rPr>
        <w:t>商都宾馆拆除补偿款</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sz w:val="32"/>
          <w:szCs w:val="32"/>
          <w:lang w:eastAsia="zh-CN"/>
        </w:rPr>
        <w:t>商业物管办划拨土地补偿款</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sz w:val="32"/>
          <w:szCs w:val="32"/>
          <w:lang w:eastAsia="zh-CN"/>
        </w:rPr>
        <w:t>商业物管办职工安置补偿</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sz w:val="32"/>
          <w:szCs w:val="32"/>
          <w:lang w:eastAsia="zh-CN"/>
        </w:rPr>
        <w:t>商业物管办职工养老保险</w:t>
      </w:r>
      <w:r>
        <w:rPr>
          <w:rFonts w:ascii="Times New Roman" w:hAnsi="Times New Roman" w:eastAsia="仿宋_GB2312" w:cs="Times New Roman"/>
          <w:color w:val="auto"/>
          <w:kern w:val="0"/>
          <w:sz w:val="32"/>
          <w:szCs w:val="32"/>
        </w:rPr>
        <w:t>”等</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kern w:val="0"/>
          <w:sz w:val="32"/>
          <w:szCs w:val="32"/>
        </w:rPr>
        <w:t>个项目开展了部门评价，涉及一般公共预算支出</w:t>
      </w:r>
      <w:r>
        <w:rPr>
          <w:rFonts w:hint="eastAsia" w:ascii="Times New Roman" w:hAnsi="Times New Roman" w:eastAsia="仿宋_GB2312" w:cs="Times New Roman"/>
          <w:color w:val="auto"/>
          <w:kern w:val="0"/>
          <w:sz w:val="32"/>
          <w:szCs w:val="32"/>
        </w:rPr>
        <w:t>281.96</w:t>
      </w:r>
      <w:r>
        <w:rPr>
          <w:rFonts w:ascii="Times New Roman" w:hAnsi="Times New Roman" w:eastAsia="仿宋_GB2312" w:cs="Times New Roman"/>
          <w:color w:val="auto"/>
          <w:kern w:val="0"/>
          <w:sz w:val="32"/>
          <w:szCs w:val="32"/>
        </w:rPr>
        <w:t>万元，政府性基金预算支出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万元，国有资本经营预算支出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万元，社会保险基金预算支出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w:t>
      </w:r>
      <w:r>
        <w:rPr>
          <w:rFonts w:ascii="Times New Roman" w:hAnsi="Times New Roman" w:eastAsia="仿宋_GB2312" w:cs="Times New Roman"/>
          <w:b/>
          <w:bCs/>
          <w:color w:val="auto"/>
          <w:kern w:val="0"/>
          <w:sz w:val="32"/>
          <w:szCs w:val="32"/>
        </w:rPr>
        <w:t>三是事前绩效评估开展情况。</w:t>
      </w:r>
      <w:r>
        <w:rPr>
          <w:rFonts w:hint="eastAsia" w:ascii="仿宋" w:hAnsi="仿宋" w:eastAsia="仿宋"/>
          <w:color w:val="auto"/>
          <w:sz w:val="32"/>
          <w:szCs w:val="32"/>
        </w:rPr>
        <w:t>组织对2024年度0个新增重大政策和0个重大项目开展事前绩效评估，共涉及资金0万元。</w:t>
      </w:r>
    </w:p>
    <w:p w14:paraId="3A67D827">
      <w:pPr>
        <w:ind w:firstLine="640" w:firstLineChars="200"/>
        <w:rPr>
          <w:rFonts w:ascii="Times New Roman" w:hAnsi="Times New Roman" w:eastAsia="仿宋_GB2312" w:cs="Times New Roman"/>
          <w:bCs/>
          <w:color w:val="auto"/>
          <w:sz w:val="32"/>
          <w:szCs w:val="32"/>
        </w:rPr>
      </w:pPr>
      <w:r>
        <w:rPr>
          <w:rFonts w:ascii="Times New Roman" w:hAnsi="Times New Roman" w:eastAsia="楷体_GB2312" w:cs="Times New Roman"/>
          <w:b/>
          <w:bCs/>
          <w:color w:val="auto"/>
          <w:sz w:val="32"/>
          <w:szCs w:val="32"/>
        </w:rPr>
        <w:t>（二）绩效评价结果。</w:t>
      </w:r>
      <w:r>
        <w:rPr>
          <w:rFonts w:ascii="Times New Roman" w:hAnsi="Times New Roman" w:eastAsia="仿宋_GB2312" w:cs="Times New Roman"/>
          <w:b/>
          <w:bCs/>
          <w:color w:val="auto"/>
          <w:kern w:val="0"/>
          <w:sz w:val="32"/>
          <w:szCs w:val="32"/>
        </w:rPr>
        <w:t>一是绩效自评结果。</w:t>
      </w:r>
      <w:r>
        <w:rPr>
          <w:rFonts w:hint="eastAsia" w:ascii="仿宋" w:hAnsi="仿宋" w:eastAsia="仿宋"/>
          <w:color w:val="auto"/>
          <w:sz w:val="32"/>
          <w:szCs w:val="32"/>
        </w:rPr>
        <w:t>根据年初设定的保障单位正常运转，做好下属企业管理与服务工作，确保所属企业生产安全有效、职工状态良好，维护社会和谐稳定，本单位完成了本年度的既定目标，达到了预期效果。2024年度本单位整体支出全年预算数325.97万元，执行数325.97万元，完成预算的100%，绩效自评得分94.5分，评价等级为“优</w:t>
      </w:r>
      <w:bookmarkStart w:id="0" w:name="OLE_LINK2"/>
      <w:bookmarkStart w:id="1" w:name="OLE_LINK1"/>
      <w:r>
        <w:rPr>
          <w:rFonts w:hint="eastAsia" w:ascii="仿宋" w:hAnsi="仿宋" w:eastAsia="仿宋"/>
          <w:color w:val="auto"/>
          <w:sz w:val="32"/>
          <w:szCs w:val="32"/>
        </w:rPr>
        <w:t>”</w:t>
      </w:r>
      <w:bookmarkEnd w:id="0"/>
      <w:bookmarkEnd w:id="1"/>
      <w:r>
        <w:rPr>
          <w:rFonts w:hint="eastAsia" w:ascii="仿宋" w:hAnsi="仿宋" w:eastAsia="仿宋"/>
          <w:color w:val="auto"/>
          <w:sz w:val="32"/>
          <w:szCs w:val="32"/>
        </w:rPr>
        <w:t>。</w:t>
      </w:r>
      <w:r>
        <w:rPr>
          <w:rFonts w:ascii="Times New Roman" w:hAnsi="Times New Roman" w:eastAsia="仿宋_GB2312" w:cs="Times New Roman"/>
          <w:color w:val="auto"/>
          <w:sz w:val="32"/>
          <w:szCs w:val="32"/>
        </w:rPr>
        <w:t>绩效目标完成情况：</w:t>
      </w:r>
      <w:r>
        <w:rPr>
          <w:rFonts w:hint="eastAsia" w:ascii="仿宋" w:hAnsi="仿宋" w:eastAsia="仿宋"/>
          <w:color w:val="auto"/>
          <w:sz w:val="32"/>
          <w:szCs w:val="32"/>
        </w:rPr>
        <w:t>一是做好本单位的日常管理工作。本单位围绕年初制定的目标任务，努力做好安全生产、综治维稳资产保值增值等管理工作，确保了2024年度本单位的正常运转的工作目标。二是做好下属改制企业的管理工作及退休人员的服务工作。2024年度本单位以保障和改善民生为出发点，始终把解决好下岗职工的正当权益摆在首位，积极主动做好下属企业下岗职工和离退休人员的服务工作，基本实现了各企业平稳运行。发现的主要问题及原因：一是本单位承担着商业企业改制与管理的任务，工作任务繁重，但由于人员少，年初预算基数低，单位运转经费缺口大；二是部门预算执行出现偏差。2024年度虽全年预算数325.97万元，部门整体支出执行数325.97万元，预算执行率100%，但年初预算与执行数在基本支出与专项支出分项上出现了偏差。主要是由于年初列入预算的项目支出，实际支出则列入了基本支出。三是由于</w:t>
      </w:r>
      <w:r>
        <w:rPr>
          <w:rFonts w:hint="eastAsia" w:ascii="仿宋" w:hAnsi="仿宋" w:eastAsia="仿宋" w:cs="仿宋"/>
          <w:color w:val="auto"/>
          <w:sz w:val="32"/>
          <w:szCs w:val="32"/>
        </w:rPr>
        <w:t>下属各企业均属于改制的困难企业，下岗职工养老保险金欠缴金额大，历史遗留问题多，各企业面临的各种困境始终难以扭转。</w:t>
      </w:r>
      <w:r>
        <w:rPr>
          <w:rFonts w:hint="eastAsia" w:ascii="仿宋" w:hAnsi="仿宋" w:eastAsia="仿宋"/>
          <w:color w:val="auto"/>
          <w:sz w:val="32"/>
          <w:szCs w:val="32"/>
        </w:rPr>
        <w:t>下一步改进措施：针对本单位存在的问题及整体支出管理工作的需要，为提高资金使用效率，更有效地履行部门职责，本单位特提出如下改进措施：一是加强资产管理，力增资产收益和稳定经营收入，确保国有资产保值增值，努力拓宽增收渠道，确保单位的正常运转；二是</w:t>
      </w:r>
      <w:r>
        <w:rPr>
          <w:rFonts w:hint="eastAsia" w:ascii="仿宋" w:hAnsi="仿宋" w:eastAsia="仿宋" w:cs="仿宋_GB2312"/>
          <w:color w:val="auto"/>
          <w:kern w:val="0"/>
          <w:sz w:val="32"/>
          <w:szCs w:val="32"/>
        </w:rPr>
        <w:t>编制预算做到有据可依，优化编制流程，采用科学的方法、合理的分配与严格的执行，进一步提高预算编制的科学性、合理性和可控性。三是</w:t>
      </w:r>
      <w:r>
        <w:rPr>
          <w:rFonts w:hint="eastAsia" w:ascii="仿宋" w:hAnsi="仿宋" w:eastAsia="仿宋"/>
          <w:color w:val="auto"/>
          <w:sz w:val="32"/>
          <w:szCs w:val="32"/>
        </w:rPr>
        <w:t>协助企业破解各种难题，</w:t>
      </w:r>
      <w:r>
        <w:rPr>
          <w:rFonts w:hint="eastAsia" w:ascii="仿宋" w:hAnsi="仿宋" w:eastAsia="仿宋" w:cs="仿宋_GB2312"/>
          <w:color w:val="auto"/>
          <w:kern w:val="0"/>
          <w:sz w:val="32"/>
          <w:szCs w:val="32"/>
        </w:rPr>
        <w:t>面对职工养老保险金欠缴压力，根据各企业的实际情况，多措并举，想方设法确保下岗职工正常退休，维护大局的稳定。</w:t>
      </w:r>
    </w:p>
    <w:p w14:paraId="0585B2BF">
      <w:pPr>
        <w:pStyle w:val="15"/>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099C7738">
      <w:pPr>
        <w:pStyle w:val="15"/>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1.</w:t>
      </w:r>
      <w:r>
        <w:rPr>
          <w:rFonts w:hint="eastAsia" w:ascii="Times New Roman" w:hAnsi="Times New Roman" w:eastAsia="仿宋_GB2312" w:cs="Times New Roman"/>
          <w:color w:val="auto"/>
          <w:kern w:val="2"/>
          <w:sz w:val="32"/>
          <w:szCs w:val="32"/>
        </w:rPr>
        <w:t>部门预算方面：加强新《预算法》、《行政单位会计制度》等学习培训，在上级主管部门领导下做好</w:t>
      </w:r>
      <w:r>
        <w:rPr>
          <w:rFonts w:ascii="Times New Roman" w:hAnsi="Times New Roman" w:eastAsia="仿宋_GB2312" w:cs="Times New Roman"/>
          <w:color w:val="auto"/>
          <w:kern w:val="2"/>
          <w:sz w:val="32"/>
          <w:szCs w:val="32"/>
        </w:rPr>
        <w:t>2025</w:t>
      </w:r>
      <w:r>
        <w:rPr>
          <w:rFonts w:hint="eastAsia" w:ascii="Times New Roman" w:hAnsi="Times New Roman" w:eastAsia="仿宋_GB2312" w:cs="Times New Roman"/>
          <w:color w:val="auto"/>
          <w:kern w:val="2"/>
          <w:sz w:val="32"/>
          <w:szCs w:val="32"/>
        </w:rPr>
        <w:t>年度年初预算，依照下达预算指标严格执行预算支出。</w:t>
      </w:r>
    </w:p>
    <w:p w14:paraId="40587D2B">
      <w:pPr>
        <w:pStyle w:val="15"/>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2.</w:t>
      </w:r>
      <w:r>
        <w:rPr>
          <w:rFonts w:hint="eastAsia" w:ascii="Times New Roman" w:hAnsi="Times New Roman" w:eastAsia="仿宋_GB2312" w:cs="Times New Roman"/>
          <w:color w:val="auto"/>
          <w:kern w:val="2"/>
          <w:sz w:val="32"/>
          <w:szCs w:val="32"/>
        </w:rPr>
        <w:t>内部控制管理方面：完善内部控制管理制度并按制度严格执行，实行权责分配，做好内部审计，及时预估风险，针对风险采取控制措施，发现问题及时改进。</w:t>
      </w:r>
    </w:p>
    <w:p w14:paraId="445E4D53">
      <w:pPr>
        <w:pStyle w:val="15"/>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3.</w:t>
      </w:r>
      <w:r>
        <w:rPr>
          <w:rFonts w:hint="eastAsia" w:ascii="Times New Roman" w:hAnsi="Times New Roman" w:eastAsia="仿宋_GB2312" w:cs="Times New Roman"/>
          <w:color w:val="auto"/>
          <w:kern w:val="2"/>
          <w:sz w:val="32"/>
          <w:szCs w:val="32"/>
        </w:rPr>
        <w:t>资金管理方面：严格执行国库集中支付、政府采购等规定，确保资金支付安全规范，依托财政一体化系统和内部管理台账，确保各项资金专款专用，杜绝发生截留、挤占或挪用资金的情况。</w:t>
      </w:r>
    </w:p>
    <w:p w14:paraId="6922AB48">
      <w:pPr>
        <w:pStyle w:val="15"/>
        <w:overflowPunct w:val="0"/>
        <w:autoSpaceDE/>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仿宋_GB2312" w:cs="Times New Roman"/>
          <w:color w:val="auto"/>
          <w:kern w:val="2"/>
          <w:sz w:val="32"/>
          <w:szCs w:val="32"/>
        </w:rPr>
        <w:t>4.</w:t>
      </w:r>
      <w:r>
        <w:rPr>
          <w:rFonts w:hint="eastAsia" w:ascii="Times New Roman" w:hAnsi="Times New Roman" w:eastAsia="仿宋_GB2312" w:cs="Times New Roman"/>
          <w:color w:val="auto"/>
          <w:kern w:val="2"/>
          <w:sz w:val="32"/>
          <w:szCs w:val="32"/>
        </w:rPr>
        <w:t>资产管理方面：专人负责，资产购入、保管、使用、报废按照资产管理制度流程处理，杜绝资产浪费与流失的可能性，做好资产的年度清理与报表工作。</w:t>
      </w:r>
    </w:p>
    <w:p w14:paraId="75613A47">
      <w:pPr>
        <w:pStyle w:val="15"/>
        <w:jc w:val="center"/>
        <w:rPr>
          <w:rFonts w:ascii="Times New Roman" w:hAnsi="Times New Roman" w:cs="Times New Roman"/>
          <w:sz w:val="72"/>
          <w:szCs w:val="72"/>
        </w:rPr>
      </w:pPr>
    </w:p>
    <w:p w14:paraId="3001880B">
      <w:pPr>
        <w:pStyle w:val="15"/>
        <w:jc w:val="center"/>
        <w:rPr>
          <w:rFonts w:ascii="Times New Roman" w:hAnsi="Times New Roman" w:cs="Times New Roman"/>
          <w:sz w:val="72"/>
          <w:szCs w:val="72"/>
        </w:rPr>
      </w:pPr>
    </w:p>
    <w:p w14:paraId="43EE174C">
      <w:pPr>
        <w:pStyle w:val="15"/>
        <w:jc w:val="center"/>
        <w:rPr>
          <w:rFonts w:ascii="Times New Roman" w:hAnsi="Times New Roman" w:cs="Times New Roman"/>
          <w:sz w:val="72"/>
          <w:szCs w:val="72"/>
        </w:rPr>
      </w:pPr>
    </w:p>
    <w:p w14:paraId="20B0B1C0">
      <w:pPr>
        <w:pStyle w:val="15"/>
        <w:jc w:val="center"/>
        <w:rPr>
          <w:rFonts w:ascii="Times New Roman" w:hAnsi="Times New Roman" w:cs="Times New Roman"/>
          <w:sz w:val="72"/>
          <w:szCs w:val="72"/>
        </w:rPr>
      </w:pPr>
    </w:p>
    <w:p w14:paraId="75A47E3B">
      <w:pPr>
        <w:pStyle w:val="15"/>
        <w:jc w:val="center"/>
        <w:rPr>
          <w:rFonts w:ascii="Times New Roman" w:hAnsi="Times New Roman" w:cs="Times New Roman"/>
          <w:sz w:val="72"/>
          <w:szCs w:val="72"/>
        </w:rPr>
      </w:pPr>
    </w:p>
    <w:p w14:paraId="6C3CC197">
      <w:pPr>
        <w:pStyle w:val="15"/>
        <w:jc w:val="both"/>
        <w:rPr>
          <w:rFonts w:ascii="Times New Roman" w:hAnsi="Times New Roman" w:cs="Times New Roman"/>
          <w:sz w:val="72"/>
          <w:szCs w:val="72"/>
        </w:rPr>
      </w:pPr>
    </w:p>
    <w:p w14:paraId="45AEF08D">
      <w:pPr>
        <w:pStyle w:val="15"/>
        <w:spacing w:line="360" w:lineRule="auto"/>
        <w:ind w:firstLine="2080" w:firstLineChars="4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2121117C">
      <w:pPr>
        <w:widowControl/>
        <w:jc w:val="left"/>
        <w:rPr>
          <w:rFonts w:ascii="Times New Roman" w:hAnsi="Times New Roman" w:cs="Times New Roman"/>
          <w:color w:val="000000"/>
          <w:kern w:val="0"/>
          <w:sz w:val="32"/>
          <w:szCs w:val="32"/>
        </w:rPr>
      </w:pPr>
    </w:p>
    <w:p w14:paraId="5528E930">
      <w:pPr>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1、机关运行经费：是指各部门的公用经费，包括办公及印刷费、邮电费、差旅费、会议费、福利费、日常维修费、专用材料费及一般设备购置费、办公用房水电费、办公用房取暖费、办公用房物业管理费、公务用车运行了维护费以及其他费用。</w:t>
      </w:r>
    </w:p>
    <w:p w14:paraId="354A16EF">
      <w:pPr>
        <w:widowControl/>
        <w:numPr>
          <w:ilvl w:val="0"/>
          <w:numId w:val="0"/>
        </w:numPr>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2、“三公”经费：纳入 省（市、县）财政预算管理的“三公”经费</w:t>
      </w:r>
    </w:p>
    <w:p w14:paraId="701785F7">
      <w:pPr>
        <w:widowControl/>
        <w:numPr>
          <w:ilvl w:val="0"/>
          <w:numId w:val="0"/>
        </w:num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是指用一般公共预算拨款安排的公务接待费、公务用车购置及运行维护费和因公出国（境）费。其中，公务接待费反映单位按规定开支的各类公务接待支出；公务用车购置及运行维护费反映单位公务用车车辆购置支出（含车辆购置税）以及燃料费、维护费、保险费等支出；因公出国（境）费反映单位公务出国（境）的国际旅费、国外城市间交通费、住宿费、伙食费培训费、公杂费等支出。</w:t>
      </w:r>
    </w:p>
    <w:p w14:paraId="537AC0E1">
      <w:pPr>
        <w:pStyle w:val="15"/>
        <w:jc w:val="center"/>
        <w:rPr>
          <w:rFonts w:ascii="Times New Roman" w:hAnsi="Times New Roman" w:cs="Times New Roman"/>
          <w:sz w:val="72"/>
          <w:szCs w:val="72"/>
        </w:rPr>
      </w:pPr>
    </w:p>
    <w:p w14:paraId="6D51DFBC">
      <w:pPr>
        <w:pStyle w:val="15"/>
        <w:jc w:val="both"/>
        <w:rPr>
          <w:rFonts w:ascii="Times New Roman" w:hAnsi="Times New Roman" w:cs="Times New Roman"/>
          <w:sz w:val="72"/>
          <w:szCs w:val="72"/>
        </w:rPr>
      </w:pPr>
    </w:p>
    <w:p w14:paraId="633596BC">
      <w:pPr>
        <w:pStyle w:val="15"/>
        <w:jc w:val="both"/>
        <w:rPr>
          <w:rFonts w:ascii="Times New Roman" w:hAnsi="Times New Roman" w:cs="Times New Roman"/>
          <w:sz w:val="72"/>
          <w:szCs w:val="72"/>
        </w:rPr>
      </w:pPr>
    </w:p>
    <w:p w14:paraId="09535351">
      <w:pPr>
        <w:pStyle w:val="15"/>
        <w:jc w:val="both"/>
        <w:rPr>
          <w:rFonts w:ascii="Times New Roman" w:hAnsi="Times New Roman" w:cs="Times New Roman"/>
          <w:sz w:val="72"/>
          <w:szCs w:val="72"/>
        </w:rPr>
      </w:pPr>
    </w:p>
    <w:p w14:paraId="50C064F9">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70FE4748">
      <w:pPr>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b/>
          <w:spacing w:val="-2"/>
          <w:sz w:val="44"/>
          <w:szCs w:val="44"/>
        </w:rPr>
      </w:pPr>
    </w:p>
    <w:p w14:paraId="035D408A">
      <w:pPr>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b/>
          <w:spacing w:val="-2"/>
          <w:sz w:val="44"/>
          <w:szCs w:val="44"/>
        </w:rPr>
      </w:pPr>
    </w:p>
    <w:p w14:paraId="1A513BC6">
      <w:pPr>
        <w:keepNext w:val="0"/>
        <w:keepLines w:val="0"/>
        <w:pageBreakBefore w:val="0"/>
        <w:widowControl/>
        <w:shd w:val="clear" w:color="auto" w:fill="FFFFFF"/>
        <w:kinsoku/>
        <w:overflowPunct/>
        <w:topLinePunct w:val="0"/>
        <w:autoSpaceDE/>
        <w:autoSpaceDN/>
        <w:bidi w:val="0"/>
        <w:adjustRightInd/>
        <w:snapToGrid/>
        <w:spacing w:beforeAutospacing="0" w:afterAutospacing="0" w:line="580" w:lineRule="exact"/>
        <w:jc w:val="center"/>
        <w:textAlignment w:val="auto"/>
        <w:rPr>
          <w:rFonts w:ascii="仿宋" w:hAnsi="仿宋" w:eastAsia="仿宋"/>
          <w:b/>
          <w:spacing w:val="-2"/>
          <w:sz w:val="44"/>
          <w:szCs w:val="44"/>
        </w:rPr>
      </w:pPr>
      <w:r>
        <w:rPr>
          <w:rFonts w:hint="eastAsia" w:ascii="仿宋" w:hAnsi="仿宋" w:eastAsia="仿宋"/>
          <w:b/>
          <w:spacing w:val="-2"/>
          <w:sz w:val="44"/>
          <w:szCs w:val="44"/>
        </w:rPr>
        <w:t>溆浦县商业企业改制事务中心2024年</w:t>
      </w:r>
    </w:p>
    <w:p w14:paraId="1734F134">
      <w:pPr>
        <w:keepNext w:val="0"/>
        <w:keepLines w:val="0"/>
        <w:pageBreakBefore w:val="0"/>
        <w:widowControl/>
        <w:shd w:val="clear" w:color="auto" w:fill="FFFFFF"/>
        <w:kinsoku/>
        <w:overflowPunct/>
        <w:topLinePunct w:val="0"/>
        <w:autoSpaceDE/>
        <w:autoSpaceDN/>
        <w:bidi w:val="0"/>
        <w:adjustRightInd/>
        <w:snapToGrid/>
        <w:spacing w:beforeAutospacing="0" w:afterAutospacing="0" w:line="580" w:lineRule="exact"/>
        <w:ind w:left="648" w:leftChars="309" w:firstLine="436" w:firstLineChars="100"/>
        <w:textAlignment w:val="auto"/>
        <w:rPr>
          <w:rFonts w:ascii="仿宋" w:hAnsi="仿宋" w:eastAsia="仿宋"/>
          <w:b/>
          <w:spacing w:val="-2"/>
          <w:sz w:val="44"/>
          <w:szCs w:val="44"/>
        </w:rPr>
      </w:pPr>
      <w:r>
        <w:rPr>
          <w:rFonts w:hint="eastAsia" w:ascii="仿宋" w:hAnsi="仿宋" w:eastAsia="仿宋"/>
          <w:b/>
          <w:spacing w:val="-2"/>
          <w:sz w:val="44"/>
          <w:szCs w:val="44"/>
        </w:rPr>
        <w:t>部门整体支出绩效自评报告</w:t>
      </w:r>
    </w:p>
    <w:p w14:paraId="452B9B44">
      <w:pPr>
        <w:keepNext w:val="0"/>
        <w:keepLines w:val="0"/>
        <w:pageBreakBefore w:val="0"/>
        <w:widowControl/>
        <w:kinsoku/>
        <w:overflowPunct/>
        <w:topLinePunct w:val="0"/>
        <w:autoSpaceDE/>
        <w:autoSpaceDN/>
        <w:bidi w:val="0"/>
        <w:adjustRightInd/>
        <w:snapToGrid/>
        <w:spacing w:beforeAutospacing="0" w:afterAutospacing="0" w:line="580" w:lineRule="exact"/>
        <w:jc w:val="left"/>
        <w:textAlignment w:val="auto"/>
        <w:rPr>
          <w:rFonts w:ascii="仿宋" w:hAnsi="仿宋" w:eastAsia="仿宋"/>
          <w:b/>
          <w:spacing w:val="-2"/>
          <w:sz w:val="32"/>
          <w:szCs w:val="21"/>
        </w:rPr>
      </w:pPr>
    </w:p>
    <w:p w14:paraId="75664358">
      <w:pPr>
        <w:keepNext w:val="0"/>
        <w:keepLines w:val="0"/>
        <w:pageBreakBefore w:val="0"/>
        <w:widowControl/>
        <w:kinsoku/>
        <w:overflowPunct/>
        <w:topLinePunct w:val="0"/>
        <w:autoSpaceDE/>
        <w:autoSpaceDN/>
        <w:bidi w:val="0"/>
        <w:adjustRightInd/>
        <w:snapToGrid/>
        <w:spacing w:beforeAutospacing="0" w:afterAutospacing="0" w:line="580" w:lineRule="exact"/>
        <w:ind w:firstLine="640" w:firstLineChars="200"/>
        <w:jc w:val="left"/>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根据</w:t>
      </w:r>
      <w:r>
        <w:rPr>
          <w:rFonts w:hint="eastAsia" w:ascii="仿宋" w:hAnsi="仿宋" w:eastAsia="仿宋" w:cs="仿宋_GB2312"/>
          <w:sz w:val="32"/>
          <w:szCs w:val="32"/>
        </w:rPr>
        <w:t>溆浦县财政局关于开展2024年度部门整体支出绩效评价工作的通知</w:t>
      </w:r>
      <w:r>
        <w:rPr>
          <w:rFonts w:hint="eastAsia" w:ascii="仿宋" w:hAnsi="仿宋" w:eastAsia="仿宋" w:cs="仿宋_GB2312"/>
          <w:color w:val="000000"/>
          <w:sz w:val="32"/>
          <w:szCs w:val="32"/>
        </w:rPr>
        <w:t>的要求，我单位对2024年度部门整体支出绩效进行了自我评价。经全面综合评价，本单位2024年度部门整体支出绩效自评得分9</w:t>
      </w:r>
      <w:r>
        <w:rPr>
          <w:rFonts w:hint="eastAsia" w:ascii="仿宋" w:hAnsi="仿宋" w:eastAsia="仿宋" w:cs="仿宋_GB2312"/>
          <w:color w:val="000000"/>
          <w:sz w:val="32"/>
          <w:szCs w:val="32"/>
          <w:lang w:val="en-US" w:eastAsia="zh-CN"/>
        </w:rPr>
        <w:t>4.5</w:t>
      </w:r>
      <w:r>
        <w:rPr>
          <w:rFonts w:hint="eastAsia" w:ascii="仿宋" w:hAnsi="仿宋" w:eastAsia="仿宋" w:cs="仿宋_GB2312"/>
          <w:color w:val="000000"/>
          <w:sz w:val="32"/>
          <w:szCs w:val="32"/>
        </w:rPr>
        <w:t>分。现将有关情况报告如下：</w:t>
      </w:r>
    </w:p>
    <w:p w14:paraId="78585CCB">
      <w:pPr>
        <w:pStyle w:val="9"/>
        <w:keepNext w:val="0"/>
        <w:keepLines w:val="0"/>
        <w:pageBreakBefore w:val="0"/>
        <w:widowControl/>
        <w:numPr>
          <w:ilvl w:val="0"/>
          <w:numId w:val="1"/>
        </w:numPr>
        <w:shd w:val="clear" w:color="auto" w:fill="FFFFFF"/>
        <w:kinsoku/>
        <w:overflowPunct/>
        <w:topLinePunct w:val="0"/>
        <w:autoSpaceDE/>
        <w:autoSpaceDN/>
        <w:bidi w:val="0"/>
        <w:adjustRightInd/>
        <w:snapToGrid/>
        <w:spacing w:before="0" w:beforeAutospacing="0" w:after="0" w:afterAutospacing="0" w:line="580" w:lineRule="exact"/>
        <w:jc w:val="both"/>
        <w:textAlignment w:val="auto"/>
        <w:rPr>
          <w:rFonts w:ascii="仿宋" w:hAnsi="仿宋" w:eastAsia="仿宋" w:cs="黑体"/>
          <w:b/>
          <w:color w:val="000000"/>
          <w:sz w:val="32"/>
          <w:szCs w:val="32"/>
        </w:rPr>
      </w:pPr>
      <w:r>
        <w:rPr>
          <w:rFonts w:hint="eastAsia" w:ascii="仿宋" w:hAnsi="仿宋" w:eastAsia="仿宋" w:cs="黑体"/>
          <w:b/>
          <w:color w:val="000000"/>
          <w:sz w:val="32"/>
          <w:szCs w:val="32"/>
          <w:lang w:eastAsia="zh-CN"/>
        </w:rPr>
        <w:t>单位基本情况</w:t>
      </w:r>
    </w:p>
    <w:p w14:paraId="7F085297">
      <w:pPr>
        <w:pStyle w:val="9"/>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80" w:lineRule="exact"/>
        <w:jc w:val="both"/>
        <w:textAlignment w:val="auto"/>
        <w:rPr>
          <w:rFonts w:ascii="仿宋" w:hAnsi="仿宋" w:eastAsia="仿宋" w:cs="黑体"/>
          <w:b/>
          <w:color w:val="000000"/>
          <w:sz w:val="32"/>
          <w:szCs w:val="32"/>
        </w:rPr>
      </w:pPr>
      <w:r>
        <w:rPr>
          <w:rFonts w:hint="eastAsia" w:ascii="仿宋" w:hAnsi="仿宋" w:eastAsia="仿宋" w:cs="黑体"/>
          <w:b/>
          <w:color w:val="000000"/>
          <w:sz w:val="32"/>
          <w:szCs w:val="32"/>
        </w:rPr>
        <w:t xml:space="preserve">    （一）机构设置情况</w:t>
      </w:r>
    </w:p>
    <w:p w14:paraId="27C36144">
      <w:pPr>
        <w:keepNext w:val="0"/>
        <w:keepLines w:val="0"/>
        <w:pageBreakBefore w:val="0"/>
        <w:widowControl/>
        <w:kinsoku/>
        <w:overflowPunct/>
        <w:topLinePunct w:val="0"/>
        <w:autoSpaceDE/>
        <w:autoSpaceDN/>
        <w:bidi w:val="0"/>
        <w:adjustRightInd/>
        <w:snapToGrid/>
        <w:spacing w:beforeAutospacing="0" w:afterAutospacing="0" w:line="580" w:lineRule="exact"/>
        <w:ind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本单位为全额拨款事业单位，属溆浦县商务局下属的股级事业单位，内设3个股室 ；下属商业子公司7个。</w:t>
      </w:r>
    </w:p>
    <w:p w14:paraId="0529BBC6">
      <w:pPr>
        <w:keepNext w:val="0"/>
        <w:keepLines w:val="0"/>
        <w:pageBreakBefore w:val="0"/>
        <w:widowControl/>
        <w:kinsoku/>
        <w:overflowPunct/>
        <w:topLinePunct w:val="0"/>
        <w:autoSpaceDE/>
        <w:autoSpaceDN/>
        <w:bidi w:val="0"/>
        <w:adjustRightInd/>
        <w:snapToGrid/>
        <w:spacing w:beforeAutospacing="0" w:afterAutospacing="0" w:line="580" w:lineRule="exact"/>
        <w:ind w:firstLine="640" w:firstLineChars="200"/>
        <w:textAlignment w:val="auto"/>
        <w:rPr>
          <w:rFonts w:ascii="仿宋" w:hAnsi="仿宋" w:eastAsia="仿宋" w:cs="仿宋_GB2312"/>
          <w:b/>
          <w:bCs/>
          <w:color w:val="000000"/>
          <w:sz w:val="32"/>
          <w:szCs w:val="32"/>
        </w:rPr>
      </w:pPr>
      <w:r>
        <w:rPr>
          <w:rFonts w:hint="eastAsia" w:ascii="仿宋" w:hAnsi="仿宋" w:eastAsia="仿宋" w:cs="宋体"/>
          <w:b/>
          <w:kern w:val="0"/>
          <w:sz w:val="32"/>
          <w:szCs w:val="32"/>
        </w:rPr>
        <w:t xml:space="preserve">（二）人员编制情况 </w:t>
      </w:r>
    </w:p>
    <w:p w14:paraId="37E1E914">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firstLine="640" w:firstLineChars="200"/>
        <w:jc w:val="left"/>
        <w:textAlignment w:val="auto"/>
        <w:rPr>
          <w:rFonts w:ascii="仿宋" w:hAnsi="仿宋" w:eastAsia="仿宋" w:cs="宋体"/>
          <w:kern w:val="0"/>
          <w:sz w:val="32"/>
          <w:szCs w:val="32"/>
        </w:rPr>
      </w:pPr>
      <w:r>
        <w:rPr>
          <w:rFonts w:hint="eastAsia" w:ascii="仿宋" w:hAnsi="仿宋" w:eastAsia="仿宋" w:cs="宋体"/>
          <w:kern w:val="0"/>
          <w:sz w:val="32"/>
          <w:szCs w:val="32"/>
        </w:rPr>
        <w:t>本单位2024年核定编制3个，实有人数3人，其中：事业人员3人。</w:t>
      </w:r>
    </w:p>
    <w:p w14:paraId="43C0A112">
      <w:pPr>
        <w:keepNext w:val="0"/>
        <w:keepLines w:val="0"/>
        <w:pageBreakBefore w:val="0"/>
        <w:widowControl/>
        <w:kinsoku/>
        <w:overflowPunct/>
        <w:topLinePunct w:val="0"/>
        <w:autoSpaceDE/>
        <w:autoSpaceDN/>
        <w:bidi w:val="0"/>
        <w:adjustRightInd/>
        <w:snapToGrid/>
        <w:spacing w:beforeAutospacing="0" w:afterAutospacing="0" w:line="580" w:lineRule="exact"/>
        <w:ind w:firstLine="640" w:firstLineChars="200"/>
        <w:textAlignment w:val="auto"/>
        <w:rPr>
          <w:rFonts w:ascii="仿宋" w:hAnsi="仿宋" w:eastAsia="仿宋" w:cs="仿宋_GB2312"/>
          <w:b/>
          <w:bCs/>
          <w:color w:val="000000"/>
          <w:sz w:val="32"/>
          <w:szCs w:val="32"/>
        </w:rPr>
      </w:pPr>
      <w:r>
        <w:rPr>
          <w:rFonts w:hint="eastAsia" w:ascii="仿宋" w:hAnsi="仿宋" w:eastAsia="仿宋" w:cs="仿宋_GB2312"/>
          <w:b/>
          <w:bCs/>
          <w:color w:val="000000"/>
          <w:sz w:val="32"/>
          <w:szCs w:val="32"/>
        </w:rPr>
        <w:t>（三）</w:t>
      </w:r>
      <w:r>
        <w:rPr>
          <w:rFonts w:hint="eastAsia" w:ascii="仿宋" w:hAnsi="仿宋" w:eastAsia="仿宋" w:cs="仿宋_GB2312"/>
          <w:b/>
          <w:bCs/>
          <w:color w:val="000000"/>
          <w:sz w:val="32"/>
          <w:szCs w:val="32"/>
          <w:lang w:eastAsia="zh-CN"/>
        </w:rPr>
        <w:t>单位</w:t>
      </w:r>
      <w:r>
        <w:rPr>
          <w:rFonts w:hint="eastAsia" w:ascii="仿宋" w:hAnsi="仿宋" w:eastAsia="仿宋" w:cs="仿宋_GB2312"/>
          <w:b/>
          <w:bCs/>
          <w:color w:val="000000"/>
          <w:sz w:val="32"/>
          <w:szCs w:val="32"/>
        </w:rPr>
        <w:t>主要职能职责</w:t>
      </w:r>
    </w:p>
    <w:p w14:paraId="41310F0A">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firstLine="640" w:firstLineChars="200"/>
        <w:jc w:val="left"/>
        <w:textAlignment w:val="auto"/>
        <w:rPr>
          <w:rFonts w:ascii="仿宋" w:hAnsi="仿宋" w:eastAsia="仿宋"/>
          <w:color w:val="000000"/>
          <w:sz w:val="32"/>
          <w:szCs w:val="32"/>
        </w:rPr>
      </w:pPr>
      <w:r>
        <w:rPr>
          <w:rFonts w:hint="eastAsia" w:ascii="仿宋" w:hAnsi="仿宋" w:eastAsia="仿宋"/>
          <w:color w:val="000000"/>
          <w:sz w:val="32"/>
          <w:szCs w:val="32"/>
        </w:rPr>
        <w:t>溆浦县商业企业改制事务中心为县商务局所属的股级预算事业单位</w:t>
      </w:r>
      <w:r>
        <w:rPr>
          <w:rFonts w:hint="eastAsia" w:ascii="仿宋" w:hAnsi="仿宋" w:eastAsia="仿宋" w:cs="宋体"/>
          <w:color w:val="000000"/>
          <w:kern w:val="0"/>
          <w:sz w:val="32"/>
          <w:szCs w:val="32"/>
        </w:rPr>
        <w:t>，</w:t>
      </w:r>
      <w:r>
        <w:rPr>
          <w:rFonts w:hint="eastAsia" w:ascii="仿宋" w:hAnsi="仿宋" w:eastAsia="仿宋" w:cs="宋体"/>
          <w:kern w:val="0"/>
          <w:sz w:val="32"/>
          <w:szCs w:val="32"/>
        </w:rPr>
        <w:t>负责指导全县商业物资企业的改制工作，承担全县国有商业物资企业的改制服务工作；负责所属离退休人员的管理与服务工作；受县人民政府国有资产主管部门的委托，负责所属企业国有资产管理与监督；负责所属企业的信访维稳、安全生产等工作；承办县委、县人民政府交办的其他事项。</w:t>
      </w:r>
    </w:p>
    <w:p w14:paraId="0D4964E8">
      <w:pPr>
        <w:keepNext w:val="0"/>
        <w:keepLines w:val="0"/>
        <w:pageBreakBefore w:val="0"/>
        <w:widowControl/>
        <w:kinsoku/>
        <w:overflowPunct/>
        <w:topLinePunct w:val="0"/>
        <w:autoSpaceDE/>
        <w:autoSpaceDN/>
        <w:bidi w:val="0"/>
        <w:adjustRightInd/>
        <w:snapToGrid/>
        <w:spacing w:beforeAutospacing="0" w:afterAutospacing="0" w:line="580" w:lineRule="exact"/>
        <w:ind w:firstLine="480"/>
        <w:textAlignment w:val="auto"/>
        <w:rPr>
          <w:rFonts w:ascii="仿宋" w:hAnsi="仿宋" w:eastAsia="仿宋" w:cs="宋体"/>
          <w:color w:val="000000"/>
          <w:kern w:val="0"/>
          <w:sz w:val="32"/>
          <w:szCs w:val="32"/>
        </w:rPr>
      </w:pPr>
      <w:r>
        <w:rPr>
          <w:rFonts w:hint="eastAsia" w:ascii="仿宋" w:hAnsi="仿宋" w:eastAsia="仿宋"/>
          <w:sz w:val="32"/>
          <w:szCs w:val="32"/>
        </w:rPr>
        <w:t>预算机构为商业企业改制事务中心本级预算事业单位，属财政预算全额拨款，财务核算适用事业单位会计制度。</w:t>
      </w:r>
    </w:p>
    <w:p w14:paraId="71204AD3">
      <w:pPr>
        <w:pStyle w:val="9"/>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 w:hAnsi="仿宋" w:eastAsia="仿宋" w:cs="仿宋_GB2312"/>
          <w:b/>
          <w:color w:val="000000"/>
          <w:sz w:val="32"/>
          <w:szCs w:val="32"/>
        </w:rPr>
      </w:pPr>
      <w:r>
        <w:rPr>
          <w:rFonts w:hint="eastAsia" w:ascii="仿宋" w:hAnsi="仿宋" w:eastAsia="仿宋" w:cs="仿宋_GB2312"/>
          <w:b/>
          <w:color w:val="000000"/>
          <w:sz w:val="32"/>
          <w:szCs w:val="32"/>
        </w:rPr>
        <w:t>（四）绩效目标设定情况</w:t>
      </w:r>
    </w:p>
    <w:p w14:paraId="472F23DC">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firstLine="640" w:firstLineChars="200"/>
        <w:jc w:val="left"/>
        <w:textAlignment w:val="auto"/>
        <w:rPr>
          <w:rFonts w:ascii="仿宋" w:hAnsi="仿宋" w:eastAsia="仿宋" w:cs="宋体"/>
          <w:kern w:val="0"/>
          <w:sz w:val="32"/>
          <w:szCs w:val="32"/>
        </w:rPr>
      </w:pPr>
      <w:r>
        <w:rPr>
          <w:rFonts w:hint="eastAsia" w:ascii="仿宋" w:hAnsi="仿宋" w:eastAsia="仿宋" w:cs="宋体"/>
          <w:kern w:val="0"/>
          <w:sz w:val="32"/>
          <w:szCs w:val="32"/>
        </w:rPr>
        <w:t>根据</w:t>
      </w:r>
      <w:r>
        <w:rPr>
          <w:rFonts w:hint="eastAsia" w:ascii="仿宋" w:hAnsi="仿宋" w:eastAsia="仿宋" w:cs="宋体"/>
          <w:kern w:val="0"/>
          <w:sz w:val="32"/>
          <w:szCs w:val="32"/>
          <w:lang w:eastAsia="zh-CN"/>
        </w:rPr>
        <w:t>单位</w:t>
      </w:r>
      <w:r>
        <w:rPr>
          <w:rFonts w:hint="eastAsia" w:ascii="仿宋" w:hAnsi="仿宋" w:eastAsia="仿宋" w:cs="宋体"/>
          <w:kern w:val="0"/>
          <w:sz w:val="32"/>
          <w:szCs w:val="32"/>
        </w:rPr>
        <w:t>职能职责和年度工作计划，本单位2024年度部门整体支出总体目标为确保单位基本运转，做好下属企业管理与服务工作及做好各项重点专项工作。</w:t>
      </w:r>
    </w:p>
    <w:p w14:paraId="0093DFA7">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firstLine="800" w:firstLineChars="250"/>
        <w:jc w:val="left"/>
        <w:textAlignment w:val="auto"/>
        <w:rPr>
          <w:rFonts w:ascii="仿宋" w:hAnsi="仿宋" w:eastAsia="仿宋" w:cs="宋体"/>
          <w:kern w:val="0"/>
          <w:sz w:val="32"/>
          <w:szCs w:val="32"/>
        </w:rPr>
      </w:pPr>
      <w:r>
        <w:rPr>
          <w:rFonts w:hint="eastAsia" w:ascii="仿宋" w:hAnsi="仿宋" w:eastAsia="仿宋" w:cs="宋体"/>
          <w:kern w:val="0"/>
          <w:sz w:val="32"/>
          <w:szCs w:val="32"/>
        </w:rPr>
        <w:t>根据年初预算，本单位2024年度完成职工基本养老保险缴纳人数</w:t>
      </w:r>
      <w:r>
        <w:rPr>
          <w:rFonts w:hint="eastAsia" w:ascii="仿宋" w:hAnsi="仿宋" w:eastAsia="仿宋" w:cs="宋体"/>
          <w:kern w:val="0"/>
          <w:sz w:val="32"/>
          <w:szCs w:val="32"/>
          <w:lang w:eastAsia="zh-CN"/>
        </w:rPr>
        <w:t>大于等于</w:t>
      </w:r>
      <w:r>
        <w:rPr>
          <w:rFonts w:hint="eastAsia" w:ascii="仿宋" w:hAnsi="仿宋" w:eastAsia="仿宋" w:cs="宋体"/>
          <w:kern w:val="0"/>
          <w:sz w:val="32"/>
          <w:szCs w:val="32"/>
        </w:rPr>
        <w:t>3</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人，补偿下属企业失业职工保险人数</w:t>
      </w:r>
      <w:r>
        <w:rPr>
          <w:rFonts w:hint="eastAsia" w:ascii="仿宋" w:hAnsi="仿宋" w:eastAsia="仿宋" w:cs="宋体"/>
          <w:kern w:val="0"/>
          <w:sz w:val="32"/>
          <w:szCs w:val="32"/>
          <w:lang w:eastAsia="zh-CN"/>
        </w:rPr>
        <w:t>大于等于</w:t>
      </w:r>
      <w:r>
        <w:rPr>
          <w:rFonts w:hint="eastAsia" w:ascii="仿宋" w:hAnsi="仿宋" w:eastAsia="仿宋" w:cs="宋体"/>
          <w:kern w:val="0"/>
          <w:sz w:val="32"/>
          <w:szCs w:val="32"/>
        </w:rPr>
        <w:t>50人，安置失业职工补偿人数</w:t>
      </w:r>
      <w:r>
        <w:rPr>
          <w:rFonts w:hint="eastAsia" w:ascii="仿宋" w:hAnsi="仿宋" w:eastAsia="仿宋" w:cs="宋体"/>
          <w:kern w:val="0"/>
          <w:sz w:val="32"/>
          <w:szCs w:val="32"/>
          <w:lang w:eastAsia="zh-CN"/>
        </w:rPr>
        <w:t>大于等于</w:t>
      </w:r>
      <w:r>
        <w:rPr>
          <w:rFonts w:hint="eastAsia" w:ascii="仿宋" w:hAnsi="仿宋" w:eastAsia="仿宋" w:cs="宋体"/>
          <w:kern w:val="0"/>
          <w:sz w:val="32"/>
          <w:szCs w:val="32"/>
        </w:rPr>
        <w:t>50人；项目完成质量100%；完成时限为2024年12月31日之前；经济成本中基本支出成本控制在42.21万元之内，项目成本控制在281.96万元，社会成本节约率与生态环境成本节约率大于等于0；通过项目的实施能够促进经济发展效果明显，社会效益效果明显、生态效益效果明显以及可持续发展影响效果明显；服务对象满意度达95%以上。</w:t>
      </w:r>
    </w:p>
    <w:p w14:paraId="3F4187AA">
      <w:pPr>
        <w:pStyle w:val="16"/>
        <w:keepNext w:val="0"/>
        <w:keepLines w:val="0"/>
        <w:pageBreakBefore w:val="0"/>
        <w:widowControl/>
        <w:numPr>
          <w:ilvl w:val="0"/>
          <w:numId w:val="1"/>
        </w:numPr>
        <w:kinsoku/>
        <w:wordWrap w:val="0"/>
        <w:overflowPunct/>
        <w:topLinePunct w:val="0"/>
        <w:autoSpaceDE/>
        <w:autoSpaceDN/>
        <w:bidi w:val="0"/>
        <w:adjustRightInd/>
        <w:snapToGrid/>
        <w:spacing w:beforeAutospacing="0" w:afterAutospacing="0" w:line="580" w:lineRule="exact"/>
        <w:ind w:firstLineChars="0"/>
        <w:jc w:val="left"/>
        <w:textAlignment w:val="auto"/>
        <w:rPr>
          <w:rFonts w:ascii="仿宋" w:hAnsi="仿宋" w:eastAsia="仿宋" w:cs="仿宋_GB2312"/>
          <w:b/>
          <w:bCs/>
          <w:color w:val="000000"/>
          <w:sz w:val="32"/>
          <w:szCs w:val="32"/>
        </w:rPr>
      </w:pPr>
      <w:r>
        <w:rPr>
          <w:rFonts w:hint="eastAsia" w:ascii="仿宋" w:hAnsi="仿宋" w:eastAsia="仿宋" w:cs="仿宋_GB2312"/>
          <w:b/>
          <w:bCs/>
          <w:color w:val="000000"/>
          <w:sz w:val="32"/>
          <w:szCs w:val="32"/>
        </w:rPr>
        <w:t xml:space="preserve">部门整体支出管理及使用情况 </w:t>
      </w:r>
    </w:p>
    <w:p w14:paraId="6A59FD3C">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left="645"/>
        <w:jc w:val="left"/>
        <w:textAlignment w:val="auto"/>
        <w:rPr>
          <w:rFonts w:ascii="仿宋" w:hAnsi="仿宋" w:eastAsia="仿宋" w:cs="仿宋_GB2312"/>
          <w:b/>
          <w:bCs/>
          <w:color w:val="000000"/>
          <w:sz w:val="32"/>
          <w:szCs w:val="32"/>
        </w:rPr>
      </w:pPr>
      <w:r>
        <w:rPr>
          <w:rFonts w:hint="eastAsia" w:ascii="仿宋" w:hAnsi="仿宋" w:eastAsia="仿宋" w:cs="仿宋_GB2312"/>
          <w:b/>
          <w:bCs/>
          <w:color w:val="000000"/>
          <w:sz w:val="32"/>
          <w:szCs w:val="32"/>
        </w:rPr>
        <w:t>（一）预算执行、使用、管理总体情况</w:t>
      </w:r>
    </w:p>
    <w:p w14:paraId="0FB41632">
      <w:pPr>
        <w:pStyle w:val="9"/>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80" w:lineRule="exact"/>
        <w:ind w:firstLine="645"/>
        <w:jc w:val="both"/>
        <w:textAlignment w:val="auto"/>
        <w:rPr>
          <w:rFonts w:ascii="仿宋" w:hAnsi="仿宋" w:eastAsia="仿宋"/>
          <w:color w:val="000000" w:themeColor="text1"/>
          <w:sz w:val="32"/>
          <w:szCs w:val="32"/>
          <w:shd w:val="clear" w:color="auto" w:fill="FFFFFF"/>
        </w:rPr>
      </w:pPr>
      <w:r>
        <w:rPr>
          <w:rFonts w:hint="eastAsia" w:ascii="仿宋" w:hAnsi="仿宋" w:eastAsia="仿宋"/>
          <w:sz w:val="32"/>
        </w:rPr>
        <w:t>本单位本年度已完成全年计划，完成了年度绩效目标。所有项目的日常管理工作均按照我单位相关管理制度执行，建立了工作有计划、实施有方案、日常有监督的管理机制，相关工作都取得了较好的成效，相关困难破产企业能基本平稳运行，并获得了单位职工、社会公众的一致好评。</w:t>
      </w:r>
    </w:p>
    <w:p w14:paraId="6CEB8B72">
      <w:pPr>
        <w:pStyle w:val="9"/>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80" w:lineRule="exact"/>
        <w:ind w:left="319" w:leftChars="152" w:firstLine="662" w:firstLineChars="207"/>
        <w:jc w:val="both"/>
        <w:textAlignment w:val="auto"/>
        <w:rPr>
          <w:rFonts w:ascii="仿宋" w:hAnsi="仿宋" w:eastAsia="仿宋" w:cs="宋体"/>
          <w:color w:val="333333"/>
          <w:kern w:val="0"/>
          <w:sz w:val="32"/>
          <w:szCs w:val="32"/>
          <w:shd w:val="clear" w:color="auto" w:fill="FFFFFF"/>
        </w:rPr>
      </w:pPr>
      <w:r>
        <w:rPr>
          <w:rFonts w:hint="eastAsia" w:ascii="仿宋" w:hAnsi="仿宋" w:eastAsia="仿宋"/>
          <w:color w:val="000000" w:themeColor="text1"/>
          <w:sz w:val="32"/>
          <w:szCs w:val="32"/>
          <w:shd w:val="clear" w:color="auto" w:fill="FFFFFF"/>
        </w:rPr>
        <w:t>2024</w:t>
      </w:r>
      <w:r>
        <w:rPr>
          <w:rFonts w:hint="eastAsia" w:ascii="仿宋" w:hAnsi="仿宋" w:eastAsia="仿宋"/>
          <w:color w:val="333333"/>
          <w:sz w:val="32"/>
          <w:szCs w:val="32"/>
          <w:shd w:val="clear" w:color="auto" w:fill="FFFFFF"/>
        </w:rPr>
        <w:t>年本单位整体支出年初预算324.17万元，</w:t>
      </w:r>
      <w:r>
        <w:rPr>
          <w:rFonts w:hint="eastAsia" w:ascii="仿宋" w:hAnsi="仿宋" w:eastAsia="仿宋"/>
          <w:color w:val="333333"/>
          <w:sz w:val="32"/>
          <w:szCs w:val="32"/>
          <w:shd w:val="clear" w:color="auto" w:fill="FFFFFF"/>
          <w:lang w:eastAsia="zh-CN"/>
        </w:rPr>
        <w:t>全年预算数</w:t>
      </w:r>
      <w:r>
        <w:rPr>
          <w:rFonts w:hint="eastAsia" w:ascii="仿宋" w:hAnsi="仿宋" w:eastAsia="仿宋"/>
          <w:color w:val="333333"/>
          <w:sz w:val="32"/>
          <w:szCs w:val="32"/>
          <w:shd w:val="clear" w:color="auto" w:fill="FFFFFF"/>
          <w:lang w:val="en-US" w:eastAsia="zh-CN"/>
        </w:rPr>
        <w:t>325.97万元，</w:t>
      </w:r>
      <w:r>
        <w:rPr>
          <w:rFonts w:hint="eastAsia" w:ascii="仿宋" w:hAnsi="仿宋" w:eastAsia="仿宋"/>
          <w:color w:val="333333"/>
          <w:sz w:val="32"/>
          <w:szCs w:val="32"/>
          <w:shd w:val="clear" w:color="auto" w:fill="FFFFFF"/>
        </w:rPr>
        <w:t>决算数325.97万元，</w:t>
      </w:r>
      <w:r>
        <w:rPr>
          <w:rFonts w:hint="eastAsia" w:ascii="仿宋" w:hAnsi="仿宋" w:eastAsia="仿宋"/>
          <w:color w:val="auto"/>
          <w:sz w:val="32"/>
          <w:szCs w:val="32"/>
          <w:shd w:val="clear" w:color="auto" w:fill="FFFFFF"/>
        </w:rPr>
        <w:t>较上年减少72.1万元，减少18.11%，其中：一般公共预算财政拨款支出年初预算数324.17万元，</w:t>
      </w:r>
      <w:r>
        <w:rPr>
          <w:rFonts w:hint="eastAsia" w:ascii="仿宋" w:hAnsi="仿宋" w:eastAsia="仿宋"/>
          <w:color w:val="auto"/>
          <w:sz w:val="32"/>
          <w:szCs w:val="32"/>
          <w:shd w:val="clear" w:color="auto" w:fill="FFFFFF"/>
          <w:lang w:eastAsia="zh-CN"/>
        </w:rPr>
        <w:t>全年预算数</w:t>
      </w:r>
      <w:r>
        <w:rPr>
          <w:rFonts w:hint="eastAsia" w:ascii="仿宋" w:hAnsi="仿宋" w:eastAsia="仿宋"/>
          <w:color w:val="auto"/>
          <w:sz w:val="32"/>
          <w:szCs w:val="32"/>
          <w:shd w:val="clear" w:color="auto" w:fill="FFFFFF"/>
          <w:lang w:val="en-US" w:eastAsia="zh-CN"/>
        </w:rPr>
        <w:t>325.97万元，</w:t>
      </w:r>
      <w:r>
        <w:rPr>
          <w:rFonts w:hint="eastAsia" w:ascii="仿宋" w:hAnsi="仿宋" w:eastAsia="仿宋"/>
          <w:color w:val="auto"/>
          <w:sz w:val="32"/>
          <w:szCs w:val="32"/>
          <w:shd w:val="clear" w:color="auto" w:fill="FFFFFF"/>
        </w:rPr>
        <w:t>决算数325.97万元，较上年减少72.1万元，减少18.11%；2024年基本支出295万元，较上年增加165.93万元，主要是本年度拨入商业物管办职工养老保险列入本项目，而上年列入项目支出；专项资金总支出30.97万元，较上年减少254.03万元，主要是本年度企业养老保险金236.13万元列入基本支出。主要</w:t>
      </w:r>
      <w:r>
        <w:rPr>
          <w:rFonts w:hint="eastAsia" w:ascii="仿宋" w:hAnsi="仿宋" w:eastAsia="仿宋"/>
          <w:color w:val="000000" w:themeColor="text1"/>
          <w:sz w:val="32"/>
          <w:szCs w:val="32"/>
          <w:shd w:val="clear" w:color="auto" w:fill="FFFFFF"/>
          <w:lang w:eastAsia="zh-CN"/>
        </w:rPr>
        <w:t>原因是商业物管办职工养老保险列入预算项目，实际支出为基本支出。</w:t>
      </w:r>
    </w:p>
    <w:p w14:paraId="4CD144F0">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firstLine="640" w:firstLineChars="200"/>
        <w:jc w:val="left"/>
        <w:textAlignment w:val="auto"/>
        <w:rPr>
          <w:rFonts w:ascii="仿宋" w:hAnsi="仿宋" w:eastAsia="仿宋" w:cs="仿宋_GB2312"/>
          <w:b/>
          <w:bCs/>
          <w:color w:val="000000"/>
          <w:sz w:val="32"/>
          <w:szCs w:val="32"/>
        </w:rPr>
      </w:pPr>
      <w:r>
        <w:rPr>
          <w:rFonts w:hint="eastAsia" w:ascii="仿宋" w:hAnsi="仿宋" w:eastAsia="仿宋" w:cs="仿宋_GB2312"/>
          <w:b/>
          <w:bCs/>
          <w:color w:val="000000"/>
          <w:sz w:val="32"/>
          <w:szCs w:val="32"/>
        </w:rPr>
        <w:t>（二）部门预算执行情况</w:t>
      </w:r>
    </w:p>
    <w:p w14:paraId="6693C929">
      <w:pPr>
        <w:pStyle w:val="9"/>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80" w:lineRule="exact"/>
        <w:ind w:firstLine="800" w:firstLineChars="250"/>
        <w:textAlignment w:val="auto"/>
        <w:rPr>
          <w:rFonts w:ascii="仿宋" w:hAnsi="仿宋" w:eastAsia="仿宋" w:cs="Arial"/>
          <w:b/>
          <w:color w:val="333333"/>
          <w:sz w:val="32"/>
          <w:szCs w:val="32"/>
        </w:rPr>
      </w:pPr>
      <w:r>
        <w:rPr>
          <w:rFonts w:hint="eastAsia" w:ascii="仿宋" w:hAnsi="仿宋" w:eastAsia="仿宋" w:cs="Arial"/>
          <w:b/>
          <w:color w:val="333333"/>
          <w:sz w:val="32"/>
          <w:szCs w:val="32"/>
        </w:rPr>
        <w:t>1、基本支出情况</w:t>
      </w:r>
    </w:p>
    <w:p w14:paraId="2F578021">
      <w:pPr>
        <w:pStyle w:val="9"/>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80" w:lineRule="exact"/>
        <w:ind w:firstLine="800" w:firstLineChars="250"/>
        <w:textAlignment w:val="auto"/>
        <w:rPr>
          <w:rFonts w:hint="eastAsia" w:ascii="仿宋" w:hAnsi="仿宋" w:eastAsia="仿宋" w:cs="Arial"/>
          <w:color w:val="333333"/>
          <w:sz w:val="32"/>
          <w:szCs w:val="32"/>
          <w:lang w:eastAsia="zh-CN"/>
        </w:rPr>
      </w:pPr>
      <w:r>
        <w:rPr>
          <w:rFonts w:hint="eastAsia" w:ascii="仿宋" w:hAnsi="仿宋" w:eastAsia="仿宋" w:cs="Arial"/>
          <w:color w:val="333333"/>
          <w:sz w:val="32"/>
          <w:szCs w:val="32"/>
        </w:rPr>
        <w:t>2024年度本单位基本支出决算数295万元，占支出总额的90.5%，主要包括2024年度人员工资福利支出214.06万元，主要支付职工工资津补贴等27.79万元、基本养老保险缴费181.32万元、医疗保险2.24万元、住房公积金1.90万元及其他社会保障缴费等工资福利支出0.81万元；商品服务费支出5.94万元，主要支付办公费0.26万元、水电费1.27万元、差旅费2.16万元、维护费0.05万元，邮电费0.23万元，其他交通费用1.79万元、其他商品服务费支出0.18万元； 对个人和家庭补助支出75万元，主要为物管办职工安置补偿款15万元及物管办养老保险缴费支出60万元。</w:t>
      </w:r>
    </w:p>
    <w:p w14:paraId="5AB15781">
      <w:pPr>
        <w:pStyle w:val="9"/>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80" w:lineRule="exact"/>
        <w:ind w:firstLine="640" w:firstLineChars="200"/>
        <w:textAlignment w:val="auto"/>
        <w:rPr>
          <w:rFonts w:ascii="仿宋" w:hAnsi="仿宋" w:eastAsia="仿宋" w:cs="Arial"/>
          <w:b/>
          <w:color w:val="333333"/>
          <w:sz w:val="32"/>
          <w:szCs w:val="32"/>
        </w:rPr>
      </w:pPr>
      <w:r>
        <w:rPr>
          <w:rFonts w:hint="eastAsia" w:ascii="仿宋" w:hAnsi="仿宋" w:eastAsia="仿宋" w:cs="Arial"/>
          <w:b/>
          <w:color w:val="333333"/>
          <w:sz w:val="32"/>
          <w:szCs w:val="32"/>
        </w:rPr>
        <w:t>2、项目支出情况</w:t>
      </w:r>
    </w:p>
    <w:p w14:paraId="5F343A41">
      <w:pPr>
        <w:pStyle w:val="9"/>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80" w:lineRule="exact"/>
        <w:ind w:firstLine="800" w:firstLineChars="250"/>
        <w:jc w:val="both"/>
        <w:textAlignment w:val="auto"/>
        <w:rPr>
          <w:rFonts w:ascii="仿宋" w:hAnsi="仿宋" w:eastAsia="仿宋" w:cs="仿宋_GB2312"/>
          <w:b/>
          <w:bCs/>
          <w:color w:val="000000"/>
          <w:sz w:val="32"/>
          <w:szCs w:val="32"/>
        </w:rPr>
      </w:pPr>
      <w:r>
        <w:rPr>
          <w:rFonts w:hint="eastAsia" w:ascii="仿宋" w:hAnsi="仿宋" w:eastAsia="仿宋" w:cs="Arial"/>
          <w:color w:val="333333"/>
          <w:sz w:val="32"/>
          <w:szCs w:val="32"/>
        </w:rPr>
        <w:t>2024年本单位项目支出决算数30.97万元，占总支出的9.5%。是单位为完成特定行政工作任务或事业发展目标而发生的支出，主要为</w:t>
      </w:r>
      <w:r>
        <w:rPr>
          <w:rFonts w:hint="eastAsia" w:ascii="仿宋" w:hAnsi="仿宋" w:eastAsia="仿宋" w:cs="仿宋_GB2312"/>
          <w:color w:val="000000"/>
          <w:sz w:val="32"/>
          <w:szCs w:val="32"/>
        </w:rPr>
        <w:t>商都宾馆拆除补偿资金10万元，根据县委县政府会议纪要，主要为维护企业和谐稳定及正常运转提供保障的工作经费，用于本单位内部稳控所需的各项费用支出，以弥补单位经费不足，确保单位正常运转；收回商业物管办划拨土地补偿款20万元，根据县委县政府会议纪要，主要用于缴纳下属改制企业下岗职工的基本生活费的发放、基本养老保险金的缴纳；支付遗属生活补助0.97万元。</w:t>
      </w:r>
    </w:p>
    <w:p w14:paraId="326FA1EE">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firstLine="640" w:firstLineChars="200"/>
        <w:jc w:val="left"/>
        <w:textAlignment w:val="auto"/>
        <w:rPr>
          <w:rFonts w:ascii="仿宋" w:hAnsi="仿宋" w:eastAsia="仿宋" w:cs="仿宋_GB2312"/>
          <w:b/>
          <w:bCs/>
          <w:color w:val="000000"/>
          <w:sz w:val="32"/>
          <w:szCs w:val="32"/>
        </w:rPr>
      </w:pPr>
      <w:r>
        <w:rPr>
          <w:rFonts w:hint="eastAsia" w:ascii="仿宋" w:hAnsi="仿宋" w:eastAsia="仿宋" w:cs="仿宋_GB2312"/>
          <w:b/>
          <w:bCs/>
          <w:color w:val="000000"/>
          <w:sz w:val="32"/>
          <w:szCs w:val="32"/>
        </w:rPr>
        <w:t>（三）“三公”经费使用和管理情况</w:t>
      </w:r>
    </w:p>
    <w:p w14:paraId="04ADE478">
      <w:pPr>
        <w:pStyle w:val="9"/>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80" w:lineRule="exact"/>
        <w:ind w:firstLine="800" w:firstLineChars="250"/>
        <w:textAlignment w:val="auto"/>
        <w:rPr>
          <w:rFonts w:hint="eastAsia" w:ascii="仿宋" w:hAnsi="仿宋" w:eastAsia="仿宋" w:cs="Arial"/>
          <w:color w:val="FF0000"/>
          <w:sz w:val="32"/>
          <w:szCs w:val="32"/>
          <w:lang w:eastAsia="zh-CN"/>
        </w:rPr>
      </w:pPr>
      <w:r>
        <w:rPr>
          <w:rFonts w:hint="eastAsia" w:ascii="仿宋" w:hAnsi="仿宋" w:eastAsia="仿宋" w:cs="Arial"/>
          <w:color w:val="333333"/>
          <w:sz w:val="32"/>
          <w:szCs w:val="32"/>
        </w:rPr>
        <w:t>本单位2024年“三公”经费由于单位人员少，运转经费缺乏，此项经费年初预算及年末决算数为0万元</w:t>
      </w:r>
      <w:r>
        <w:rPr>
          <w:rFonts w:hint="eastAsia" w:ascii="仿宋" w:hAnsi="仿宋" w:eastAsia="仿宋" w:cs="Arial"/>
          <w:color w:val="333333"/>
          <w:sz w:val="32"/>
          <w:szCs w:val="32"/>
          <w:lang w:eastAsia="zh-CN"/>
        </w:rPr>
        <w:t>。</w:t>
      </w:r>
    </w:p>
    <w:p w14:paraId="6D79B328">
      <w:pPr>
        <w:pStyle w:val="9"/>
        <w:keepNext w:val="0"/>
        <w:keepLines w:val="0"/>
        <w:pageBreakBefore w:val="0"/>
        <w:widowControl/>
        <w:numPr>
          <w:ilvl w:val="0"/>
          <w:numId w:val="1"/>
        </w:numPr>
        <w:shd w:val="clear" w:color="auto" w:fill="FFFFFF"/>
        <w:kinsoku/>
        <w:overflowPunct/>
        <w:topLinePunct w:val="0"/>
        <w:autoSpaceDE/>
        <w:autoSpaceDN/>
        <w:bidi w:val="0"/>
        <w:adjustRightInd/>
        <w:snapToGrid/>
        <w:spacing w:before="0" w:beforeAutospacing="0" w:after="0" w:afterAutospacing="0" w:line="580" w:lineRule="exact"/>
        <w:textAlignment w:val="auto"/>
        <w:rPr>
          <w:rFonts w:ascii="仿宋" w:hAnsi="仿宋" w:eastAsia="仿宋" w:cs="仿宋_GB2312"/>
          <w:b/>
          <w:bCs/>
          <w:color w:val="000000"/>
          <w:sz w:val="32"/>
          <w:szCs w:val="32"/>
        </w:rPr>
      </w:pPr>
      <w:r>
        <w:rPr>
          <w:rFonts w:hint="eastAsia" w:ascii="仿宋" w:hAnsi="仿宋" w:eastAsia="仿宋" w:cs="仿宋_GB2312"/>
          <w:b/>
          <w:bCs/>
          <w:color w:val="000000"/>
          <w:sz w:val="32"/>
          <w:szCs w:val="32"/>
        </w:rPr>
        <w:t>政府性基金预算支出情况</w:t>
      </w:r>
    </w:p>
    <w:p w14:paraId="63090377">
      <w:pPr>
        <w:pStyle w:val="9"/>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80" w:lineRule="exact"/>
        <w:ind w:firstLine="640" w:firstLineChars="200"/>
        <w:textAlignment w:val="auto"/>
        <w:rPr>
          <w:rFonts w:ascii="仿宋" w:hAnsi="仿宋" w:eastAsia="仿宋" w:cs="仿宋_GB2312"/>
          <w:b/>
          <w:bCs/>
          <w:color w:val="000000"/>
          <w:sz w:val="32"/>
          <w:szCs w:val="32"/>
        </w:rPr>
      </w:pPr>
      <w:r>
        <w:rPr>
          <w:rFonts w:hint="eastAsia" w:ascii="仿宋" w:hAnsi="仿宋" w:eastAsia="仿宋" w:cs="仿宋_GB2312"/>
          <w:bCs/>
          <w:color w:val="000000"/>
          <w:sz w:val="32"/>
          <w:szCs w:val="32"/>
        </w:rPr>
        <w:t>本单位2024年度无政府性基金支出情况。</w:t>
      </w:r>
    </w:p>
    <w:p w14:paraId="4F7BE642">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firstLine="800" w:firstLineChars="250"/>
        <w:jc w:val="left"/>
        <w:textAlignment w:val="auto"/>
        <w:rPr>
          <w:rFonts w:ascii="仿宋" w:hAnsi="仿宋" w:eastAsia="仿宋" w:cs="仿宋_GB2312"/>
          <w:bCs/>
          <w:color w:val="000000"/>
          <w:sz w:val="32"/>
          <w:szCs w:val="32"/>
        </w:rPr>
      </w:pPr>
      <w:r>
        <w:rPr>
          <w:rFonts w:hint="eastAsia" w:ascii="仿宋" w:hAnsi="仿宋" w:eastAsia="仿宋" w:cs="仿宋_GB2312"/>
          <w:b/>
          <w:bCs/>
          <w:color w:val="000000"/>
          <w:sz w:val="32"/>
          <w:szCs w:val="32"/>
        </w:rPr>
        <w:t>四、国有资本经营预算支出情况</w:t>
      </w:r>
    </w:p>
    <w:p w14:paraId="2DCD1EDA">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firstLine="640" w:firstLineChars="200"/>
        <w:jc w:val="left"/>
        <w:textAlignment w:val="auto"/>
        <w:rPr>
          <w:rFonts w:ascii="仿宋" w:hAnsi="仿宋" w:eastAsia="仿宋" w:cs="仿宋_GB2312"/>
          <w:b/>
          <w:bCs/>
          <w:color w:val="000000"/>
          <w:sz w:val="32"/>
          <w:szCs w:val="32"/>
        </w:rPr>
      </w:pPr>
      <w:r>
        <w:rPr>
          <w:rFonts w:hint="eastAsia" w:ascii="仿宋" w:hAnsi="仿宋" w:eastAsia="仿宋" w:cs="仿宋_GB2312"/>
          <w:bCs/>
          <w:color w:val="000000"/>
          <w:sz w:val="32"/>
          <w:szCs w:val="32"/>
        </w:rPr>
        <w:t>本单位2024年度无国有资本经营预算支出情况。</w:t>
      </w:r>
    </w:p>
    <w:p w14:paraId="4FE8BF28">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firstLine="640" w:firstLineChars="200"/>
        <w:jc w:val="left"/>
        <w:textAlignment w:val="auto"/>
        <w:rPr>
          <w:rFonts w:ascii="仿宋" w:hAnsi="仿宋" w:eastAsia="仿宋" w:cs="仿宋_GB2312"/>
          <w:bCs/>
          <w:color w:val="000000"/>
          <w:sz w:val="32"/>
          <w:szCs w:val="32"/>
        </w:rPr>
      </w:pPr>
      <w:r>
        <w:rPr>
          <w:rFonts w:hint="eastAsia" w:ascii="仿宋" w:hAnsi="仿宋" w:eastAsia="仿宋" w:cs="仿宋_GB2312"/>
          <w:b/>
          <w:bCs/>
          <w:color w:val="000000"/>
          <w:sz w:val="32"/>
          <w:szCs w:val="32"/>
        </w:rPr>
        <w:t>五、社会保险基金预算支出情况</w:t>
      </w:r>
    </w:p>
    <w:p w14:paraId="09FDB2C3">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firstLine="640" w:firstLineChars="200"/>
        <w:jc w:val="left"/>
        <w:textAlignment w:val="auto"/>
        <w:rPr>
          <w:rFonts w:ascii="仿宋" w:hAnsi="仿宋" w:eastAsia="仿宋" w:cs="仿宋_GB2312"/>
          <w:b/>
          <w:bCs/>
          <w:color w:val="000000"/>
          <w:sz w:val="32"/>
          <w:szCs w:val="32"/>
        </w:rPr>
      </w:pPr>
      <w:r>
        <w:rPr>
          <w:rFonts w:hint="eastAsia" w:ascii="仿宋" w:hAnsi="仿宋" w:eastAsia="仿宋" w:cs="仿宋_GB2312"/>
          <w:bCs/>
          <w:color w:val="000000"/>
          <w:sz w:val="32"/>
          <w:szCs w:val="32"/>
        </w:rPr>
        <w:t>本单位2024年度无社会保险基金预算支出情况。</w:t>
      </w:r>
    </w:p>
    <w:p w14:paraId="614B6FD8">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firstLine="640" w:firstLineChars="200"/>
        <w:jc w:val="left"/>
        <w:textAlignment w:val="auto"/>
        <w:rPr>
          <w:rFonts w:ascii="仿宋" w:hAnsi="仿宋" w:eastAsia="仿宋" w:cs="仿宋_GB2312"/>
          <w:b/>
          <w:bCs/>
          <w:color w:val="000000"/>
          <w:sz w:val="32"/>
          <w:szCs w:val="32"/>
        </w:rPr>
      </w:pPr>
      <w:r>
        <w:rPr>
          <w:rFonts w:hint="eastAsia" w:ascii="仿宋" w:hAnsi="仿宋" w:eastAsia="仿宋" w:cs="仿宋_GB2312"/>
          <w:b/>
          <w:bCs/>
          <w:color w:val="000000"/>
          <w:sz w:val="32"/>
          <w:szCs w:val="32"/>
        </w:rPr>
        <w:t>六、部门整体支出绩效情况</w:t>
      </w:r>
    </w:p>
    <w:p w14:paraId="20A2CEBE">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firstLine="640" w:firstLineChars="200"/>
        <w:jc w:val="left"/>
        <w:textAlignment w:val="auto"/>
        <w:rPr>
          <w:rFonts w:ascii="仿宋" w:hAnsi="仿宋" w:eastAsia="仿宋" w:cs="仿宋_GB2312"/>
          <w:b/>
          <w:bCs/>
          <w:color w:val="000000"/>
          <w:sz w:val="32"/>
          <w:szCs w:val="32"/>
        </w:rPr>
      </w:pPr>
      <w:r>
        <w:rPr>
          <w:rFonts w:hint="eastAsia" w:ascii="仿宋" w:hAnsi="仿宋" w:eastAsia="仿宋" w:cs="仿宋_GB2312"/>
          <w:b/>
          <w:bCs/>
          <w:color w:val="000000"/>
          <w:sz w:val="32"/>
          <w:szCs w:val="32"/>
        </w:rPr>
        <w:t>（一）综合评价结论</w:t>
      </w:r>
    </w:p>
    <w:p w14:paraId="4777A3F8">
      <w:pPr>
        <w:pStyle w:val="9"/>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80" w:lineRule="exact"/>
        <w:ind w:firstLine="800" w:firstLineChars="250"/>
        <w:textAlignment w:val="auto"/>
        <w:rPr>
          <w:rFonts w:ascii="仿宋" w:hAnsi="仿宋" w:eastAsia="仿宋" w:cs="Arial"/>
          <w:color w:val="333333"/>
          <w:sz w:val="32"/>
          <w:szCs w:val="32"/>
        </w:rPr>
      </w:pPr>
      <w:r>
        <w:rPr>
          <w:rFonts w:hint="eastAsia" w:ascii="仿宋" w:hAnsi="仿宋" w:eastAsia="仿宋" w:cs="Arial"/>
          <w:color w:val="333333"/>
          <w:sz w:val="32"/>
          <w:szCs w:val="32"/>
        </w:rPr>
        <w:t>根据溆浦县财政局关于开展2024年度部门整体支出绩效评价工作的通知等文件要求，对本单位2024年度部门整体支出绩效进行了全面综合评价，绩效综合得分9</w:t>
      </w:r>
      <w:r>
        <w:rPr>
          <w:rFonts w:hint="eastAsia" w:ascii="仿宋" w:hAnsi="仿宋" w:eastAsia="仿宋" w:cs="Arial"/>
          <w:color w:val="333333"/>
          <w:sz w:val="32"/>
          <w:szCs w:val="32"/>
          <w:lang w:val="en-US" w:eastAsia="zh-CN"/>
        </w:rPr>
        <w:t>4.5</w:t>
      </w:r>
      <w:r>
        <w:rPr>
          <w:rFonts w:hint="eastAsia" w:ascii="仿宋" w:hAnsi="仿宋" w:eastAsia="仿宋" w:cs="Arial"/>
          <w:color w:val="333333"/>
          <w:sz w:val="32"/>
          <w:szCs w:val="32"/>
        </w:rPr>
        <w:t>分，部门整体支出绩效为“优”</w:t>
      </w:r>
      <w:r>
        <w:rPr>
          <w:rFonts w:hint="eastAsia" w:ascii="仿宋" w:hAnsi="仿宋" w:eastAsia="仿宋" w:cs="仿宋_GB2312"/>
          <w:color w:val="000000" w:themeColor="text1"/>
          <w:sz w:val="32"/>
          <w:szCs w:val="32"/>
        </w:rPr>
        <w:t>（详见附表1）</w:t>
      </w:r>
      <w:r>
        <w:rPr>
          <w:rFonts w:hint="eastAsia" w:ascii="仿宋" w:hAnsi="仿宋" w:eastAsia="仿宋" w:cs="Arial"/>
          <w:color w:val="333333"/>
          <w:sz w:val="32"/>
          <w:szCs w:val="32"/>
        </w:rPr>
        <w:t>。</w:t>
      </w:r>
    </w:p>
    <w:p w14:paraId="26858453">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firstLine="480" w:firstLineChars="150"/>
        <w:jc w:val="left"/>
        <w:textAlignment w:val="auto"/>
        <w:rPr>
          <w:rFonts w:ascii="仿宋" w:hAnsi="仿宋" w:eastAsia="仿宋" w:cs="仿宋_GB2312"/>
          <w:b/>
          <w:bCs/>
          <w:color w:val="000000"/>
          <w:sz w:val="32"/>
          <w:szCs w:val="32"/>
        </w:rPr>
      </w:pPr>
      <w:r>
        <w:rPr>
          <w:rFonts w:hint="eastAsia" w:ascii="仿宋" w:hAnsi="仿宋" w:eastAsia="仿宋" w:cs="仿宋_GB2312"/>
          <w:b/>
          <w:bCs/>
          <w:color w:val="000000"/>
          <w:sz w:val="32"/>
          <w:szCs w:val="32"/>
        </w:rPr>
        <w:t>（二）评价指标分析</w:t>
      </w:r>
    </w:p>
    <w:p w14:paraId="0B2CE34D">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 w:hAnsi="仿宋" w:eastAsia="仿宋" w:cs="仿宋_GB2312"/>
          <w:bCs/>
          <w:color w:val="FF0000"/>
          <w:sz w:val="32"/>
          <w:szCs w:val="32"/>
          <w:lang w:eastAsia="zh-CN"/>
        </w:rPr>
      </w:pPr>
      <w:r>
        <w:rPr>
          <w:rFonts w:hint="eastAsia" w:ascii="仿宋" w:hAnsi="仿宋" w:eastAsia="仿宋"/>
          <w:sz w:val="32"/>
        </w:rPr>
        <w:t>2024年本单位严格按照财政部门和上级主管部门的预算管理要求，围绕年度工作目标，坚持“量入为出、保障重点、提质增效”的原则，全面加强预算编制、执行和监督。做到资金管理制度健全、资金使用符合规定、财务监控有效，</w:t>
      </w:r>
      <w:r>
        <w:rPr>
          <w:rFonts w:hint="eastAsia" w:ascii="仿宋" w:hAnsi="仿宋" w:eastAsia="仿宋" w:cs="仿宋_GB2312"/>
          <w:bCs/>
          <w:color w:val="000000" w:themeColor="text1"/>
          <w:sz w:val="32"/>
          <w:szCs w:val="32"/>
          <w:lang w:eastAsia="zh-CN"/>
        </w:rPr>
        <w:t>部门整体绩效目标基本实现，履职活动有序开展，在保障运行，提供服务，保障民生等方面取得了预期的主要产出和显著的综合性效益，为完成任务和推动行业发展提供了有力支撑。</w:t>
      </w:r>
    </w:p>
    <w:p w14:paraId="3B926CCC">
      <w:pPr>
        <w:keepNext w:val="0"/>
        <w:keepLines w:val="0"/>
        <w:pageBreakBefore w:val="0"/>
        <w:widowControl/>
        <w:numPr>
          <w:ilvl w:val="0"/>
          <w:numId w:val="0"/>
        </w:numPr>
        <w:kinsoku/>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b/>
          <w:bCs/>
          <w:sz w:val="32"/>
          <w:lang w:val="en-US" w:eastAsia="zh-CN"/>
        </w:rPr>
      </w:pPr>
      <w:r>
        <w:rPr>
          <w:rFonts w:hint="eastAsia" w:ascii="仿宋" w:hAnsi="仿宋" w:eastAsia="仿宋"/>
          <w:b/>
          <w:bCs/>
          <w:sz w:val="32"/>
          <w:lang w:val="en-US" w:eastAsia="zh-CN"/>
        </w:rPr>
        <w:t>1、整体绩效目标设定及预算执行分析</w:t>
      </w:r>
    </w:p>
    <w:p w14:paraId="1F1BE020">
      <w:pPr>
        <w:keepNext w:val="0"/>
        <w:keepLines w:val="0"/>
        <w:pageBreakBefore w:val="0"/>
        <w:widowControl/>
        <w:numPr>
          <w:ilvl w:val="0"/>
          <w:numId w:val="0"/>
        </w:numPr>
        <w:kinsoku/>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sz w:val="32"/>
          <w:lang w:eastAsia="zh-CN"/>
        </w:rPr>
      </w:pPr>
      <w:r>
        <w:rPr>
          <w:rFonts w:hint="eastAsia" w:ascii="仿宋" w:hAnsi="仿宋" w:eastAsia="仿宋"/>
          <w:sz w:val="32"/>
        </w:rPr>
        <w:t>本单位2024年度</w:t>
      </w:r>
      <w:r>
        <w:rPr>
          <w:rFonts w:hint="eastAsia" w:ascii="仿宋" w:hAnsi="仿宋" w:eastAsia="仿宋"/>
          <w:sz w:val="32"/>
          <w:lang w:eastAsia="zh-CN"/>
        </w:rPr>
        <w:t>预算绩效目标设定紧密围绕配部门中心职责以及行业发展规划核心目标展开。在编制“四本预算”时，均设置了明确的年度具体绩效目标。量化指标如下：完成项目数量：失业职工安置人数达</w:t>
      </w:r>
      <w:r>
        <w:rPr>
          <w:rFonts w:hint="eastAsia" w:ascii="仿宋" w:hAnsi="仿宋" w:eastAsia="仿宋"/>
          <w:sz w:val="32"/>
          <w:lang w:val="en-US" w:eastAsia="zh-CN"/>
        </w:rPr>
        <w:t>50人，职工养老保险缴纳人数达32人，补偿下属企业失业职工保险人数达50人；</w:t>
      </w:r>
      <w:r>
        <w:rPr>
          <w:rFonts w:hint="eastAsia" w:ascii="仿宋" w:hAnsi="仿宋" w:eastAsia="仿宋"/>
          <w:sz w:val="32"/>
          <w:lang w:eastAsia="zh-CN"/>
        </w:rPr>
        <w:t>经济成本指标：基本支出控制成本小于等于</w:t>
      </w:r>
      <w:r>
        <w:rPr>
          <w:rFonts w:hint="eastAsia" w:ascii="仿宋" w:hAnsi="仿宋" w:eastAsia="仿宋"/>
          <w:sz w:val="32"/>
          <w:lang w:val="en-US" w:eastAsia="zh-CN"/>
        </w:rPr>
        <w:t>42.21万元，项目控制成本小于等于281.96万元，社会成本节约率大于等于0，生态环境成本节约率大于等于0；质量指标：资金合规性100；时效指标：及时性100；经济效益指标：促进经济发展效果明显；社会效益指标：维护社会稳定效果明显；生态效益指标：实现绿色发展效果明显；可持续影响指标：推动商业企业改制工作可持续发展效果明显；服务对象满意度大于等于95%。</w:t>
      </w:r>
    </w:p>
    <w:p w14:paraId="5622AD77">
      <w:pPr>
        <w:keepNext w:val="0"/>
        <w:keepLines w:val="0"/>
        <w:pageBreakBefore w:val="0"/>
        <w:widowControl/>
        <w:numPr>
          <w:ilvl w:val="0"/>
          <w:numId w:val="0"/>
        </w:numPr>
        <w:kinsoku/>
        <w:overflowPunct/>
        <w:topLinePunct w:val="0"/>
        <w:autoSpaceDE/>
        <w:autoSpaceDN/>
        <w:bidi w:val="0"/>
        <w:adjustRightInd/>
        <w:snapToGrid/>
        <w:spacing w:beforeAutospacing="0" w:afterAutospacing="0" w:line="580" w:lineRule="exact"/>
        <w:textAlignment w:val="auto"/>
        <w:rPr>
          <w:rFonts w:ascii="仿宋" w:hAnsi="仿宋" w:eastAsia="仿宋"/>
          <w:sz w:val="32"/>
        </w:rPr>
      </w:pPr>
      <w:r>
        <w:rPr>
          <w:rFonts w:hint="eastAsia" w:ascii="仿宋" w:hAnsi="仿宋" w:eastAsia="仿宋"/>
          <w:sz w:val="32"/>
          <w:lang w:val="en-US" w:eastAsia="zh-CN"/>
        </w:rPr>
        <w:t xml:space="preserve">     根据年初部门整体目标设定，本单位2024年度</w:t>
      </w:r>
      <w:r>
        <w:rPr>
          <w:rFonts w:hint="eastAsia" w:ascii="仿宋" w:hAnsi="仿宋" w:eastAsia="仿宋" w:cs="宋体"/>
          <w:kern w:val="0"/>
          <w:sz w:val="32"/>
          <w:szCs w:val="32"/>
        </w:rPr>
        <w:t>完成职工基本养老保险缴纳人数34人，补偿下属企业失业职工保险人数50人，安置失业职工补偿人数50人</w:t>
      </w:r>
      <w:r>
        <w:rPr>
          <w:rFonts w:hint="eastAsia" w:ascii="仿宋" w:hAnsi="仿宋" w:eastAsia="仿宋" w:cs="宋体"/>
          <w:kern w:val="0"/>
          <w:sz w:val="32"/>
          <w:szCs w:val="32"/>
          <w:lang w:eastAsia="zh-CN"/>
        </w:rPr>
        <w:t>，</w:t>
      </w:r>
      <w:r>
        <w:rPr>
          <w:rFonts w:hint="eastAsia" w:ascii="仿宋" w:hAnsi="仿宋" w:eastAsia="仿宋"/>
          <w:sz w:val="32"/>
          <w:lang w:eastAsia="zh-CN"/>
        </w:rPr>
        <w:t>基本支出控制成本</w:t>
      </w:r>
      <w:r>
        <w:rPr>
          <w:rFonts w:hint="eastAsia" w:ascii="仿宋" w:hAnsi="仿宋" w:eastAsia="仿宋"/>
          <w:sz w:val="32"/>
          <w:lang w:val="en-US" w:eastAsia="zh-CN"/>
        </w:rPr>
        <w:t>295</w:t>
      </w:r>
      <w:r>
        <w:rPr>
          <w:rFonts w:hint="eastAsia" w:ascii="仿宋" w:hAnsi="仿宋" w:eastAsia="仿宋"/>
          <w:sz w:val="32"/>
        </w:rPr>
        <w:t>万元，</w:t>
      </w:r>
      <w:r>
        <w:rPr>
          <w:rFonts w:hint="eastAsia" w:ascii="仿宋" w:hAnsi="仿宋" w:eastAsia="仿宋"/>
          <w:sz w:val="32"/>
          <w:lang w:val="en-US" w:eastAsia="zh-CN"/>
        </w:rPr>
        <w:t>项目控制成本30.97万元，</w:t>
      </w:r>
      <w:r>
        <w:rPr>
          <w:rFonts w:hint="eastAsia" w:ascii="仿宋" w:hAnsi="仿宋" w:eastAsia="仿宋"/>
          <w:sz w:val="32"/>
        </w:rPr>
        <w:t>出现偏差的原因是</w:t>
      </w:r>
      <w:r>
        <w:rPr>
          <w:rFonts w:hint="eastAsia" w:ascii="仿宋" w:hAnsi="仿宋" w:eastAsia="仿宋"/>
          <w:sz w:val="32"/>
          <w:lang w:eastAsia="zh-CN"/>
        </w:rPr>
        <w:t>年初</w:t>
      </w:r>
      <w:r>
        <w:rPr>
          <w:rFonts w:hint="eastAsia" w:ascii="仿宋" w:hAnsi="仿宋" w:eastAsia="仿宋"/>
          <w:color w:val="000000" w:themeColor="text1"/>
          <w:sz w:val="32"/>
          <w:szCs w:val="32"/>
          <w:shd w:val="clear" w:color="auto" w:fill="FFFFFF"/>
          <w:lang w:eastAsia="zh-CN"/>
        </w:rPr>
        <w:t>列入预算项目的支出，实际支出则为基本支出，但总成本是一致的，只是分项不同。</w:t>
      </w:r>
    </w:p>
    <w:p w14:paraId="2199C798">
      <w:pPr>
        <w:pStyle w:val="9"/>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_GB2312"/>
          <w:b/>
          <w:bCs/>
          <w:color w:val="000000"/>
          <w:sz w:val="32"/>
          <w:szCs w:val="32"/>
        </w:rPr>
      </w:pPr>
      <w:r>
        <w:rPr>
          <w:rFonts w:hint="eastAsia" w:ascii="仿宋" w:hAnsi="仿宋" w:eastAsia="仿宋"/>
          <w:sz w:val="32"/>
        </w:rPr>
        <w:t>根据年初预算，经济成本控制在年初预算成本324.17万元范围内，2024年全年预算数32</w:t>
      </w:r>
      <w:r>
        <w:rPr>
          <w:rFonts w:hint="eastAsia" w:ascii="仿宋" w:hAnsi="仿宋" w:eastAsia="仿宋"/>
          <w:sz w:val="32"/>
          <w:lang w:val="en-US" w:eastAsia="zh-CN"/>
        </w:rPr>
        <w:t>5</w:t>
      </w:r>
      <w:r>
        <w:rPr>
          <w:rFonts w:hint="eastAsia" w:ascii="仿宋" w:hAnsi="仿宋" w:eastAsia="仿宋"/>
          <w:sz w:val="32"/>
        </w:rPr>
        <w:t>.97万元，2024年部门整体支出经济成本执行数325.97万元，预算执行率</w:t>
      </w:r>
      <w:r>
        <w:rPr>
          <w:rFonts w:hint="eastAsia" w:ascii="仿宋" w:hAnsi="仿宋" w:eastAsia="仿宋"/>
          <w:sz w:val="32"/>
          <w:lang w:val="en-US" w:eastAsia="zh-CN"/>
        </w:rPr>
        <w:t>100</w:t>
      </w:r>
      <w:r>
        <w:rPr>
          <w:rFonts w:hint="eastAsia" w:ascii="仿宋" w:hAnsi="仿宋" w:eastAsia="仿宋"/>
          <w:sz w:val="32"/>
        </w:rPr>
        <w:t>%，出现偏差的原因一个是遗属生活补助出现了偏差，金额为0.13万元，主要是本年度支付上年度的遗属生活补助。出现偏差的另一个原因是</w:t>
      </w:r>
      <w:r>
        <w:rPr>
          <w:rFonts w:hint="eastAsia" w:ascii="仿宋" w:hAnsi="仿宋" w:eastAsia="仿宋"/>
          <w:sz w:val="32"/>
          <w:lang w:eastAsia="zh-CN"/>
        </w:rPr>
        <w:t>年初</w:t>
      </w:r>
      <w:r>
        <w:rPr>
          <w:rFonts w:hint="eastAsia" w:ascii="仿宋" w:hAnsi="仿宋" w:eastAsia="仿宋"/>
          <w:color w:val="000000" w:themeColor="text1"/>
          <w:sz w:val="32"/>
          <w:szCs w:val="32"/>
          <w:shd w:val="clear" w:color="auto" w:fill="FFFFFF"/>
          <w:lang w:eastAsia="zh-CN"/>
        </w:rPr>
        <w:t>列入预算项目的支出，实际支出则为基本支出。</w:t>
      </w:r>
      <w:r>
        <w:rPr>
          <w:rFonts w:hint="eastAsia" w:ascii="仿宋" w:hAnsi="仿宋" w:eastAsia="仿宋"/>
          <w:sz w:val="32"/>
        </w:rPr>
        <w:t>社会成本节约率及生态环境成本节约率均为0。</w:t>
      </w:r>
    </w:p>
    <w:p w14:paraId="34FF922B">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firstLine="640" w:firstLineChars="200"/>
        <w:jc w:val="left"/>
        <w:textAlignment w:val="auto"/>
        <w:rPr>
          <w:rFonts w:ascii="仿宋" w:hAnsi="仿宋" w:eastAsia="仿宋" w:cs="仿宋_GB2312"/>
          <w:b/>
          <w:bCs/>
          <w:color w:val="000000"/>
          <w:sz w:val="32"/>
          <w:szCs w:val="32"/>
        </w:rPr>
      </w:pPr>
      <w:r>
        <w:rPr>
          <w:rFonts w:hint="eastAsia" w:ascii="仿宋" w:hAnsi="仿宋" w:eastAsia="仿宋" w:cs="仿宋_GB2312"/>
          <w:b/>
          <w:bCs/>
          <w:color w:val="000000"/>
          <w:sz w:val="32"/>
          <w:szCs w:val="32"/>
        </w:rPr>
        <w:t>（二）部门预算执行情况</w:t>
      </w:r>
    </w:p>
    <w:p w14:paraId="56A97632">
      <w:pPr>
        <w:keepNext w:val="0"/>
        <w:keepLines w:val="0"/>
        <w:pageBreakBefore w:val="0"/>
        <w:widowControl/>
        <w:numPr>
          <w:ilvl w:val="0"/>
          <w:numId w:val="0"/>
        </w:numPr>
        <w:kinsoku/>
        <w:overflowPunct/>
        <w:topLinePunct w:val="0"/>
        <w:autoSpaceDE/>
        <w:autoSpaceDN/>
        <w:bidi w:val="0"/>
        <w:adjustRightInd/>
        <w:snapToGrid/>
        <w:spacing w:beforeAutospacing="0" w:afterAutospacing="0" w:line="580" w:lineRule="exact"/>
        <w:ind w:firstLine="640" w:firstLineChars="200"/>
        <w:textAlignment w:val="auto"/>
        <w:rPr>
          <w:rFonts w:ascii="仿宋" w:hAnsi="仿宋" w:eastAsia="仿宋"/>
          <w:sz w:val="32"/>
        </w:rPr>
      </w:pPr>
      <w:r>
        <w:rPr>
          <w:rFonts w:hint="eastAsia" w:ascii="仿宋" w:hAnsi="仿宋" w:eastAsia="仿宋"/>
          <w:sz w:val="32"/>
          <w:lang w:val="en-US" w:eastAsia="zh-CN"/>
        </w:rPr>
        <w:t>根据年初部门整体目标设定，本单位2024年度</w:t>
      </w:r>
      <w:r>
        <w:rPr>
          <w:rFonts w:hint="eastAsia" w:ascii="仿宋" w:hAnsi="仿宋" w:eastAsia="仿宋" w:cs="宋体"/>
          <w:kern w:val="0"/>
          <w:sz w:val="32"/>
          <w:szCs w:val="32"/>
        </w:rPr>
        <w:t>完成职工基本养老保险缴纳人数34人，补偿下属企业失业职工保险人数50人，安置失业职工补偿人数50人</w:t>
      </w:r>
      <w:r>
        <w:rPr>
          <w:rFonts w:hint="eastAsia" w:ascii="仿宋" w:hAnsi="仿宋" w:eastAsia="仿宋" w:cs="宋体"/>
          <w:kern w:val="0"/>
          <w:sz w:val="32"/>
          <w:szCs w:val="32"/>
          <w:lang w:eastAsia="zh-CN"/>
        </w:rPr>
        <w:t>，</w:t>
      </w:r>
      <w:r>
        <w:rPr>
          <w:rFonts w:hint="eastAsia" w:ascii="仿宋" w:hAnsi="仿宋" w:eastAsia="仿宋"/>
          <w:sz w:val="32"/>
          <w:lang w:eastAsia="zh-CN"/>
        </w:rPr>
        <w:t>基本支出控制成本</w:t>
      </w:r>
      <w:r>
        <w:rPr>
          <w:rFonts w:hint="eastAsia" w:ascii="仿宋" w:hAnsi="仿宋" w:eastAsia="仿宋"/>
          <w:sz w:val="32"/>
          <w:lang w:val="en-US" w:eastAsia="zh-CN"/>
        </w:rPr>
        <w:t>295</w:t>
      </w:r>
      <w:r>
        <w:rPr>
          <w:rFonts w:hint="eastAsia" w:ascii="仿宋" w:hAnsi="仿宋" w:eastAsia="仿宋"/>
          <w:sz w:val="32"/>
        </w:rPr>
        <w:t>万元，</w:t>
      </w:r>
      <w:r>
        <w:rPr>
          <w:rFonts w:hint="eastAsia" w:ascii="仿宋" w:hAnsi="仿宋" w:eastAsia="仿宋"/>
          <w:sz w:val="32"/>
          <w:lang w:val="en-US" w:eastAsia="zh-CN"/>
        </w:rPr>
        <w:t>项目控制成本30.97万元，</w:t>
      </w:r>
      <w:r>
        <w:rPr>
          <w:rFonts w:hint="eastAsia" w:ascii="仿宋" w:hAnsi="仿宋" w:eastAsia="仿宋"/>
          <w:sz w:val="32"/>
        </w:rPr>
        <w:t>出现偏差的原因是</w:t>
      </w:r>
      <w:r>
        <w:rPr>
          <w:rFonts w:hint="eastAsia" w:ascii="仿宋" w:hAnsi="仿宋" w:eastAsia="仿宋"/>
          <w:sz w:val="32"/>
          <w:lang w:eastAsia="zh-CN"/>
        </w:rPr>
        <w:t>年初</w:t>
      </w:r>
      <w:r>
        <w:rPr>
          <w:rFonts w:hint="eastAsia" w:ascii="仿宋" w:hAnsi="仿宋" w:eastAsia="仿宋"/>
          <w:color w:val="000000" w:themeColor="text1"/>
          <w:sz w:val="32"/>
          <w:szCs w:val="32"/>
          <w:shd w:val="clear" w:color="auto" w:fill="FFFFFF"/>
          <w:lang w:eastAsia="zh-CN"/>
        </w:rPr>
        <w:t>列入预算项目的支出，实际支出则为基本支出，但总成本是一致的，只是分项不同。</w:t>
      </w:r>
    </w:p>
    <w:p w14:paraId="431661D0">
      <w:pPr>
        <w:pStyle w:val="9"/>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 w:hAnsi="仿宋" w:eastAsia="仿宋"/>
          <w:sz w:val="32"/>
        </w:rPr>
      </w:pPr>
      <w:r>
        <w:rPr>
          <w:rFonts w:hint="eastAsia" w:ascii="仿宋" w:hAnsi="仿宋" w:eastAsia="仿宋"/>
          <w:sz w:val="32"/>
        </w:rPr>
        <w:t>根据年初预算，经济成本控制在年初预算成本324.17万元范围内，2024年全年预算数32</w:t>
      </w:r>
      <w:r>
        <w:rPr>
          <w:rFonts w:hint="eastAsia" w:ascii="仿宋" w:hAnsi="仿宋" w:eastAsia="仿宋"/>
          <w:sz w:val="32"/>
          <w:lang w:val="en-US" w:eastAsia="zh-CN"/>
        </w:rPr>
        <w:t>5</w:t>
      </w:r>
      <w:r>
        <w:rPr>
          <w:rFonts w:hint="eastAsia" w:ascii="仿宋" w:hAnsi="仿宋" w:eastAsia="仿宋"/>
          <w:sz w:val="32"/>
        </w:rPr>
        <w:t>.97万元，2024年部门整体支出经济成本执行数325.97万元，预算执行率</w:t>
      </w:r>
      <w:r>
        <w:rPr>
          <w:rFonts w:hint="eastAsia" w:ascii="仿宋" w:hAnsi="仿宋" w:eastAsia="仿宋"/>
          <w:sz w:val="32"/>
          <w:lang w:val="en-US" w:eastAsia="zh-CN"/>
        </w:rPr>
        <w:t>100</w:t>
      </w:r>
      <w:r>
        <w:rPr>
          <w:rFonts w:hint="eastAsia" w:ascii="仿宋" w:hAnsi="仿宋" w:eastAsia="仿宋"/>
          <w:sz w:val="32"/>
        </w:rPr>
        <w:t>%，出现偏差的原因一个是遗属生活补助出现了偏差，金额为0.13万元，主要是本年度支付上年度的遗属生活补助。出现偏差的另一个原因是</w:t>
      </w:r>
      <w:r>
        <w:rPr>
          <w:rFonts w:hint="eastAsia" w:ascii="仿宋" w:hAnsi="仿宋" w:eastAsia="仿宋"/>
          <w:sz w:val="32"/>
          <w:lang w:eastAsia="zh-CN"/>
        </w:rPr>
        <w:t>年初</w:t>
      </w:r>
      <w:r>
        <w:rPr>
          <w:rFonts w:hint="eastAsia" w:ascii="仿宋" w:hAnsi="仿宋" w:eastAsia="仿宋"/>
          <w:color w:val="000000" w:themeColor="text1"/>
          <w:sz w:val="32"/>
          <w:szCs w:val="32"/>
          <w:shd w:val="clear" w:color="auto" w:fill="FFFFFF"/>
          <w:lang w:eastAsia="zh-CN"/>
        </w:rPr>
        <w:t>列入预算项目的支出，实际支出则为基本支出。</w:t>
      </w:r>
      <w:r>
        <w:rPr>
          <w:rFonts w:hint="eastAsia" w:ascii="仿宋" w:hAnsi="仿宋" w:eastAsia="仿宋"/>
          <w:sz w:val="32"/>
        </w:rPr>
        <w:t>社会成本节约率及生态环境成本节约率均为0。</w:t>
      </w:r>
    </w:p>
    <w:p w14:paraId="7F3C4542">
      <w:pPr>
        <w:pStyle w:val="9"/>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olor w:val="000000" w:themeColor="text1"/>
          <w:sz w:val="32"/>
          <w:szCs w:val="32"/>
          <w:shd w:val="clear" w:color="auto" w:fill="FFFFFF"/>
          <w:lang w:val="en-US" w:eastAsia="zh-CN"/>
        </w:rPr>
      </w:pPr>
      <w:r>
        <w:rPr>
          <w:rFonts w:hint="eastAsia" w:ascii="仿宋" w:hAnsi="仿宋" w:eastAsia="仿宋"/>
          <w:sz w:val="32"/>
        </w:rPr>
        <w:t>根据年初设定的保障单位正常运转，所属企业职工状态良好，生产安全有效，维护社会和谐稳定，本年度完成了即定目标，达到了预期效果，项目的实施对社会的发展都有直接或间接好的影响，提高了我中心的履职能力，增强了商改办系统和谐稳定，促进了企业职工民生福利的改善，可持续地推动了当地经济和社会的发展，但单位资金困难，满意度受影响，满意度为94%</w:t>
      </w:r>
      <w:r>
        <w:rPr>
          <w:rFonts w:hint="eastAsia" w:ascii="仿宋" w:hAnsi="仿宋" w:eastAsia="仿宋"/>
          <w:sz w:val="32"/>
          <w:lang w:eastAsia="zh-CN"/>
        </w:rPr>
        <w:t>。从指标设定上看，数量指标分值</w:t>
      </w:r>
      <w:r>
        <w:rPr>
          <w:rFonts w:hint="eastAsia" w:ascii="仿宋" w:hAnsi="仿宋" w:eastAsia="仿宋"/>
          <w:sz w:val="32"/>
          <w:lang w:val="en-US" w:eastAsia="zh-CN"/>
        </w:rPr>
        <w:t>15分，本年度实际完成值15分；质量指标分值5分，实际完成值5分；时效指标分值10分，实际完成值10分；效益指标分值20分，实际完成值20分；可持续影响指标分值10分，实际完成值10，服务对象满意度指标分值10分，实际完成值9.5分，主要是下属企业均为改制的破产困难企业，下岗职工多，由于资金有限，服务对象满意度受影响。指标值95%，实际完成值94%，扣0.5分；经济成本指标分值10分，实际完成值5分，年初目标</w:t>
      </w:r>
      <w:r>
        <w:rPr>
          <w:rFonts w:hint="eastAsia" w:ascii="仿宋" w:hAnsi="仿宋" w:eastAsia="仿宋"/>
          <w:sz w:val="32"/>
          <w:lang w:eastAsia="zh-CN"/>
        </w:rPr>
        <w:t>基本支出控制成本小于等于</w:t>
      </w:r>
      <w:r>
        <w:rPr>
          <w:rFonts w:hint="eastAsia" w:ascii="仿宋" w:hAnsi="仿宋" w:eastAsia="仿宋"/>
          <w:sz w:val="32"/>
          <w:lang w:val="en-US" w:eastAsia="zh-CN"/>
        </w:rPr>
        <w:t>42.21万元，项目控制成本小于等于281.96万元，社会成本节约率大于等于0，生态环境成本节约率大于等于0；实际</w:t>
      </w:r>
      <w:r>
        <w:rPr>
          <w:rFonts w:hint="eastAsia" w:ascii="仿宋" w:hAnsi="仿宋" w:eastAsia="仿宋"/>
          <w:sz w:val="32"/>
          <w:lang w:eastAsia="zh-CN"/>
        </w:rPr>
        <w:t>基本支出控制成本</w:t>
      </w:r>
      <w:r>
        <w:rPr>
          <w:rFonts w:hint="eastAsia" w:ascii="仿宋" w:hAnsi="仿宋" w:eastAsia="仿宋"/>
          <w:sz w:val="32"/>
          <w:lang w:val="en-US" w:eastAsia="zh-CN"/>
        </w:rPr>
        <w:t>295万元，项目控制成本30.97万元，社会成本节约率等于0，生态环境成本节约率等于0；主要是本年度部分资金年初预算</w:t>
      </w:r>
      <w:r>
        <w:rPr>
          <w:rFonts w:hint="eastAsia" w:ascii="仿宋" w:hAnsi="仿宋" w:eastAsia="仿宋"/>
          <w:color w:val="000000" w:themeColor="text1"/>
          <w:sz w:val="32"/>
          <w:szCs w:val="32"/>
          <w:shd w:val="clear" w:color="auto" w:fill="FFFFFF"/>
          <w:lang w:eastAsia="zh-CN"/>
        </w:rPr>
        <w:t>列入预算项目，而实际支出则列为基本支出，但总成本是一致的。本指标扣</w:t>
      </w:r>
      <w:r>
        <w:rPr>
          <w:rFonts w:hint="eastAsia" w:ascii="仿宋" w:hAnsi="仿宋" w:eastAsia="仿宋"/>
          <w:color w:val="000000" w:themeColor="text1"/>
          <w:sz w:val="32"/>
          <w:szCs w:val="32"/>
          <w:shd w:val="clear" w:color="auto" w:fill="FFFFFF"/>
          <w:lang w:val="en-US" w:eastAsia="zh-CN"/>
        </w:rPr>
        <w:t>5</w:t>
      </w:r>
      <w:r>
        <w:rPr>
          <w:rFonts w:hint="eastAsia" w:ascii="仿宋" w:hAnsi="仿宋" w:eastAsia="仿宋"/>
          <w:color w:val="000000" w:themeColor="text1"/>
          <w:sz w:val="32"/>
          <w:szCs w:val="32"/>
          <w:shd w:val="clear" w:color="auto" w:fill="FFFFFF"/>
          <w:lang w:eastAsia="zh-CN"/>
        </w:rPr>
        <w:t>分。</w:t>
      </w:r>
    </w:p>
    <w:p w14:paraId="36F9583C">
      <w:pPr>
        <w:keepNext w:val="0"/>
        <w:keepLines w:val="0"/>
        <w:pageBreakBefore w:val="0"/>
        <w:widowControl/>
        <w:numPr>
          <w:ilvl w:val="0"/>
          <w:numId w:val="0"/>
        </w:numPr>
        <w:kinsoku/>
        <w:overflowPunct/>
        <w:topLinePunct w:val="0"/>
        <w:autoSpaceDE/>
        <w:autoSpaceDN/>
        <w:bidi w:val="0"/>
        <w:adjustRightInd/>
        <w:snapToGrid/>
        <w:spacing w:beforeAutospacing="0" w:afterAutospacing="0" w:line="580" w:lineRule="exact"/>
        <w:ind w:firstLine="960" w:firstLineChars="300"/>
        <w:textAlignment w:val="auto"/>
        <w:rPr>
          <w:rFonts w:hint="eastAsia" w:ascii="仿宋" w:hAnsi="仿宋" w:eastAsia="仿宋"/>
          <w:b/>
          <w:bCs/>
          <w:color w:val="000000" w:themeColor="text1"/>
          <w:sz w:val="32"/>
          <w:szCs w:val="32"/>
          <w:lang w:val="en-US" w:eastAsia="zh-CN"/>
        </w:rPr>
      </w:pPr>
      <w:r>
        <w:rPr>
          <w:rFonts w:hint="eastAsia" w:ascii="仿宋" w:hAnsi="仿宋" w:eastAsia="仿宋"/>
          <w:b/>
          <w:bCs/>
          <w:color w:val="000000" w:themeColor="text1"/>
          <w:sz w:val="32"/>
          <w:szCs w:val="32"/>
          <w:lang w:val="en-US" w:eastAsia="zh-CN"/>
        </w:rPr>
        <w:t>2、预算管理分析</w:t>
      </w:r>
    </w:p>
    <w:p w14:paraId="0E27F1A5">
      <w:pPr>
        <w:keepNext w:val="0"/>
        <w:keepLines w:val="0"/>
        <w:pageBreakBefore w:val="0"/>
        <w:widowControl/>
        <w:numPr>
          <w:ilvl w:val="0"/>
          <w:numId w:val="0"/>
        </w:numPr>
        <w:kinsoku/>
        <w:overflowPunct/>
        <w:topLinePunct w:val="0"/>
        <w:autoSpaceDE/>
        <w:autoSpaceDN/>
        <w:bidi w:val="0"/>
        <w:adjustRightInd/>
        <w:snapToGrid/>
        <w:spacing w:beforeAutospacing="0" w:afterAutospacing="0" w:line="580" w:lineRule="exact"/>
        <w:ind w:firstLine="960" w:firstLineChars="300"/>
        <w:textAlignment w:val="auto"/>
        <w:rPr>
          <w:rFonts w:hint="eastAsia" w:ascii="仿宋" w:hAnsi="仿宋" w:eastAsia="仿宋"/>
          <w:b w:val="0"/>
          <w:bCs w:val="0"/>
          <w:color w:val="000000" w:themeColor="text1"/>
          <w:sz w:val="32"/>
          <w:szCs w:val="32"/>
          <w:lang w:val="en-US" w:eastAsia="zh-CN"/>
        </w:rPr>
      </w:pPr>
      <w:r>
        <w:rPr>
          <w:rFonts w:hint="eastAsia" w:ascii="仿宋" w:hAnsi="仿宋" w:eastAsia="仿宋"/>
          <w:b w:val="0"/>
          <w:bCs w:val="0"/>
          <w:color w:val="000000" w:themeColor="text1"/>
          <w:sz w:val="32"/>
          <w:szCs w:val="32"/>
          <w:lang w:val="en-US" w:eastAsia="zh-CN"/>
        </w:rPr>
        <w:t xml:space="preserve">本单位建立了涵盖预算编制、执行、监督、评价全过程的预算管理制度体系。制度基本健全但差异化管理制度有待完善。开展了常态化绩效运行监控，对重点项目和关键指标进行跟踪分析，对监控发现的主要问题采取了纠偏措施。并按要求完成了对部门整体支出及专项资金支出的绩效评价工作。同时按要求公开了预决算信息和部分绩效信息，预算管理信息系统在支撑预算编报、执行监控、会计核算等方面发挥了基础作用。 </w:t>
      </w:r>
    </w:p>
    <w:p w14:paraId="5A650E8B">
      <w:pPr>
        <w:keepNext w:val="0"/>
        <w:keepLines w:val="0"/>
        <w:pageBreakBefore w:val="0"/>
        <w:widowControl/>
        <w:numPr>
          <w:ilvl w:val="0"/>
          <w:numId w:val="0"/>
        </w:numPr>
        <w:kinsoku/>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b/>
          <w:bCs/>
          <w:color w:val="000000" w:themeColor="text1"/>
          <w:sz w:val="32"/>
          <w:szCs w:val="32"/>
          <w:lang w:eastAsia="zh-CN"/>
        </w:rPr>
      </w:pPr>
      <w:r>
        <w:rPr>
          <w:rFonts w:hint="eastAsia" w:ascii="仿宋" w:hAnsi="仿宋" w:eastAsia="仿宋"/>
          <w:b/>
          <w:bCs/>
          <w:color w:val="000000" w:themeColor="text1"/>
          <w:sz w:val="32"/>
          <w:szCs w:val="32"/>
          <w:lang w:val="en-US" w:eastAsia="zh-CN"/>
        </w:rPr>
        <w:t>3、资产管理分析</w:t>
      </w:r>
    </w:p>
    <w:p w14:paraId="0A20B9AA">
      <w:pPr>
        <w:keepNext w:val="0"/>
        <w:keepLines w:val="0"/>
        <w:pageBreakBefore w:val="0"/>
        <w:widowControl/>
        <w:kinsoku/>
        <w:overflowPunct/>
        <w:topLinePunct w:val="0"/>
        <w:autoSpaceDE/>
        <w:autoSpaceDN/>
        <w:bidi w:val="0"/>
        <w:adjustRightInd/>
        <w:snapToGrid/>
        <w:spacing w:beforeAutospacing="0" w:afterAutospacing="0" w:line="580" w:lineRule="exact"/>
        <w:ind w:firstLine="640" w:firstLineChars="200"/>
        <w:textAlignment w:val="auto"/>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rPr>
        <w:t>本单位</w:t>
      </w:r>
      <w:r>
        <w:rPr>
          <w:rFonts w:hint="eastAsia" w:ascii="仿宋" w:hAnsi="仿宋" w:eastAsia="仿宋" w:cs="仿宋_GB2312"/>
          <w:color w:val="000000"/>
          <w:sz w:val="32"/>
          <w:szCs w:val="32"/>
          <w:lang w:val="en-US" w:eastAsia="zh-CN"/>
        </w:rPr>
        <w:t>2024年度资产配置全部纳入部门预算统筹管理，执行了资产配置标准和审核程序，固定资产利用率总体良好。</w:t>
      </w:r>
    </w:p>
    <w:p w14:paraId="0DA524C0">
      <w:pPr>
        <w:keepNext w:val="0"/>
        <w:keepLines w:val="0"/>
        <w:pageBreakBefore w:val="0"/>
        <w:widowControl/>
        <w:kinsoku/>
        <w:overflowPunct/>
        <w:topLinePunct w:val="0"/>
        <w:autoSpaceDE/>
        <w:autoSpaceDN/>
        <w:bidi w:val="0"/>
        <w:adjustRightInd/>
        <w:snapToGrid/>
        <w:spacing w:beforeAutospacing="0" w:afterAutospacing="0" w:line="580" w:lineRule="exact"/>
        <w:textAlignment w:val="auto"/>
        <w:rPr>
          <w:rFonts w:hint="eastAsia" w:ascii="仿宋" w:hAnsi="仿宋" w:eastAsia="仿宋" w:cs="仿宋_GB2312"/>
          <w:kern w:val="0"/>
          <w:sz w:val="32"/>
          <w:szCs w:val="32"/>
        </w:rPr>
      </w:pPr>
      <w:r>
        <w:rPr>
          <w:rFonts w:hint="eastAsia" w:ascii="仿宋" w:hAnsi="仿宋" w:eastAsia="仿宋" w:cs="仿宋_GB2312"/>
          <w:color w:val="000000"/>
          <w:sz w:val="32"/>
          <w:szCs w:val="32"/>
        </w:rPr>
        <w:t>在资产管理方面严格依法依规，单位制定了资产管理办法，对资产申购、采购、分配、保管、处置及责任赔偿等进行了规定。</w:t>
      </w:r>
      <w:r>
        <w:rPr>
          <w:rFonts w:hint="eastAsia" w:ascii="仿宋" w:hAnsi="仿宋" w:eastAsia="仿宋" w:cs="仿宋_GB2312"/>
          <w:sz w:val="32"/>
          <w:szCs w:val="32"/>
        </w:rPr>
        <w:t>对资产均抄册登记，对</w:t>
      </w:r>
      <w:r>
        <w:rPr>
          <w:rFonts w:hint="eastAsia" w:ascii="仿宋" w:hAnsi="仿宋" w:eastAsia="仿宋" w:cs="仿宋_GB2312"/>
          <w:kern w:val="0"/>
          <w:sz w:val="32"/>
          <w:szCs w:val="32"/>
        </w:rPr>
        <w:t>国有资产进行核实，建立好帐卡，对资产实物实行“一物一卡一条码”数据管理</w:t>
      </w:r>
      <w:r>
        <w:rPr>
          <w:rFonts w:hint="eastAsia" w:ascii="仿宋" w:hAnsi="仿宋" w:eastAsia="仿宋" w:cs="仿宋_GB2312"/>
          <w:sz w:val="32"/>
          <w:szCs w:val="32"/>
        </w:rPr>
        <w:t>。本单位资产全部在用，账实相符。对于</w:t>
      </w:r>
      <w:r>
        <w:rPr>
          <w:rFonts w:hint="eastAsia" w:ascii="仿宋" w:hAnsi="仿宋" w:eastAsia="仿宋" w:cs="仿宋_GB2312"/>
          <w:kern w:val="0"/>
          <w:sz w:val="32"/>
          <w:szCs w:val="32"/>
        </w:rPr>
        <w:t>国有资产的处置按照对于资产的管理办法进行，但也存在着处置不及时，人员调动时资产使用人的变更登记不及时、交接手续不全等问题。</w:t>
      </w:r>
    </w:p>
    <w:p w14:paraId="4106CE0F">
      <w:pPr>
        <w:keepNext w:val="0"/>
        <w:keepLines w:val="0"/>
        <w:pageBreakBefore w:val="0"/>
        <w:widowControl/>
        <w:tabs>
          <w:tab w:val="left" w:pos="312"/>
        </w:tabs>
        <w:kinsoku/>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b/>
          <w:bCs/>
          <w:color w:val="000000" w:themeColor="text1"/>
          <w:sz w:val="32"/>
          <w:lang w:eastAsia="zh-CN"/>
        </w:rPr>
      </w:pPr>
      <w:r>
        <w:rPr>
          <w:rFonts w:hint="eastAsia" w:ascii="仿宋" w:hAnsi="仿宋" w:eastAsia="仿宋"/>
          <w:b/>
          <w:bCs/>
          <w:color w:val="000000" w:themeColor="text1"/>
          <w:sz w:val="32"/>
          <w:lang w:val="en-US" w:eastAsia="zh-CN"/>
        </w:rPr>
        <w:t>4.职责履行分析</w:t>
      </w:r>
    </w:p>
    <w:p w14:paraId="262F5CB5">
      <w:pPr>
        <w:keepNext w:val="0"/>
        <w:keepLines w:val="0"/>
        <w:pageBreakBefore w:val="0"/>
        <w:widowControl/>
        <w:kinsoku/>
        <w:overflowPunct/>
        <w:topLinePunct w:val="0"/>
        <w:autoSpaceDE/>
        <w:autoSpaceDN/>
        <w:bidi w:val="0"/>
        <w:adjustRightInd/>
        <w:snapToGrid/>
        <w:spacing w:beforeAutospacing="0" w:afterAutospacing="0" w:line="580" w:lineRule="exact"/>
        <w:ind w:firstLine="800" w:firstLineChars="250"/>
        <w:textAlignment w:val="auto"/>
        <w:rPr>
          <w:rFonts w:ascii="仿宋" w:hAnsi="仿宋" w:eastAsia="仿宋" w:cs="仿宋_GB2312"/>
          <w:sz w:val="32"/>
          <w:szCs w:val="32"/>
        </w:rPr>
      </w:pPr>
      <w:r>
        <w:rPr>
          <w:rFonts w:hint="eastAsia" w:ascii="仿宋" w:hAnsi="仿宋" w:eastAsia="仿宋" w:cs="Arial"/>
          <w:color w:val="333333"/>
          <w:sz w:val="32"/>
          <w:szCs w:val="32"/>
        </w:rPr>
        <w:t>2024年</w:t>
      </w:r>
      <w:r>
        <w:rPr>
          <w:rFonts w:hint="eastAsia" w:ascii="仿宋" w:hAnsi="仿宋" w:eastAsia="仿宋"/>
          <w:sz w:val="32"/>
          <w:szCs w:val="32"/>
        </w:rPr>
        <w:t>本单位在县委县政府、县商务局的正确领导下，以保障和改善民生为出发点和落脚点，以破解各种难题、力增资产收益和稳定经营收入为抓手，扎实</w:t>
      </w:r>
      <w:r>
        <w:rPr>
          <w:rFonts w:hint="eastAsia" w:ascii="仿宋" w:hAnsi="仿宋" w:eastAsia="仿宋" w:cs="仿宋_GB2312"/>
          <w:sz w:val="32"/>
          <w:szCs w:val="32"/>
        </w:rPr>
        <w:t>做好了以下几个方面的工作：一是做好本单位的日常管理工作，确保单位正常运转；二慢做好下属改制企业的管理工作，多措并举，做好企业的资产管理工作，确保国有资产保值增值；三是综治维稳工作常抓不懈。商业企业基本是改制企业，下岗困难职工多，企业的维稳事关商改系统工作大局，维护大局稳定是重中之重；四是抓好本单位及下属企业的安全生产工作，安全发夹生产工作，责任重大，做到警钟长鸣，常抓不懈；五是抓党建工作，始终不放松，做好单位职工及下岗企业管理人员的政治思想工作，坚持集中学习、各支部组织学习和督导党员个人学习等形式相结合，不断完善“三会一课”制度，为完成各项工作任务奠定政治思想基础；六是县委县政府及商务局统一安排部署的美丽乡村建设、文明创建、爱国卫生、禁毒等工作。</w:t>
      </w:r>
    </w:p>
    <w:p w14:paraId="62CF6B05">
      <w:pPr>
        <w:keepNext w:val="0"/>
        <w:keepLines w:val="0"/>
        <w:pageBreakBefore w:val="0"/>
        <w:widowControl/>
        <w:kinsoku/>
        <w:overflowPunct/>
        <w:topLinePunct w:val="0"/>
        <w:autoSpaceDE/>
        <w:autoSpaceDN/>
        <w:bidi w:val="0"/>
        <w:adjustRightInd/>
        <w:snapToGrid/>
        <w:spacing w:beforeAutospacing="0" w:afterAutospacing="0" w:line="580" w:lineRule="exact"/>
        <w:ind w:firstLine="800" w:firstLineChars="250"/>
        <w:textAlignment w:val="auto"/>
        <w:rPr>
          <w:rFonts w:ascii="仿宋" w:hAnsi="仿宋" w:eastAsia="仿宋"/>
          <w:sz w:val="32"/>
          <w:szCs w:val="32"/>
        </w:rPr>
      </w:pPr>
      <w:r>
        <w:rPr>
          <w:rFonts w:hint="eastAsia" w:ascii="仿宋" w:hAnsi="仿宋" w:eastAsia="仿宋" w:cs="仿宋_GB2312"/>
          <w:sz w:val="32"/>
          <w:szCs w:val="32"/>
        </w:rPr>
        <w:t>2024年度本单位</w:t>
      </w:r>
      <w:r>
        <w:rPr>
          <w:rFonts w:hint="eastAsia" w:ascii="仿宋" w:hAnsi="仿宋" w:eastAsia="仿宋"/>
          <w:sz w:val="32"/>
          <w:szCs w:val="32"/>
        </w:rPr>
        <w:t>积极完成了县委县政府和县商务局交办的各项工作任务，基本实现了各企业平稳运行的工作目标。</w:t>
      </w:r>
    </w:p>
    <w:p w14:paraId="76C37F0D">
      <w:pPr>
        <w:keepNext w:val="0"/>
        <w:keepLines w:val="0"/>
        <w:pageBreakBefore w:val="0"/>
        <w:widowControl/>
        <w:numPr>
          <w:ilvl w:val="0"/>
          <w:numId w:val="2"/>
        </w:numPr>
        <w:kinsoku/>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_GB2312"/>
          <w:b/>
          <w:bCs/>
          <w:kern w:val="0"/>
          <w:sz w:val="32"/>
          <w:szCs w:val="32"/>
          <w:lang w:val="en-US" w:eastAsia="zh-CN"/>
        </w:rPr>
      </w:pPr>
      <w:r>
        <w:rPr>
          <w:rFonts w:hint="eastAsia" w:ascii="仿宋" w:hAnsi="仿宋" w:eastAsia="仿宋" w:cs="仿宋_GB2312"/>
          <w:b/>
          <w:bCs/>
          <w:kern w:val="0"/>
          <w:sz w:val="32"/>
          <w:szCs w:val="32"/>
          <w:lang w:val="en-US" w:eastAsia="zh-CN"/>
        </w:rPr>
        <w:t>履职效益分析</w:t>
      </w:r>
    </w:p>
    <w:p w14:paraId="0C1C3C11">
      <w:pPr>
        <w:keepNext w:val="0"/>
        <w:keepLines w:val="0"/>
        <w:pageBreakBefore w:val="0"/>
        <w:widowControl/>
        <w:numPr>
          <w:ilvl w:val="0"/>
          <w:numId w:val="0"/>
        </w:numPr>
        <w:kinsoku/>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_GB2312"/>
          <w:b w:val="0"/>
          <w:bCs w:val="0"/>
          <w:kern w:val="0"/>
          <w:sz w:val="32"/>
          <w:szCs w:val="32"/>
          <w:lang w:val="en-US" w:eastAsia="zh-CN"/>
        </w:rPr>
      </w:pPr>
      <w:r>
        <w:rPr>
          <w:rFonts w:hint="eastAsia" w:ascii="仿宋" w:hAnsi="仿宋" w:eastAsia="仿宋" w:cs="仿宋_GB2312"/>
          <w:b w:val="0"/>
          <w:bCs w:val="0"/>
          <w:kern w:val="0"/>
          <w:sz w:val="32"/>
          <w:szCs w:val="32"/>
          <w:lang w:val="en-US" w:eastAsia="zh-CN"/>
        </w:rPr>
        <w:t>经济效益：通过预算投入，保障了商业企业下岗失业职工的基本经济利益，保障了遗属生活补助足额发放，维护了社会稳定，有效促进了商业企业的经济发展。</w:t>
      </w:r>
    </w:p>
    <w:p w14:paraId="4662A4AD">
      <w:pPr>
        <w:keepNext w:val="0"/>
        <w:keepLines w:val="0"/>
        <w:pageBreakBefore w:val="0"/>
        <w:widowControl/>
        <w:numPr>
          <w:ilvl w:val="0"/>
          <w:numId w:val="0"/>
        </w:numPr>
        <w:kinsoku/>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_GB2312"/>
          <w:b w:val="0"/>
          <w:bCs w:val="0"/>
          <w:kern w:val="0"/>
          <w:sz w:val="32"/>
          <w:szCs w:val="32"/>
          <w:lang w:val="en-US" w:eastAsia="zh-CN"/>
        </w:rPr>
      </w:pPr>
      <w:r>
        <w:rPr>
          <w:rFonts w:hint="eastAsia" w:ascii="仿宋" w:hAnsi="仿宋" w:eastAsia="仿宋" w:cs="仿宋_GB2312"/>
          <w:b w:val="0"/>
          <w:bCs w:val="0"/>
          <w:kern w:val="0"/>
          <w:sz w:val="32"/>
          <w:szCs w:val="32"/>
          <w:lang w:val="en-US" w:eastAsia="zh-CN"/>
        </w:rPr>
        <w:t>社会效益：2024年度柄单位年度绩效指标基本按计划完成，保障了部门正常运转和人员支出，所属企业职工状态良好，生产安全有效，有效履行了核心行政管理和公共服务职责，维护了社会稳定，显著提升了商业企业服务水平。</w:t>
      </w:r>
    </w:p>
    <w:p w14:paraId="22D403E1">
      <w:pPr>
        <w:keepNext w:val="0"/>
        <w:keepLines w:val="0"/>
        <w:pageBreakBefore w:val="0"/>
        <w:widowControl/>
        <w:numPr>
          <w:ilvl w:val="0"/>
          <w:numId w:val="0"/>
        </w:numPr>
        <w:kinsoku/>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_GB2312"/>
          <w:b w:val="0"/>
          <w:bCs w:val="0"/>
          <w:kern w:val="0"/>
          <w:sz w:val="32"/>
          <w:szCs w:val="32"/>
          <w:lang w:val="en-US" w:eastAsia="zh-CN"/>
        </w:rPr>
      </w:pPr>
      <w:r>
        <w:rPr>
          <w:rFonts w:hint="eastAsia" w:ascii="仿宋" w:hAnsi="仿宋" w:eastAsia="仿宋" w:cs="仿宋_GB2312"/>
          <w:b w:val="0"/>
          <w:bCs w:val="0"/>
          <w:kern w:val="0"/>
          <w:sz w:val="32"/>
          <w:szCs w:val="32"/>
          <w:lang w:val="en-US" w:eastAsia="zh-CN"/>
        </w:rPr>
        <w:t>生态效益：</w:t>
      </w:r>
      <w:r>
        <w:rPr>
          <w:rFonts w:hint="eastAsia" w:ascii="仿宋" w:hAnsi="仿宋" w:eastAsia="仿宋"/>
          <w:sz w:val="32"/>
        </w:rPr>
        <w:t>项目的实施对社会的</w:t>
      </w:r>
      <w:r>
        <w:rPr>
          <w:rFonts w:hint="eastAsia" w:ascii="仿宋" w:hAnsi="仿宋" w:eastAsia="仿宋"/>
          <w:sz w:val="32"/>
          <w:lang w:eastAsia="zh-CN"/>
        </w:rPr>
        <w:t>生态</w:t>
      </w:r>
      <w:r>
        <w:rPr>
          <w:rFonts w:hint="eastAsia" w:ascii="仿宋" w:hAnsi="仿宋" w:eastAsia="仿宋"/>
          <w:sz w:val="32"/>
        </w:rPr>
        <w:t>发展有间接的影响，</w:t>
      </w:r>
    </w:p>
    <w:p w14:paraId="7910EFAD">
      <w:pPr>
        <w:keepNext w:val="0"/>
        <w:keepLines w:val="0"/>
        <w:pageBreakBefore w:val="0"/>
        <w:widowControl/>
        <w:numPr>
          <w:ilvl w:val="0"/>
          <w:numId w:val="0"/>
        </w:numPr>
        <w:kinsoku/>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_GB2312"/>
          <w:b w:val="0"/>
          <w:bCs w:val="0"/>
          <w:kern w:val="0"/>
          <w:sz w:val="32"/>
          <w:szCs w:val="32"/>
          <w:lang w:val="en-US" w:eastAsia="zh-CN"/>
        </w:rPr>
      </w:pPr>
      <w:r>
        <w:rPr>
          <w:rFonts w:hint="eastAsia" w:ascii="仿宋" w:hAnsi="仿宋" w:eastAsia="仿宋" w:cs="仿宋_GB2312"/>
          <w:b w:val="0"/>
          <w:bCs w:val="0"/>
          <w:kern w:val="0"/>
          <w:sz w:val="32"/>
          <w:szCs w:val="32"/>
          <w:lang w:val="en-US" w:eastAsia="zh-CN"/>
        </w:rPr>
        <w:t>可持续影响：</w:t>
      </w:r>
      <w:r>
        <w:rPr>
          <w:rFonts w:hint="eastAsia" w:ascii="仿宋" w:hAnsi="仿宋" w:eastAsia="仿宋"/>
          <w:sz w:val="32"/>
        </w:rPr>
        <w:t>项目的实施</w:t>
      </w:r>
      <w:r>
        <w:rPr>
          <w:rFonts w:hint="eastAsia" w:ascii="仿宋" w:hAnsi="仿宋" w:eastAsia="仿宋"/>
          <w:sz w:val="32"/>
          <w:lang w:eastAsia="zh-CN"/>
        </w:rPr>
        <w:t>，促进了制度的完善，政策体系的健全，管理能力的提升</w:t>
      </w:r>
      <w:r>
        <w:rPr>
          <w:rFonts w:hint="eastAsia" w:ascii="仿宋" w:hAnsi="仿宋" w:eastAsia="仿宋"/>
          <w:sz w:val="32"/>
        </w:rPr>
        <w:t>，促进了企业职工民生福利的改善，可持续地推动了当地经济和社会的发展</w:t>
      </w:r>
      <w:r>
        <w:rPr>
          <w:rFonts w:hint="eastAsia" w:ascii="仿宋" w:hAnsi="仿宋" w:eastAsia="仿宋"/>
          <w:sz w:val="32"/>
          <w:lang w:eastAsia="zh-CN"/>
        </w:rPr>
        <w:t>。</w:t>
      </w:r>
    </w:p>
    <w:p w14:paraId="32650C63">
      <w:pPr>
        <w:pStyle w:val="9"/>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80" w:lineRule="exact"/>
        <w:ind w:firstLine="640" w:firstLineChars="200"/>
        <w:textAlignment w:val="auto"/>
        <w:rPr>
          <w:rFonts w:ascii="仿宋" w:hAnsi="仿宋" w:eastAsia="仿宋" w:cs="Arial"/>
          <w:color w:val="333333"/>
          <w:sz w:val="32"/>
          <w:szCs w:val="32"/>
        </w:rPr>
      </w:pPr>
      <w:r>
        <w:rPr>
          <w:rFonts w:hint="eastAsia" w:ascii="仿宋" w:hAnsi="仿宋" w:eastAsia="仿宋" w:cs="Arial"/>
          <w:b/>
          <w:color w:val="333333"/>
          <w:sz w:val="32"/>
          <w:szCs w:val="32"/>
        </w:rPr>
        <w:t>七、</w:t>
      </w:r>
      <w:r>
        <w:rPr>
          <w:rFonts w:hint="eastAsia" w:ascii="仿宋" w:hAnsi="仿宋" w:eastAsia="仿宋" w:cs="黑体"/>
          <w:b/>
          <w:color w:val="000000"/>
          <w:sz w:val="32"/>
          <w:szCs w:val="32"/>
        </w:rPr>
        <w:t>存在的主要问题</w:t>
      </w:r>
      <w:r>
        <w:rPr>
          <w:rFonts w:hint="eastAsia" w:ascii="仿宋" w:hAnsi="仿宋" w:eastAsia="仿宋" w:cs="Arial"/>
          <w:b/>
          <w:color w:val="333333"/>
          <w:sz w:val="32"/>
          <w:szCs w:val="32"/>
        </w:rPr>
        <w:t>及原因分析</w:t>
      </w:r>
    </w:p>
    <w:p w14:paraId="2A7FD96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60"/>
        <w:textAlignment w:val="auto"/>
        <w:rPr>
          <w:rFonts w:ascii="仿宋" w:hAnsi="仿宋" w:eastAsia="仿宋" w:cs="黑体"/>
          <w:color w:val="000000"/>
          <w:sz w:val="32"/>
          <w:szCs w:val="32"/>
        </w:rPr>
      </w:pPr>
      <w:r>
        <w:rPr>
          <w:rFonts w:hint="eastAsia" w:ascii="仿宋" w:hAnsi="仿宋" w:eastAsia="仿宋" w:cs="黑体"/>
          <w:color w:val="000000"/>
          <w:sz w:val="32"/>
          <w:szCs w:val="32"/>
        </w:rPr>
        <w:t>2024年本单位在资金拨付、管理、使用方面能按照财务制度和专项资金使用管理办法执行，专项资金做到专款专用，部门预算整体支出基本保证了单位的正常运和职能履行，但在预算执行中还存在一些困难和问题，主要表现在如下几个方面：</w:t>
      </w:r>
    </w:p>
    <w:p w14:paraId="54D9D298">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1、单位基本支出预算由于人员少，基数低，加之执行减压一般性支出的规定，单位运转经费缺口大，财政预算严重不足，但工作任务仍然繁重，承担着商业企业改制与管理的任务，不利于商改系统工作的推动与发展。</w:t>
      </w:r>
    </w:p>
    <w:p w14:paraId="67534EC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60"/>
        <w:textAlignment w:val="auto"/>
        <w:rPr>
          <w:rFonts w:ascii="仿宋" w:hAnsi="仿宋" w:eastAsia="仿宋" w:cs="黑体"/>
          <w:color w:val="000000"/>
          <w:sz w:val="32"/>
          <w:szCs w:val="32"/>
        </w:rPr>
      </w:pPr>
      <w:r>
        <w:rPr>
          <w:rFonts w:hint="eastAsia" w:ascii="仿宋" w:hAnsi="仿宋" w:eastAsia="仿宋" w:cs="黑体"/>
          <w:color w:val="000000"/>
          <w:sz w:val="32"/>
          <w:szCs w:val="32"/>
        </w:rPr>
        <w:t>2、在资产管理方面也存在着一些不足 ，主要是重购置轻管理的思想存在，在人员变动时，资产移交手续不规范，存在着资产处置不及时的现象。</w:t>
      </w:r>
    </w:p>
    <w:p w14:paraId="011FBBB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eastAsia" w:ascii="仿宋" w:hAnsi="仿宋" w:eastAsia="仿宋" w:cs="Arial"/>
          <w:color w:val="333333"/>
          <w:sz w:val="32"/>
          <w:szCs w:val="32"/>
          <w:lang w:val="en-US" w:eastAsia="zh-CN"/>
        </w:rPr>
      </w:pPr>
      <w:r>
        <w:rPr>
          <w:rFonts w:hint="eastAsia" w:ascii="仿宋" w:hAnsi="仿宋" w:eastAsia="仿宋" w:cs="黑体"/>
          <w:color w:val="000000"/>
          <w:sz w:val="32"/>
          <w:szCs w:val="32"/>
        </w:rPr>
        <w:t>3、对单位的债权债务的清理不及时，导致单位的债权、债务长期挂账。</w:t>
      </w:r>
      <w:r>
        <w:rPr>
          <w:rFonts w:hint="eastAsia" w:ascii="仿宋" w:hAnsi="仿宋" w:eastAsia="仿宋" w:cs="Arial"/>
          <w:color w:val="333333"/>
          <w:sz w:val="32"/>
          <w:szCs w:val="32"/>
        </w:rPr>
        <w:t xml:space="preserve">                                                                                                                                                                                                                                                                                                                                                                                                                                                                                                                                                      </w:t>
      </w:r>
      <w:r>
        <w:rPr>
          <w:rFonts w:hint="eastAsia" w:ascii="仿宋" w:hAnsi="仿宋" w:eastAsia="仿宋" w:cs="Arial"/>
          <w:color w:val="333333"/>
          <w:sz w:val="32"/>
          <w:szCs w:val="32"/>
          <w:lang w:val="en-US" w:eastAsia="zh-CN"/>
        </w:rPr>
        <w:t xml:space="preserve">   </w:t>
      </w:r>
    </w:p>
    <w:p w14:paraId="5198C2B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ascii="仿宋" w:hAnsi="仿宋" w:eastAsia="仿宋" w:cs="黑体"/>
          <w:color w:val="000000"/>
          <w:sz w:val="32"/>
          <w:szCs w:val="32"/>
        </w:rPr>
      </w:pPr>
      <w:r>
        <w:rPr>
          <w:rFonts w:hint="eastAsia" w:ascii="仿宋" w:hAnsi="仿宋" w:eastAsia="仿宋" w:cs="仿宋_GB2312"/>
          <w:b/>
          <w:color w:val="000000"/>
          <w:sz w:val="32"/>
          <w:szCs w:val="32"/>
        </w:rPr>
        <w:t>八、下一步改进措施</w:t>
      </w:r>
    </w:p>
    <w:p w14:paraId="420B4FA5">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为确保财政资金安全，提高财政资金的使用效率，针对本单位存在的问题及整体支出管理工作的需要，特提出以下改进措施。</w:t>
      </w:r>
    </w:p>
    <w:p w14:paraId="7952C79B">
      <w:pPr>
        <w:keepNext w:val="0"/>
        <w:keepLines w:val="0"/>
        <w:pageBreakBefore w:val="0"/>
        <w:widowControl/>
        <w:kinsoku/>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_GB2312"/>
          <w:color w:val="000000"/>
          <w:kern w:val="0"/>
          <w:sz w:val="32"/>
          <w:szCs w:val="32"/>
          <w:lang w:eastAsia="zh-CN"/>
        </w:rPr>
      </w:pPr>
      <w:r>
        <w:rPr>
          <w:rFonts w:hint="eastAsia" w:ascii="仿宋" w:hAnsi="仿宋" w:eastAsia="仿宋" w:cs="仿宋_GB2312"/>
          <w:color w:val="000000"/>
          <w:kern w:val="0"/>
          <w:sz w:val="32"/>
          <w:szCs w:val="32"/>
        </w:rPr>
        <w:t>1、</w:t>
      </w:r>
      <w:r>
        <w:rPr>
          <w:rFonts w:hint="eastAsia" w:ascii="仿宋" w:hAnsi="仿宋" w:eastAsia="仿宋" w:cs="仿宋_GB2312"/>
          <w:color w:val="000000"/>
          <w:kern w:val="0"/>
          <w:sz w:val="32"/>
          <w:szCs w:val="32"/>
          <w:lang w:eastAsia="zh-CN"/>
        </w:rPr>
        <w:t>优化预算资源配置，提高预算编制的精准性。</w:t>
      </w:r>
    </w:p>
    <w:p w14:paraId="05DFB15C">
      <w:pPr>
        <w:keepNext w:val="0"/>
        <w:keepLines w:val="0"/>
        <w:pageBreakBefore w:val="0"/>
        <w:widowControl/>
        <w:kinsoku/>
        <w:overflowPunct/>
        <w:topLinePunct w:val="0"/>
        <w:autoSpaceDE/>
        <w:autoSpaceDN/>
        <w:bidi w:val="0"/>
        <w:adjustRightInd/>
        <w:snapToGrid/>
        <w:spacing w:beforeAutospacing="0" w:afterAutospacing="0"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color w:val="000000"/>
          <w:kern w:val="0"/>
          <w:sz w:val="32"/>
          <w:szCs w:val="32"/>
        </w:rPr>
        <w:t>2、进一步</w:t>
      </w:r>
      <w:r>
        <w:rPr>
          <w:rFonts w:hint="eastAsia" w:ascii="楷体" w:hAnsi="楷体" w:eastAsia="楷体"/>
          <w:sz w:val="32"/>
          <w:szCs w:val="32"/>
        </w:rPr>
        <w:t>加强资产管理，</w:t>
      </w:r>
      <w:r>
        <w:rPr>
          <w:rFonts w:hint="eastAsia" w:ascii="仿宋" w:hAnsi="仿宋" w:eastAsia="仿宋"/>
          <w:sz w:val="32"/>
          <w:szCs w:val="32"/>
        </w:rPr>
        <w:t>强化国有资产监管、明晰产权，确保国有资产在市场环境中保值增值。</w:t>
      </w:r>
      <w:r>
        <w:rPr>
          <w:rFonts w:hint="eastAsia" w:ascii="仿宋" w:hAnsi="仿宋" w:eastAsia="仿宋" w:cs="仿宋_GB2312"/>
          <w:color w:val="000000"/>
          <w:kern w:val="0"/>
          <w:sz w:val="32"/>
          <w:szCs w:val="32"/>
        </w:rPr>
        <w:t>定期对固定资产进行盘点清查，加强实物管理，对于清理出来的问题资产，及时报批并按规定程序处置并进行账务处理，提高资产的使用效率。</w:t>
      </w:r>
    </w:p>
    <w:p w14:paraId="72FD6477">
      <w:pPr>
        <w:keepNext w:val="0"/>
        <w:keepLines w:val="0"/>
        <w:pageBreakBefore w:val="0"/>
        <w:widowControl/>
        <w:kinsoku/>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color w:val="000000"/>
          <w:kern w:val="0"/>
          <w:sz w:val="32"/>
          <w:szCs w:val="32"/>
        </w:rPr>
        <w:t>3、加强对单位的债权债务的清理工作，组织人力，克服困难，对历史遗留的债权债务进行全面的清理，制定对应的偿还措施和追讨手段，避免呆账、坏账的出现，</w:t>
      </w:r>
      <w:r>
        <w:rPr>
          <w:rFonts w:hint="eastAsia" w:ascii="仿宋" w:hAnsi="仿宋" w:eastAsia="仿宋" w:cs="仿宋_GB2312"/>
          <w:sz w:val="32"/>
          <w:szCs w:val="32"/>
        </w:rPr>
        <w:t>提高资金使用效率。</w:t>
      </w:r>
    </w:p>
    <w:p w14:paraId="2E99D973">
      <w:pPr>
        <w:keepNext w:val="0"/>
        <w:keepLines w:val="0"/>
        <w:pageBreakBefore w:val="0"/>
        <w:widowControl/>
        <w:kinsoku/>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4、继续开展预算绩效管理、资产管理等专业培训，提升相关人员的业务素质和绩效理念，推动预算量体化系统与资产、绩效等模块的整合，加强分析预警和决策支持能力。</w:t>
      </w:r>
    </w:p>
    <w:p w14:paraId="6D279718">
      <w:pPr>
        <w:keepNext w:val="0"/>
        <w:keepLines w:val="0"/>
        <w:pageBreakBefore w:val="0"/>
        <w:widowControl/>
        <w:kinsoku/>
        <w:overflowPunct/>
        <w:topLinePunct w:val="0"/>
        <w:autoSpaceDE/>
        <w:autoSpaceDN/>
        <w:bidi w:val="0"/>
        <w:adjustRightInd/>
        <w:snapToGrid/>
        <w:spacing w:beforeAutospacing="0" w:afterAutospacing="0" w:line="580" w:lineRule="exact"/>
        <w:textAlignment w:val="auto"/>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本部门将继续坚持绩效导向，强化成本效益理念，更有效地履行部门职责，服务商业企业发展大局，为实现更高的发展目标做出贡献。</w:t>
      </w:r>
    </w:p>
    <w:p w14:paraId="75CE97EB">
      <w:pPr>
        <w:pStyle w:val="16"/>
        <w:keepNext w:val="0"/>
        <w:keepLines w:val="0"/>
        <w:pageBreakBefore w:val="0"/>
        <w:widowControl/>
        <w:kinsoku/>
        <w:overflowPunct/>
        <w:topLinePunct w:val="0"/>
        <w:autoSpaceDE/>
        <w:autoSpaceDN/>
        <w:bidi w:val="0"/>
        <w:adjustRightInd/>
        <w:snapToGrid/>
        <w:spacing w:beforeAutospacing="0" w:afterAutospacing="0" w:line="580" w:lineRule="exact"/>
        <w:ind w:firstLine="640"/>
        <w:textAlignment w:val="auto"/>
        <w:rPr>
          <w:rFonts w:ascii="仿宋" w:hAnsi="仿宋" w:eastAsia="仿宋"/>
          <w:b/>
          <w:bCs/>
          <w:sz w:val="32"/>
          <w:szCs w:val="32"/>
        </w:rPr>
      </w:pPr>
      <w:r>
        <w:rPr>
          <w:rFonts w:hint="eastAsia" w:ascii="仿宋" w:hAnsi="仿宋" w:eastAsia="仿宋"/>
          <w:b/>
          <w:bCs/>
          <w:sz w:val="32"/>
          <w:szCs w:val="32"/>
        </w:rPr>
        <w:t xml:space="preserve">九、其他需要说明的情况 </w:t>
      </w:r>
    </w:p>
    <w:p w14:paraId="4257AA2F">
      <w:pPr>
        <w:pStyle w:val="16"/>
        <w:keepNext w:val="0"/>
        <w:keepLines w:val="0"/>
        <w:pageBreakBefore w:val="0"/>
        <w:widowControl/>
        <w:kinsoku/>
        <w:overflowPunct/>
        <w:topLinePunct w:val="0"/>
        <w:autoSpaceDE/>
        <w:autoSpaceDN/>
        <w:bidi w:val="0"/>
        <w:adjustRightInd/>
        <w:snapToGrid/>
        <w:spacing w:beforeAutospacing="0" w:afterAutospacing="0" w:line="580" w:lineRule="exact"/>
        <w:ind w:firstLine="640"/>
        <w:textAlignment w:val="auto"/>
        <w:rPr>
          <w:rFonts w:ascii="仿宋" w:hAnsi="仿宋" w:eastAsia="仿宋"/>
          <w:sz w:val="32"/>
          <w:szCs w:val="32"/>
        </w:rPr>
      </w:pPr>
      <w:r>
        <w:rPr>
          <w:rFonts w:hint="eastAsia" w:ascii="仿宋" w:hAnsi="仿宋" w:eastAsia="仿宋"/>
          <w:sz w:val="32"/>
          <w:szCs w:val="32"/>
        </w:rPr>
        <w:t>本单位2024年度无其他需要说明的情况。</w:t>
      </w:r>
    </w:p>
    <w:p w14:paraId="04C4737F">
      <w:pPr>
        <w:keepNext w:val="0"/>
        <w:keepLines w:val="0"/>
        <w:pageBreakBefore w:val="0"/>
        <w:widowControl/>
        <w:kinsoku/>
        <w:overflowPunct/>
        <w:topLinePunct w:val="0"/>
        <w:autoSpaceDE/>
        <w:autoSpaceDN/>
        <w:bidi w:val="0"/>
        <w:adjustRightInd/>
        <w:snapToGrid/>
        <w:spacing w:beforeAutospacing="0" w:afterAutospacing="0" w:line="580" w:lineRule="exact"/>
        <w:textAlignment w:val="auto"/>
        <w:rPr>
          <w:rFonts w:ascii="仿宋" w:hAnsi="仿宋" w:eastAsia="仿宋" w:cs="仿宋_GB2312"/>
          <w:color w:val="000000"/>
          <w:sz w:val="32"/>
          <w:szCs w:val="32"/>
        </w:rPr>
      </w:pPr>
    </w:p>
    <w:p w14:paraId="519D51E9">
      <w:pPr>
        <w:keepNext w:val="0"/>
        <w:keepLines w:val="0"/>
        <w:pageBreakBefore w:val="0"/>
        <w:widowControl/>
        <w:kinsoku/>
        <w:overflowPunct/>
        <w:topLinePunct w:val="0"/>
        <w:autoSpaceDE/>
        <w:autoSpaceDN/>
        <w:bidi w:val="0"/>
        <w:adjustRightInd/>
        <w:snapToGrid/>
        <w:spacing w:beforeAutospacing="0" w:afterAutospacing="0" w:line="580" w:lineRule="exact"/>
        <w:textAlignment w:val="auto"/>
        <w:rPr>
          <w:rFonts w:ascii="仿宋" w:hAnsi="仿宋" w:eastAsia="仿宋" w:cs="仿宋_GB2312"/>
          <w:color w:val="000000"/>
          <w:sz w:val="32"/>
          <w:szCs w:val="32"/>
        </w:rPr>
      </w:pPr>
    </w:p>
    <w:p w14:paraId="7FC49A70">
      <w:pPr>
        <w:pStyle w:val="15"/>
        <w:spacing w:line="600" w:lineRule="exact"/>
        <w:ind w:firstLine="640" w:firstLineChars="200"/>
        <w:rPr>
          <w:rFonts w:ascii="Times New Roman" w:hAnsi="Times New Roman" w:cs="Times New Roman"/>
          <w:color w:val="000000"/>
          <w:kern w:val="0"/>
          <w:sz w:val="32"/>
          <w:szCs w:val="32"/>
        </w:rPr>
      </w:pPr>
      <w:bookmarkStart w:id="2" w:name="_GoBack"/>
      <w:bookmarkEnd w:id="2"/>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F750003-F899-4A6A-8B81-7534C7C5E696}"/>
  </w:font>
  <w:font w:name="黑体">
    <w:panose1 w:val="02010609060101010101"/>
    <w:charset w:val="86"/>
    <w:family w:val="auto"/>
    <w:pitch w:val="default"/>
    <w:sig w:usb0="800002BF" w:usb1="38CF7CFA" w:usb2="00000016" w:usb3="00000000" w:csb0="00040001" w:csb1="00000000"/>
    <w:embedRegular r:id="rId2" w:fontKey="{4B05D3E5-F43B-45FC-A366-996EC59BCD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1F2498E4-7DD7-4C18-AD59-60467A109C38}"/>
  </w:font>
  <w:font w:name="方正小标宋_GBK">
    <w:altName w:val="微软雅黑"/>
    <w:panose1 w:val="00000000000000000000"/>
    <w:charset w:val="86"/>
    <w:family w:val="script"/>
    <w:pitch w:val="default"/>
    <w:sig w:usb0="00000000" w:usb1="00000000" w:usb2="00000000" w:usb3="00000000" w:csb0="00040000" w:csb1="00000000"/>
    <w:embedRegular r:id="rId4" w:fontKey="{3BBAD046-052D-449B-AF4D-32F8ACFBB429}"/>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5" w:fontKey="{4B2FA5B5-F28A-4235-9847-415EE511F0D1}"/>
  </w:font>
  <w:font w:name="仿宋">
    <w:panose1 w:val="02010609060101010101"/>
    <w:charset w:val="86"/>
    <w:family w:val="auto"/>
    <w:pitch w:val="default"/>
    <w:sig w:usb0="800002BF" w:usb1="38CF7CFA" w:usb2="00000016" w:usb3="00000000" w:csb0="00040001" w:csb1="00000000"/>
    <w:embedRegular r:id="rId6" w:fontKey="{0BA41F0F-6937-4F78-A031-8C93DDA7F970}"/>
  </w:font>
  <w:font w:name="楷体_GB2312">
    <w:altName w:val="楷体"/>
    <w:panose1 w:val="02010609030101010101"/>
    <w:charset w:val="86"/>
    <w:family w:val="modern"/>
    <w:pitch w:val="default"/>
    <w:sig w:usb0="00000000" w:usb1="00000000" w:usb2="00000000" w:usb3="00000000" w:csb0="00040000" w:csb1="00000000"/>
    <w:embedRegular r:id="rId7" w:fontKey="{BA2286A8-B26D-4B6F-99A4-3D3ABB428FCB}"/>
  </w:font>
  <w:font w:name="楷体">
    <w:panose1 w:val="02010609060101010101"/>
    <w:charset w:val="86"/>
    <w:family w:val="modern"/>
    <w:pitch w:val="default"/>
    <w:sig w:usb0="800002BF" w:usb1="38CF7CFA" w:usb2="00000016" w:usb3="00000000" w:csb0="00040001" w:csb1="00000000"/>
    <w:embedRegular r:id="rId8" w:fontKey="{23DBB10B-9239-4C90-9304-402E9A96E995}"/>
  </w:font>
  <w:font w:name="华文中宋">
    <w:panose1 w:val="02010600040101010101"/>
    <w:charset w:val="86"/>
    <w:family w:val="auto"/>
    <w:pitch w:val="default"/>
    <w:sig w:usb0="00000287" w:usb1="080F0000" w:usb2="00000000" w:usb3="00000000" w:csb0="0004009F" w:csb1="DFD70000"/>
    <w:embedRegular r:id="rId9" w:fontKey="{9A5899F6-95AF-4D46-A1FD-F71013E3A165}"/>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484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E522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0411A">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75B1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EE1BE">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68FEE1BE">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095640"/>
    <w:multiLevelType w:val="multilevel"/>
    <w:tmpl w:val="70095640"/>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1">
    <w:nsid w:val="795FBB70"/>
    <w:multiLevelType w:val="singleLevel"/>
    <w:tmpl w:val="795FBB70"/>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9973CB"/>
    <w:rsid w:val="07CB2472"/>
    <w:rsid w:val="125C2C1A"/>
    <w:rsid w:val="14B051A5"/>
    <w:rsid w:val="14E22BB4"/>
    <w:rsid w:val="169C13B3"/>
    <w:rsid w:val="1888629E"/>
    <w:rsid w:val="1D97DEFF"/>
    <w:rsid w:val="1DFF72E5"/>
    <w:rsid w:val="1EFC6F07"/>
    <w:rsid w:val="1F5E0E60"/>
    <w:rsid w:val="20F2595D"/>
    <w:rsid w:val="21C267DF"/>
    <w:rsid w:val="27771840"/>
    <w:rsid w:val="2FDF85B8"/>
    <w:rsid w:val="2FFFEE04"/>
    <w:rsid w:val="323B269C"/>
    <w:rsid w:val="33635901"/>
    <w:rsid w:val="34DF85B0"/>
    <w:rsid w:val="381F5C1D"/>
    <w:rsid w:val="3A9F209B"/>
    <w:rsid w:val="3B8F36BC"/>
    <w:rsid w:val="3C6B73B9"/>
    <w:rsid w:val="3FEF2CFB"/>
    <w:rsid w:val="408F1A25"/>
    <w:rsid w:val="44B97761"/>
    <w:rsid w:val="45905918"/>
    <w:rsid w:val="47483127"/>
    <w:rsid w:val="491FF225"/>
    <w:rsid w:val="4E0D5E09"/>
    <w:rsid w:val="4E3309D5"/>
    <w:rsid w:val="4EC3781D"/>
    <w:rsid w:val="4FFD214C"/>
    <w:rsid w:val="5777D4F5"/>
    <w:rsid w:val="59DD8326"/>
    <w:rsid w:val="5B103A5B"/>
    <w:rsid w:val="5DEF592A"/>
    <w:rsid w:val="5E164F20"/>
    <w:rsid w:val="5FC6BB1E"/>
    <w:rsid w:val="5FF720F1"/>
    <w:rsid w:val="6077185F"/>
    <w:rsid w:val="67FF5C0B"/>
    <w:rsid w:val="6EFC0924"/>
    <w:rsid w:val="6FB74722"/>
    <w:rsid w:val="6FDD75B7"/>
    <w:rsid w:val="6FEF8B7E"/>
    <w:rsid w:val="71A6591B"/>
    <w:rsid w:val="737D59BA"/>
    <w:rsid w:val="752F3BFA"/>
    <w:rsid w:val="75581CA8"/>
    <w:rsid w:val="77C37683"/>
    <w:rsid w:val="79D19834"/>
    <w:rsid w:val="79FF515B"/>
    <w:rsid w:val="7B3B7727"/>
    <w:rsid w:val="7BFD26F1"/>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semiHidden/>
    <w:qFormat/>
    <w:uiPriority w:val="0"/>
    <w:pPr>
      <w:snapToGrid w:val="0"/>
      <w:jc w:val="left"/>
    </w:pPr>
    <w:rPr>
      <w:sz w:val="18"/>
      <w:szCs w:val="18"/>
    </w:rPr>
  </w:style>
  <w:style w:type="paragraph" w:styleId="8">
    <w:name w:val="Body Text First Indent 2"/>
    <w:basedOn w:val="3"/>
    <w:unhideWhenUsed/>
    <w:qFormat/>
    <w:uiPriority w:val="99"/>
    <w:pPr>
      <w:ind w:firstLine="420" w:firstLineChars="200"/>
    </w:pPr>
  </w:style>
  <w:style w:type="paragraph" w:styleId="9">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4"/>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paragraph" w:customStyle="1" w:styleId="21">
    <w:name w:val="标题1"/>
    <w:basedOn w:val="2"/>
    <w:qFormat/>
    <w:uiPriority w:val="0"/>
    <w:pPr>
      <w:spacing w:before="0" w:after="0" w:line="560" w:lineRule="exact"/>
      <w:ind w:firstLine="200" w:firstLineChars="200"/>
    </w:pPr>
    <w:rPr>
      <w:rFonts w:ascii="Cambria" w:hAnsi="Cambria" w:eastAsia="黑体" w:cs="Times New Roman"/>
      <w:b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1391</Words>
  <Characters>1516</Characters>
  <Lines>63</Lines>
  <Paragraphs>17</Paragraphs>
  <TotalTime>0</TotalTime>
  <ScaleCrop>false</ScaleCrop>
  <LinksUpToDate>false</LinksUpToDate>
  <CharactersWithSpaces>1521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左忆</cp:lastModifiedBy>
  <cp:lastPrinted>2024-08-08T18:20:00Z</cp:lastPrinted>
  <dcterms:modified xsi:type="dcterms:W3CDTF">2025-11-17T08:18:37Z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125523D790BD409A877DA210E4F9D927_13</vt:lpwstr>
  </property>
  <property fmtid="{D5CDD505-2E9C-101B-9397-08002B2CF9AE}" pid="4" name="KSOTemplateDocerSaveRecord">
    <vt:lpwstr>eyJoZGlkIjoiOWZjYjMyMDZlOGJiYmI3OWVmNmJhM2I2NDRjYTczZGEiLCJ1c2VySWQiOiIyNzIxMzkxODUifQ==</vt:lpwstr>
  </property>
</Properties>
</file>