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992AD">
      <w:pPr>
        <w:pStyle w:val="9"/>
        <w:jc w:val="center"/>
        <w:rPr>
          <w:sz w:val="56"/>
          <w:szCs w:val="56"/>
        </w:rPr>
      </w:pPr>
    </w:p>
    <w:p w14:paraId="141BCA0F">
      <w:pPr>
        <w:pStyle w:val="9"/>
        <w:jc w:val="center"/>
        <w:rPr>
          <w:sz w:val="56"/>
          <w:szCs w:val="56"/>
        </w:rPr>
      </w:pPr>
    </w:p>
    <w:p w14:paraId="2C2DEA8A">
      <w:pPr>
        <w:pStyle w:val="9"/>
        <w:jc w:val="center"/>
        <w:rPr>
          <w:sz w:val="84"/>
          <w:szCs w:val="84"/>
        </w:rPr>
      </w:pPr>
    </w:p>
    <w:p w14:paraId="39575B00">
      <w:pPr>
        <w:pStyle w:val="9"/>
        <w:jc w:val="center"/>
        <w:rPr>
          <w:sz w:val="84"/>
          <w:szCs w:val="84"/>
        </w:rPr>
      </w:pPr>
    </w:p>
    <w:p w14:paraId="79E5A241">
      <w:pPr>
        <w:pStyle w:val="9"/>
        <w:jc w:val="center"/>
        <w:rPr>
          <w:b/>
          <w:sz w:val="84"/>
          <w:szCs w:val="84"/>
        </w:rPr>
      </w:pPr>
      <w:r>
        <w:rPr>
          <w:rFonts w:hint="eastAsia"/>
          <w:b/>
          <w:sz w:val="84"/>
          <w:szCs w:val="84"/>
        </w:rPr>
        <w:t>2023年度</w:t>
      </w:r>
    </w:p>
    <w:p w14:paraId="7E3C8AB4">
      <w:pPr>
        <w:pStyle w:val="9"/>
        <w:jc w:val="center"/>
        <w:rPr>
          <w:b/>
          <w:sz w:val="84"/>
          <w:szCs w:val="84"/>
        </w:rPr>
      </w:pPr>
      <w:r>
        <w:rPr>
          <w:rFonts w:hint="eastAsia"/>
          <w:b/>
          <w:sz w:val="84"/>
          <w:szCs w:val="84"/>
        </w:rPr>
        <w:t>溆浦县工商业联合会</w:t>
      </w:r>
    </w:p>
    <w:p w14:paraId="4898D057">
      <w:pPr>
        <w:pStyle w:val="9"/>
        <w:jc w:val="center"/>
        <w:rPr>
          <w:sz w:val="84"/>
          <w:szCs w:val="84"/>
        </w:rPr>
      </w:pPr>
      <w:r>
        <w:rPr>
          <w:rFonts w:hint="eastAsia"/>
          <w:b/>
          <w:sz w:val="84"/>
          <w:szCs w:val="84"/>
        </w:rPr>
        <w:t>部门决算</w:t>
      </w:r>
    </w:p>
    <w:p w14:paraId="48E5485D">
      <w:pPr>
        <w:pStyle w:val="9"/>
        <w:jc w:val="center"/>
        <w:rPr>
          <w:sz w:val="56"/>
          <w:szCs w:val="56"/>
        </w:rPr>
      </w:pPr>
    </w:p>
    <w:p w14:paraId="1C253E74">
      <w:pPr>
        <w:pStyle w:val="9"/>
        <w:jc w:val="center"/>
        <w:rPr>
          <w:sz w:val="56"/>
          <w:szCs w:val="56"/>
        </w:rPr>
      </w:pPr>
    </w:p>
    <w:p w14:paraId="64AFC0B2">
      <w:pPr>
        <w:pStyle w:val="9"/>
        <w:jc w:val="center"/>
        <w:rPr>
          <w:sz w:val="56"/>
          <w:szCs w:val="56"/>
        </w:rPr>
      </w:pPr>
    </w:p>
    <w:p w14:paraId="00BF33D4">
      <w:pPr>
        <w:pStyle w:val="9"/>
        <w:jc w:val="center"/>
        <w:rPr>
          <w:sz w:val="56"/>
          <w:szCs w:val="56"/>
        </w:rPr>
      </w:pPr>
    </w:p>
    <w:p w14:paraId="27923DE9">
      <w:pPr>
        <w:pStyle w:val="9"/>
        <w:jc w:val="center"/>
        <w:rPr>
          <w:sz w:val="32"/>
          <w:szCs w:val="32"/>
        </w:rPr>
      </w:pPr>
    </w:p>
    <w:p w14:paraId="0308F17E">
      <w:pPr>
        <w:pStyle w:val="9"/>
        <w:jc w:val="center"/>
        <w:rPr>
          <w:sz w:val="32"/>
          <w:szCs w:val="32"/>
        </w:rPr>
      </w:pPr>
    </w:p>
    <w:p w14:paraId="1F837D98">
      <w:pPr>
        <w:pStyle w:val="9"/>
        <w:jc w:val="center"/>
        <w:rPr>
          <w:sz w:val="32"/>
          <w:szCs w:val="32"/>
        </w:rPr>
      </w:pPr>
    </w:p>
    <w:p w14:paraId="10077C5F">
      <w:pPr>
        <w:pStyle w:val="9"/>
        <w:jc w:val="center"/>
        <w:rPr>
          <w:sz w:val="32"/>
          <w:szCs w:val="32"/>
        </w:rPr>
      </w:pPr>
    </w:p>
    <w:p w14:paraId="3F2D03A6">
      <w:pPr>
        <w:pStyle w:val="9"/>
        <w:jc w:val="center"/>
        <w:rPr>
          <w:sz w:val="32"/>
          <w:szCs w:val="32"/>
        </w:rPr>
      </w:pPr>
    </w:p>
    <w:p w14:paraId="1D314AE3">
      <w:pPr>
        <w:pStyle w:val="9"/>
        <w:spacing w:line="500" w:lineRule="exact"/>
        <w:jc w:val="center"/>
        <w:rPr>
          <w:rFonts w:ascii="仿宋_GB2312" w:eastAsia="仿宋_GB2312"/>
          <w:b/>
          <w:sz w:val="32"/>
          <w:szCs w:val="32"/>
        </w:rPr>
      </w:pPr>
      <w:r>
        <w:rPr>
          <w:rFonts w:hint="eastAsia" w:ascii="仿宋_GB2312" w:eastAsia="仿宋_GB2312"/>
          <w:b/>
          <w:sz w:val="32"/>
          <w:szCs w:val="32"/>
        </w:rPr>
        <w:t>目录</w:t>
      </w:r>
    </w:p>
    <w:p w14:paraId="60A1A077">
      <w:pPr>
        <w:pStyle w:val="9"/>
        <w:spacing w:line="500" w:lineRule="exact"/>
        <w:rPr>
          <w:rFonts w:ascii="仿宋_GB2312" w:hAnsi="仿宋_GB2312" w:eastAsia="仿宋_GB2312"/>
          <w:b/>
          <w:sz w:val="32"/>
          <w:szCs w:val="32"/>
        </w:rPr>
      </w:pPr>
      <w:r>
        <w:rPr>
          <w:rFonts w:hint="eastAsia" w:ascii="仿宋_GB2312" w:eastAsia="仿宋_GB2312"/>
          <w:b/>
          <w:sz w:val="32"/>
          <w:szCs w:val="32"/>
        </w:rPr>
        <w:t>第一部</w:t>
      </w:r>
      <w:r>
        <w:rPr>
          <w:rFonts w:hint="eastAsia" w:ascii="仿宋_GB2312" w:hAnsi="仿宋_GB2312" w:eastAsia="仿宋_GB2312"/>
          <w:b/>
          <w:sz w:val="32"/>
          <w:szCs w:val="32"/>
        </w:rPr>
        <w:t>分溆浦县工商业联合会单位概况</w:t>
      </w:r>
    </w:p>
    <w:p w14:paraId="364E261C">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一、部门职责</w:t>
      </w:r>
    </w:p>
    <w:p w14:paraId="137B6A43">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二、机构设置</w:t>
      </w:r>
    </w:p>
    <w:p w14:paraId="3FA0EB9C">
      <w:pPr>
        <w:pStyle w:val="9"/>
        <w:spacing w:line="500" w:lineRule="exact"/>
        <w:rPr>
          <w:rFonts w:ascii="仿宋_GB2312" w:hAnsi="仿宋_GB2312" w:eastAsia="仿宋_GB2312" w:cs="仿宋_GB2312"/>
          <w:b/>
          <w:sz w:val="32"/>
          <w:szCs w:val="32"/>
        </w:rPr>
      </w:pPr>
      <w:r>
        <w:rPr>
          <w:rFonts w:hint="eastAsia" w:ascii="仿宋_GB2312" w:hAnsi="仿宋_GB2312" w:eastAsia="仿宋_GB2312"/>
          <w:b/>
          <w:sz w:val="32"/>
          <w:szCs w:val="32"/>
        </w:rPr>
        <w:t>第二部分部门决算表</w:t>
      </w:r>
    </w:p>
    <w:p w14:paraId="7EDFE1EA">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一、收入支出决算总表</w:t>
      </w:r>
    </w:p>
    <w:p w14:paraId="1996518E">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二、收入决算表</w:t>
      </w:r>
    </w:p>
    <w:p w14:paraId="0068C8CC">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三、支出决算表</w:t>
      </w:r>
    </w:p>
    <w:p w14:paraId="080C1543">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四、财政拨款收入支出决算总表</w:t>
      </w:r>
    </w:p>
    <w:p w14:paraId="030885D2">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五、一般公共预算财政拨款支出决算表</w:t>
      </w:r>
    </w:p>
    <w:p w14:paraId="6F7BFEE5">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六、一般公共预算财政拨款基本支出决算明细表</w:t>
      </w:r>
    </w:p>
    <w:p w14:paraId="4A7844B5">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七、一般公共预算财政拨款“三公”经费支出决算表</w:t>
      </w:r>
    </w:p>
    <w:p w14:paraId="3B4CD7E7">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八、政府性基金预算财政拨款收入支出决算表</w:t>
      </w:r>
    </w:p>
    <w:p w14:paraId="464F9108">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九、国有资本经营预算财政拨款支出决算表</w:t>
      </w:r>
    </w:p>
    <w:p w14:paraId="3B5A8FCF">
      <w:pPr>
        <w:pStyle w:val="9"/>
        <w:spacing w:line="500" w:lineRule="exact"/>
        <w:rPr>
          <w:rFonts w:ascii="仿宋_GB2312" w:hAnsi="仿宋_GB2312" w:eastAsia="仿宋_GB2312" w:cs="仿宋_GB2312"/>
          <w:b/>
          <w:sz w:val="32"/>
          <w:szCs w:val="32"/>
        </w:rPr>
      </w:pPr>
      <w:r>
        <w:rPr>
          <w:rFonts w:hint="eastAsia" w:ascii="仿宋_GB2312" w:hAnsi="仿宋_GB2312" w:eastAsia="仿宋_GB2312"/>
          <w:b/>
          <w:sz w:val="32"/>
          <w:szCs w:val="32"/>
        </w:rPr>
        <w:t>第三部分部门决算情况说明</w:t>
      </w:r>
    </w:p>
    <w:p w14:paraId="213037EC">
      <w:pPr>
        <w:pStyle w:val="9"/>
        <w:spacing w:line="5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一、收入支出决算总体情况说明</w:t>
      </w:r>
    </w:p>
    <w:p w14:paraId="02E742C8">
      <w:pPr>
        <w:spacing w:line="500" w:lineRule="exact"/>
        <w:ind w:firstLine="800" w:firstLineChars="250"/>
        <w:jc w:val="left"/>
        <w:rPr>
          <w:rFonts w:ascii="仿宋_GB2312" w:hAnsi="仿宋_GB2312" w:cs="仿宋_GB2312"/>
          <w:szCs w:val="32"/>
        </w:rPr>
      </w:pPr>
      <w:r>
        <w:rPr>
          <w:rFonts w:hint="eastAsia" w:ascii="仿宋_GB2312" w:hAnsi="仿宋_GB2312" w:cs="仿宋_GB2312"/>
          <w:szCs w:val="32"/>
        </w:rPr>
        <w:t>二、收入决算情况说明</w:t>
      </w:r>
    </w:p>
    <w:p w14:paraId="4D7F9A25">
      <w:pPr>
        <w:autoSpaceDE w:val="0"/>
        <w:autoSpaceDN w:val="0"/>
        <w:adjustRightInd w:val="0"/>
        <w:spacing w:line="500" w:lineRule="exact"/>
        <w:ind w:firstLine="800" w:firstLineChars="250"/>
        <w:jc w:val="left"/>
        <w:rPr>
          <w:rFonts w:ascii="仿宋_GB2312" w:hAnsi="仿宋_GB2312" w:cs="仿宋_GB2312"/>
          <w:color w:val="000000"/>
          <w:kern w:val="0"/>
          <w:szCs w:val="32"/>
        </w:rPr>
      </w:pPr>
      <w:r>
        <w:rPr>
          <w:rFonts w:hint="eastAsia" w:ascii="仿宋_GB2312" w:hAnsi="仿宋_GB2312" w:cs="仿宋_GB2312"/>
          <w:color w:val="000000"/>
          <w:kern w:val="0"/>
          <w:szCs w:val="32"/>
        </w:rPr>
        <w:t>三、支出决算情况说明</w:t>
      </w:r>
    </w:p>
    <w:p w14:paraId="4B397A97">
      <w:pPr>
        <w:autoSpaceDE w:val="0"/>
        <w:autoSpaceDN w:val="0"/>
        <w:adjustRightInd w:val="0"/>
        <w:spacing w:line="500" w:lineRule="exact"/>
        <w:ind w:firstLine="800" w:firstLineChars="250"/>
        <w:jc w:val="left"/>
        <w:rPr>
          <w:rFonts w:ascii="仿宋_GB2312" w:hAnsi="仿宋_GB2312" w:cs="仿宋_GB2312"/>
          <w:color w:val="000000"/>
          <w:kern w:val="0"/>
          <w:szCs w:val="32"/>
        </w:rPr>
      </w:pPr>
      <w:r>
        <w:rPr>
          <w:rFonts w:hint="eastAsia" w:ascii="仿宋_GB2312" w:hAnsi="仿宋_GB2312" w:cs="仿宋_GB2312"/>
          <w:color w:val="000000"/>
          <w:kern w:val="0"/>
          <w:szCs w:val="32"/>
        </w:rPr>
        <w:t>四、财政拨款收入支出决算总体情况说明</w:t>
      </w:r>
    </w:p>
    <w:p w14:paraId="27D0640B">
      <w:pPr>
        <w:autoSpaceDE w:val="0"/>
        <w:autoSpaceDN w:val="0"/>
        <w:adjustRightInd w:val="0"/>
        <w:spacing w:line="500" w:lineRule="exact"/>
        <w:ind w:firstLine="800" w:firstLineChars="250"/>
        <w:jc w:val="left"/>
        <w:rPr>
          <w:rFonts w:ascii="仿宋_GB2312" w:hAnsi="仿宋_GB2312" w:cs="仿宋_GB2312"/>
          <w:color w:val="000000"/>
          <w:kern w:val="0"/>
          <w:szCs w:val="32"/>
        </w:rPr>
      </w:pPr>
      <w:r>
        <w:rPr>
          <w:rFonts w:hint="eastAsia" w:ascii="仿宋_GB2312" w:hAnsi="仿宋_GB2312" w:cs="仿宋_GB2312"/>
          <w:color w:val="000000"/>
          <w:kern w:val="0"/>
          <w:szCs w:val="32"/>
        </w:rPr>
        <w:t>五、一般公共预算财政拨款支出决算情况说明</w:t>
      </w:r>
    </w:p>
    <w:p w14:paraId="4A415AD8">
      <w:pPr>
        <w:autoSpaceDE w:val="0"/>
        <w:autoSpaceDN w:val="0"/>
        <w:adjustRightInd w:val="0"/>
        <w:spacing w:line="500" w:lineRule="exact"/>
        <w:ind w:firstLine="800" w:firstLineChars="250"/>
        <w:jc w:val="left"/>
        <w:rPr>
          <w:rFonts w:ascii="仿宋_GB2312" w:hAnsi="仿宋_GB2312" w:cs="仿宋_GB2312"/>
          <w:color w:val="000000"/>
          <w:kern w:val="0"/>
          <w:szCs w:val="32"/>
        </w:rPr>
      </w:pPr>
      <w:r>
        <w:rPr>
          <w:rFonts w:hint="eastAsia" w:ascii="仿宋_GB2312" w:hAnsi="仿宋_GB2312" w:cs="仿宋_GB2312"/>
          <w:color w:val="000000"/>
          <w:kern w:val="0"/>
          <w:szCs w:val="32"/>
        </w:rPr>
        <w:t>六、一般公共预算财政拨款基本支出决算情况说明</w:t>
      </w:r>
    </w:p>
    <w:p w14:paraId="2B374299">
      <w:pPr>
        <w:autoSpaceDE w:val="0"/>
        <w:autoSpaceDN w:val="0"/>
        <w:adjustRightInd w:val="0"/>
        <w:spacing w:line="500" w:lineRule="exact"/>
        <w:ind w:firstLine="800" w:firstLineChars="250"/>
        <w:jc w:val="left"/>
        <w:rPr>
          <w:rFonts w:ascii="仿宋_GB2312" w:hAnsi="仿宋_GB2312" w:cs="仿宋_GB2312"/>
          <w:color w:val="000000"/>
          <w:kern w:val="0"/>
          <w:szCs w:val="32"/>
        </w:rPr>
      </w:pPr>
      <w:r>
        <w:rPr>
          <w:rFonts w:hint="eastAsia" w:ascii="仿宋_GB2312" w:hAnsi="仿宋_GB2312" w:cs="仿宋_GB2312"/>
          <w:color w:val="000000"/>
          <w:kern w:val="0"/>
          <w:szCs w:val="32"/>
        </w:rPr>
        <w:t>七、财政拨款“三公”经费支出决算情况说明</w:t>
      </w:r>
    </w:p>
    <w:p w14:paraId="3F95BCDB">
      <w:pPr>
        <w:autoSpaceDE w:val="0"/>
        <w:autoSpaceDN w:val="0"/>
        <w:adjustRightInd w:val="0"/>
        <w:spacing w:line="500" w:lineRule="exact"/>
        <w:ind w:firstLine="800" w:firstLineChars="250"/>
        <w:jc w:val="left"/>
        <w:rPr>
          <w:rFonts w:ascii="仿宋_GB2312" w:hAnsi="仿宋_GB2312" w:cs="仿宋_GB2312"/>
          <w:color w:val="000000"/>
          <w:kern w:val="0"/>
          <w:szCs w:val="32"/>
        </w:rPr>
      </w:pPr>
      <w:r>
        <w:rPr>
          <w:rFonts w:hint="eastAsia" w:ascii="仿宋_GB2312" w:hAnsi="仿宋_GB2312" w:cs="仿宋_GB2312"/>
          <w:color w:val="000000"/>
          <w:kern w:val="0"/>
          <w:szCs w:val="32"/>
        </w:rPr>
        <w:t>八、政府性基金预算收入支出决算情况</w:t>
      </w:r>
    </w:p>
    <w:p w14:paraId="76EA5388">
      <w:pPr>
        <w:autoSpaceDE w:val="0"/>
        <w:autoSpaceDN w:val="0"/>
        <w:adjustRightInd w:val="0"/>
        <w:spacing w:line="500" w:lineRule="exact"/>
        <w:ind w:firstLine="800" w:firstLineChars="250"/>
        <w:jc w:val="left"/>
        <w:rPr>
          <w:rFonts w:ascii="仿宋_GB2312" w:hAnsi="仿宋_GB2312" w:cs="仿宋_GB2312"/>
          <w:color w:val="000000"/>
          <w:kern w:val="0"/>
          <w:szCs w:val="32"/>
        </w:rPr>
      </w:pPr>
      <w:r>
        <w:rPr>
          <w:rFonts w:hint="eastAsia" w:ascii="仿宋_GB2312" w:hAnsi="仿宋_GB2312" w:cs="仿宋_GB2312"/>
          <w:color w:val="000000"/>
          <w:kern w:val="0"/>
          <w:szCs w:val="32"/>
        </w:rPr>
        <w:t>九、机关运行经费支出说明</w:t>
      </w:r>
    </w:p>
    <w:p w14:paraId="0E56E060">
      <w:pPr>
        <w:autoSpaceDE w:val="0"/>
        <w:autoSpaceDN w:val="0"/>
        <w:adjustRightInd w:val="0"/>
        <w:spacing w:line="500" w:lineRule="exact"/>
        <w:ind w:firstLine="800" w:firstLineChars="250"/>
        <w:jc w:val="left"/>
        <w:rPr>
          <w:rFonts w:ascii="仿宋_GB2312" w:hAnsi="仿宋_GB2312" w:cs="仿宋_GB2312"/>
          <w:color w:val="000000"/>
          <w:kern w:val="0"/>
          <w:szCs w:val="32"/>
        </w:rPr>
      </w:pPr>
      <w:r>
        <w:rPr>
          <w:rFonts w:hint="eastAsia" w:ascii="仿宋_GB2312" w:hAnsi="仿宋_GB2312" w:cs="仿宋_GB2312"/>
          <w:color w:val="000000"/>
          <w:kern w:val="0"/>
          <w:szCs w:val="32"/>
        </w:rPr>
        <w:t>十、一般性支出情况说明</w:t>
      </w:r>
    </w:p>
    <w:p w14:paraId="32616105">
      <w:pPr>
        <w:autoSpaceDE w:val="0"/>
        <w:autoSpaceDN w:val="0"/>
        <w:adjustRightInd w:val="0"/>
        <w:spacing w:line="500" w:lineRule="exact"/>
        <w:ind w:firstLine="800" w:firstLineChars="250"/>
        <w:jc w:val="left"/>
        <w:rPr>
          <w:rFonts w:ascii="仿宋_GB2312" w:hAnsi="仿宋_GB2312" w:cs="仿宋_GB2312"/>
          <w:color w:val="000000"/>
          <w:kern w:val="0"/>
          <w:szCs w:val="32"/>
        </w:rPr>
      </w:pPr>
      <w:r>
        <w:rPr>
          <w:rFonts w:hint="eastAsia" w:ascii="仿宋_GB2312" w:hAnsi="仿宋_GB2312" w:cs="仿宋_GB2312"/>
          <w:color w:val="000000"/>
          <w:kern w:val="0"/>
          <w:szCs w:val="32"/>
        </w:rPr>
        <w:t>十一、政府采购支出说明</w:t>
      </w:r>
    </w:p>
    <w:p w14:paraId="376688E9">
      <w:pPr>
        <w:pStyle w:val="9"/>
        <w:spacing w:line="5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十二、国有资产占用情况说明</w:t>
      </w:r>
    </w:p>
    <w:p w14:paraId="1CC7901E">
      <w:pPr>
        <w:pStyle w:val="9"/>
        <w:spacing w:line="5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hint="eastAsia" w:ascii="仿宋_GB2312" w:eastAsia="仿宋_GB2312" w:cs="仿宋_GB2312" w:hAnsiTheme="minorEastAsia"/>
          <w:sz w:val="32"/>
          <w:szCs w:val="32"/>
        </w:rPr>
        <w:t>2023年</w:t>
      </w:r>
      <w:r>
        <w:rPr>
          <w:rFonts w:hint="eastAsia" w:ascii="仿宋_GB2312" w:hAnsi="仿宋_GB2312" w:eastAsia="仿宋_GB2312" w:cs="仿宋_GB2312"/>
          <w:sz w:val="32"/>
          <w:szCs w:val="32"/>
        </w:rPr>
        <w:t>度预算绩效情况说明</w:t>
      </w:r>
    </w:p>
    <w:p w14:paraId="6B73DD38">
      <w:pPr>
        <w:autoSpaceDE w:val="0"/>
        <w:autoSpaceDN w:val="0"/>
        <w:adjustRightInd w:val="0"/>
        <w:spacing w:line="500" w:lineRule="exact"/>
        <w:jc w:val="left"/>
        <w:rPr>
          <w:rFonts w:ascii="仿宋_GB2312" w:hAnsi="黑体" w:cs="黑体"/>
          <w:b/>
          <w:color w:val="000000"/>
          <w:kern w:val="0"/>
          <w:szCs w:val="32"/>
        </w:rPr>
      </w:pPr>
      <w:r>
        <w:rPr>
          <w:rFonts w:hint="eastAsia" w:ascii="仿宋_GB2312" w:hAnsi="黑体" w:cs="黑体"/>
          <w:b/>
          <w:color w:val="000000"/>
          <w:kern w:val="0"/>
          <w:szCs w:val="32"/>
        </w:rPr>
        <w:t>第四部分名词解释</w:t>
      </w:r>
    </w:p>
    <w:p w14:paraId="1FA2F126">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仿宋_GB2312" w:hAnsi="黑体" w:cs="黑体"/>
          <w:b/>
          <w:color w:val="000000"/>
          <w:kern w:val="0"/>
          <w:szCs w:val="32"/>
        </w:rPr>
        <w:t>第五部分附件</w:t>
      </w:r>
    </w:p>
    <w:p w14:paraId="229EE788">
      <w:pPr>
        <w:jc w:val="center"/>
        <w:rPr>
          <w:sz w:val="72"/>
          <w:szCs w:val="72"/>
        </w:rPr>
      </w:pPr>
    </w:p>
    <w:p w14:paraId="6228A432">
      <w:pPr>
        <w:jc w:val="center"/>
        <w:rPr>
          <w:sz w:val="72"/>
          <w:szCs w:val="72"/>
        </w:rPr>
      </w:pPr>
    </w:p>
    <w:p w14:paraId="41F1E8BF">
      <w:pPr>
        <w:jc w:val="center"/>
        <w:rPr>
          <w:sz w:val="72"/>
          <w:szCs w:val="72"/>
        </w:rPr>
      </w:pPr>
    </w:p>
    <w:p w14:paraId="6C0C1F17">
      <w:pPr>
        <w:jc w:val="center"/>
        <w:rPr>
          <w:sz w:val="72"/>
          <w:szCs w:val="72"/>
        </w:rPr>
      </w:pPr>
    </w:p>
    <w:p w14:paraId="7CBD55E1">
      <w:pPr>
        <w:rPr>
          <w:sz w:val="72"/>
          <w:szCs w:val="72"/>
        </w:rPr>
      </w:pPr>
    </w:p>
    <w:p w14:paraId="408DEB89">
      <w:pPr>
        <w:pStyle w:val="9"/>
        <w:jc w:val="center"/>
        <w:rPr>
          <w:b/>
          <w:sz w:val="72"/>
          <w:szCs w:val="72"/>
        </w:rPr>
      </w:pPr>
      <w:r>
        <w:rPr>
          <w:rFonts w:hint="eastAsia"/>
          <w:b/>
          <w:sz w:val="72"/>
          <w:szCs w:val="72"/>
        </w:rPr>
        <w:t>第一部分</w:t>
      </w:r>
    </w:p>
    <w:p w14:paraId="6070E480">
      <w:pPr>
        <w:pStyle w:val="9"/>
        <w:jc w:val="center"/>
        <w:rPr>
          <w:b/>
          <w:sz w:val="72"/>
          <w:szCs w:val="72"/>
        </w:rPr>
      </w:pPr>
    </w:p>
    <w:p w14:paraId="77721E23">
      <w:pPr>
        <w:pStyle w:val="9"/>
        <w:jc w:val="center"/>
        <w:rPr>
          <w:sz w:val="84"/>
          <w:szCs w:val="84"/>
        </w:rPr>
      </w:pPr>
      <w:r>
        <w:rPr>
          <w:rFonts w:hint="eastAsia"/>
          <w:b/>
          <w:sz w:val="72"/>
          <w:szCs w:val="72"/>
        </w:rPr>
        <w:t>单位概况</w:t>
      </w:r>
    </w:p>
    <w:p w14:paraId="408C97B6">
      <w:pPr>
        <w:jc w:val="center"/>
        <w:rPr>
          <w:sz w:val="72"/>
          <w:szCs w:val="72"/>
        </w:rPr>
      </w:pPr>
    </w:p>
    <w:p w14:paraId="09168D50">
      <w:pPr>
        <w:jc w:val="center"/>
        <w:rPr>
          <w:sz w:val="72"/>
          <w:szCs w:val="72"/>
        </w:rPr>
      </w:pPr>
    </w:p>
    <w:p w14:paraId="1CE27C6C">
      <w:pPr>
        <w:jc w:val="center"/>
        <w:rPr>
          <w:sz w:val="72"/>
          <w:szCs w:val="72"/>
        </w:rPr>
      </w:pPr>
    </w:p>
    <w:p w14:paraId="2B7E560A">
      <w:pPr>
        <w:jc w:val="center"/>
        <w:rPr>
          <w:sz w:val="72"/>
          <w:szCs w:val="72"/>
        </w:rPr>
      </w:pPr>
    </w:p>
    <w:p w14:paraId="06295F34">
      <w:pPr>
        <w:jc w:val="center"/>
        <w:rPr>
          <w:sz w:val="72"/>
          <w:szCs w:val="72"/>
        </w:rPr>
      </w:pPr>
    </w:p>
    <w:p w14:paraId="4CA7D370">
      <w:pPr>
        <w:jc w:val="center"/>
        <w:rPr>
          <w:sz w:val="72"/>
          <w:szCs w:val="72"/>
        </w:rPr>
      </w:pPr>
    </w:p>
    <w:p w14:paraId="2B9DB50A">
      <w:pPr>
        <w:pStyle w:val="10"/>
        <w:ind w:left="720" w:firstLine="0" w:firstLineChars="0"/>
        <w:jc w:val="left"/>
        <w:rPr>
          <w:rFonts w:ascii="黑体" w:hAnsi="黑体" w:eastAsia="黑体"/>
          <w:szCs w:val="32"/>
        </w:rPr>
      </w:pPr>
    </w:p>
    <w:p w14:paraId="7F115275">
      <w:pPr>
        <w:pStyle w:val="10"/>
        <w:ind w:left="720" w:firstLine="0" w:firstLineChars="0"/>
        <w:jc w:val="left"/>
        <w:rPr>
          <w:rFonts w:ascii="黑体" w:hAnsi="黑体" w:eastAsia="黑体"/>
          <w:szCs w:val="32"/>
        </w:rPr>
      </w:pPr>
    </w:p>
    <w:p w14:paraId="696684C3">
      <w:pPr>
        <w:pStyle w:val="10"/>
        <w:ind w:left="720" w:firstLine="0" w:firstLineChars="0"/>
        <w:jc w:val="left"/>
        <w:rPr>
          <w:rFonts w:ascii="黑体" w:hAnsi="黑体" w:eastAsia="黑体"/>
          <w:szCs w:val="32"/>
        </w:rPr>
      </w:pPr>
    </w:p>
    <w:p w14:paraId="0A139364">
      <w:pPr>
        <w:pStyle w:val="10"/>
        <w:numPr>
          <w:ilvl w:val="0"/>
          <w:numId w:val="1"/>
        </w:numPr>
        <w:ind w:firstLineChars="0"/>
        <w:jc w:val="left"/>
        <w:rPr>
          <w:rFonts w:ascii="黑体" w:hAnsi="黑体" w:eastAsia="黑体"/>
          <w:szCs w:val="32"/>
        </w:rPr>
      </w:pPr>
      <w:r>
        <w:rPr>
          <w:rFonts w:ascii="黑体" w:hAnsi="黑体" w:eastAsia="黑体"/>
          <w:szCs w:val="32"/>
        </w:rPr>
        <w:t>部门职责</w:t>
      </w:r>
    </w:p>
    <w:p w14:paraId="5AAD9668">
      <w:pPr>
        <w:ind w:firstLine="640" w:firstLineChars="200"/>
        <w:jc w:val="left"/>
        <w:rPr>
          <w:rFonts w:asciiTheme="minorEastAsia" w:hAnsiTheme="minorEastAsia"/>
          <w:szCs w:val="32"/>
        </w:rPr>
      </w:pPr>
      <w:r>
        <w:rPr>
          <w:rFonts w:hint="eastAsia" w:ascii="仿宋_GB2312" w:hAnsi="仿宋" w:cs="宋体"/>
          <w:color w:val="000000"/>
          <w:kern w:val="0"/>
          <w:szCs w:val="32"/>
        </w:rPr>
        <w:t>1.参与全县政治、经济和社会生活中的重要问题的政治协商，发挥民主监督作用，积极参政议政； 2.做好工商业界代表人士政治安排的推荐工作；3.宣传、贯彻党和国家的路线、方针和政策，推动企业文化建设；4.维护会员企业和非公有制企业的合法权益，反映会员的意见、建议和要求；5.引导和带领非公有制经济人士参与光彩事业和社会公益事业活动；6.为非公有制企业提供信息、科技、管理、法律、会计、审计、融资、咨询等服务；7.开展非公经济人士培训，帮助非公有制企业改进经营管理，完善财会管理，提高生产技术 和产品质量；8.组织非公有制企业举办和参加各种对内对外展销会、交易会，考察交流活动，帮助企业开拓市场；9.增进与异地商会及非公经济人士的联系和联络，促进经济、技术和贸易合作，协助引进资金、技术、人才；10.承担民营企业发展相关政策研究、沟通联络、企业投诉、维权服务，开展受理、登记、呈报、转办、和处理结果反馈等事务工作；11.参与县中心工作。</w:t>
      </w:r>
    </w:p>
    <w:p w14:paraId="41013975">
      <w:pPr>
        <w:widowControl/>
        <w:spacing w:line="600" w:lineRule="exact"/>
        <w:ind w:firstLine="640" w:firstLineChars="200"/>
        <w:rPr>
          <w:rFonts w:ascii="黑体" w:hAnsi="黑体" w:eastAsia="黑体"/>
          <w:bCs/>
          <w:kern w:val="0"/>
          <w:szCs w:val="32"/>
        </w:rPr>
      </w:pPr>
      <w:r>
        <w:rPr>
          <w:rFonts w:hint="eastAsia" w:ascii="黑体" w:hAnsi="黑体" w:eastAsia="黑体"/>
          <w:bCs/>
          <w:kern w:val="0"/>
          <w:szCs w:val="32"/>
        </w:rPr>
        <w:t>二、机构设置及决算单位构成</w:t>
      </w:r>
    </w:p>
    <w:p w14:paraId="3F726A81">
      <w:pPr>
        <w:widowControl/>
        <w:spacing w:line="600" w:lineRule="exact"/>
        <w:ind w:firstLine="643" w:firstLineChars="200"/>
        <w:rPr>
          <w:rFonts w:asciiTheme="minorEastAsia" w:hAnsiTheme="minorEastAsia"/>
          <w:bCs/>
          <w:kern w:val="0"/>
          <w:szCs w:val="32"/>
        </w:rPr>
      </w:pPr>
      <w:r>
        <w:rPr>
          <w:rFonts w:hint="eastAsia" w:asciiTheme="minorEastAsia" w:hAnsiTheme="minorEastAsia"/>
          <w:b/>
          <w:bCs/>
          <w:kern w:val="0"/>
          <w:szCs w:val="32"/>
        </w:rPr>
        <w:t>（一）内设机构设置。</w:t>
      </w:r>
      <w:r>
        <w:rPr>
          <w:rFonts w:hint="eastAsia" w:ascii="仿宋_GB2312" w:hAnsi="仿宋"/>
          <w:szCs w:val="32"/>
        </w:rPr>
        <w:t>本单位是行政机关单位，单位核定行政编制4人，事业编制3人，工勤编1人，实有在职人员9人。</w:t>
      </w:r>
    </w:p>
    <w:p w14:paraId="2E41261B">
      <w:pPr>
        <w:widowControl/>
        <w:spacing w:line="600" w:lineRule="exact"/>
        <w:ind w:firstLine="643" w:firstLineChars="200"/>
        <w:rPr>
          <w:rFonts w:asciiTheme="minorEastAsia" w:hAnsiTheme="minorEastAsia"/>
          <w:bCs/>
          <w:kern w:val="0"/>
          <w:szCs w:val="32"/>
        </w:rPr>
      </w:pPr>
      <w:r>
        <w:rPr>
          <w:rFonts w:hint="eastAsia" w:asciiTheme="minorEastAsia" w:hAnsiTheme="minorEastAsia"/>
          <w:b/>
          <w:bCs/>
          <w:kern w:val="0"/>
          <w:szCs w:val="32"/>
        </w:rPr>
        <w:t>（二）决算单位构成。</w:t>
      </w:r>
      <w:r>
        <w:rPr>
          <w:rFonts w:hint="eastAsia" w:asciiTheme="minorEastAsia" w:hAnsiTheme="minorEastAsia"/>
          <w:bCs/>
          <w:kern w:val="0"/>
          <w:szCs w:val="32"/>
        </w:rPr>
        <w:t>溆浦县工商业联合会</w:t>
      </w:r>
      <w:r>
        <w:rPr>
          <w:rFonts w:asciiTheme="minorEastAsia" w:hAnsiTheme="minorEastAsia"/>
          <w:bCs/>
          <w:kern w:val="0"/>
          <w:szCs w:val="32"/>
        </w:rPr>
        <w:t>20</w:t>
      </w:r>
      <w:r>
        <w:rPr>
          <w:rFonts w:hint="eastAsia" w:asciiTheme="minorEastAsia" w:hAnsiTheme="minorEastAsia"/>
          <w:bCs/>
          <w:kern w:val="0"/>
          <w:szCs w:val="32"/>
        </w:rPr>
        <w:t>23年部门决算汇总公开单位构成包括：溆浦县工商业联合会本级。</w:t>
      </w:r>
    </w:p>
    <w:p w14:paraId="2D417F70">
      <w:pPr>
        <w:jc w:val="left"/>
        <w:rPr>
          <w:rFonts w:ascii="仿宋_GB2312" w:hAnsiTheme="minorEastAsia"/>
          <w:sz w:val="28"/>
          <w:szCs w:val="32"/>
        </w:rPr>
      </w:pPr>
    </w:p>
    <w:p w14:paraId="4DB16E05">
      <w:pPr>
        <w:jc w:val="center"/>
        <w:rPr>
          <w:rFonts w:ascii="黑体" w:hAnsi="黑体" w:eastAsia="黑体"/>
          <w:sz w:val="28"/>
          <w:szCs w:val="28"/>
        </w:rPr>
      </w:pPr>
    </w:p>
    <w:p w14:paraId="180C066A">
      <w:pPr>
        <w:jc w:val="center"/>
        <w:rPr>
          <w:rFonts w:ascii="黑体" w:hAnsi="黑体" w:eastAsia="黑体"/>
          <w:sz w:val="28"/>
          <w:szCs w:val="28"/>
        </w:rPr>
      </w:pPr>
    </w:p>
    <w:p w14:paraId="567086A7">
      <w:pPr>
        <w:jc w:val="center"/>
        <w:rPr>
          <w:rFonts w:ascii="黑体" w:hAnsi="黑体" w:eastAsia="黑体"/>
          <w:sz w:val="28"/>
          <w:szCs w:val="28"/>
        </w:rPr>
      </w:pPr>
    </w:p>
    <w:p w14:paraId="428ECE4F">
      <w:pPr>
        <w:jc w:val="center"/>
        <w:rPr>
          <w:rFonts w:ascii="黑体" w:hAnsi="黑体" w:eastAsia="黑体"/>
          <w:sz w:val="28"/>
          <w:szCs w:val="28"/>
        </w:rPr>
      </w:pPr>
    </w:p>
    <w:p w14:paraId="759BE28D">
      <w:pPr>
        <w:jc w:val="center"/>
        <w:rPr>
          <w:rFonts w:ascii="黑体" w:hAnsi="黑体" w:eastAsia="黑体"/>
          <w:sz w:val="28"/>
          <w:szCs w:val="28"/>
        </w:rPr>
      </w:pPr>
    </w:p>
    <w:p w14:paraId="7D937175">
      <w:pPr>
        <w:jc w:val="center"/>
        <w:rPr>
          <w:rFonts w:ascii="黑体" w:hAnsi="黑体" w:eastAsia="黑体"/>
          <w:sz w:val="28"/>
          <w:szCs w:val="28"/>
        </w:rPr>
      </w:pPr>
    </w:p>
    <w:p w14:paraId="3DFA77B6">
      <w:pPr>
        <w:jc w:val="center"/>
        <w:rPr>
          <w:rFonts w:ascii="黑体" w:hAnsi="黑体" w:eastAsia="黑体"/>
          <w:sz w:val="28"/>
          <w:szCs w:val="28"/>
        </w:rPr>
      </w:pPr>
    </w:p>
    <w:p w14:paraId="1CBA48C8">
      <w:pPr>
        <w:jc w:val="center"/>
        <w:rPr>
          <w:rFonts w:ascii="黑体" w:hAnsi="黑体" w:eastAsia="黑体"/>
          <w:sz w:val="28"/>
          <w:szCs w:val="28"/>
        </w:rPr>
      </w:pPr>
    </w:p>
    <w:p w14:paraId="4DC3EE4B">
      <w:pPr>
        <w:jc w:val="center"/>
        <w:rPr>
          <w:rFonts w:ascii="黑体" w:hAnsi="黑体" w:eastAsia="黑体"/>
          <w:sz w:val="28"/>
          <w:szCs w:val="28"/>
        </w:rPr>
      </w:pPr>
    </w:p>
    <w:p w14:paraId="03B5FEE5">
      <w:pPr>
        <w:jc w:val="center"/>
        <w:rPr>
          <w:rFonts w:ascii="黑体" w:hAnsi="黑体" w:eastAsia="黑体"/>
          <w:sz w:val="28"/>
          <w:szCs w:val="28"/>
        </w:rPr>
      </w:pPr>
    </w:p>
    <w:p w14:paraId="0C034202">
      <w:pPr>
        <w:jc w:val="center"/>
        <w:rPr>
          <w:rFonts w:ascii="黑体" w:hAnsi="黑体" w:eastAsia="黑体"/>
          <w:sz w:val="28"/>
          <w:szCs w:val="28"/>
        </w:rPr>
      </w:pPr>
    </w:p>
    <w:p w14:paraId="146FCC3B">
      <w:pPr>
        <w:jc w:val="center"/>
        <w:rPr>
          <w:rFonts w:ascii="黑体" w:hAnsi="黑体" w:eastAsia="黑体"/>
          <w:sz w:val="28"/>
          <w:szCs w:val="28"/>
        </w:rPr>
      </w:pPr>
    </w:p>
    <w:p w14:paraId="6CC1989D">
      <w:pPr>
        <w:jc w:val="center"/>
        <w:rPr>
          <w:sz w:val="72"/>
          <w:szCs w:val="72"/>
        </w:rPr>
      </w:pPr>
    </w:p>
    <w:p w14:paraId="0E46DCDD">
      <w:pPr>
        <w:rPr>
          <w:sz w:val="72"/>
          <w:szCs w:val="72"/>
        </w:rPr>
      </w:pPr>
    </w:p>
    <w:p w14:paraId="6E8A7E61">
      <w:pPr>
        <w:jc w:val="center"/>
        <w:rPr>
          <w:sz w:val="72"/>
          <w:szCs w:val="72"/>
        </w:rPr>
      </w:pPr>
    </w:p>
    <w:p w14:paraId="574623CD">
      <w:pPr>
        <w:jc w:val="center"/>
        <w:rPr>
          <w:rFonts w:ascii="黑体" w:hAnsi="黑体" w:eastAsia="黑体"/>
          <w:b/>
          <w:sz w:val="72"/>
          <w:szCs w:val="72"/>
        </w:rPr>
      </w:pPr>
      <w:r>
        <w:rPr>
          <w:rFonts w:hint="eastAsia" w:ascii="黑体" w:hAnsi="黑体" w:eastAsia="黑体"/>
          <w:b/>
          <w:sz w:val="72"/>
          <w:szCs w:val="72"/>
        </w:rPr>
        <w:t>第二部分</w:t>
      </w:r>
    </w:p>
    <w:p w14:paraId="3B4BEB22">
      <w:pPr>
        <w:jc w:val="center"/>
        <w:rPr>
          <w:rFonts w:ascii="黑体" w:hAnsi="黑体" w:eastAsia="黑体"/>
          <w:b/>
          <w:sz w:val="72"/>
          <w:szCs w:val="72"/>
        </w:rPr>
      </w:pPr>
    </w:p>
    <w:p w14:paraId="6D7E6A9A">
      <w:pPr>
        <w:jc w:val="center"/>
        <w:rPr>
          <w:sz w:val="72"/>
          <w:szCs w:val="72"/>
        </w:rPr>
      </w:pPr>
      <w:r>
        <w:rPr>
          <w:rFonts w:hint="eastAsia" w:ascii="黑体" w:hAnsi="黑体" w:eastAsia="黑体"/>
          <w:b/>
          <w:sz w:val="72"/>
          <w:szCs w:val="72"/>
        </w:rPr>
        <w:t>部门决算表</w:t>
      </w:r>
    </w:p>
    <w:p w14:paraId="598BE7D6">
      <w:pPr>
        <w:jc w:val="center"/>
        <w:rPr>
          <w:sz w:val="72"/>
          <w:szCs w:val="72"/>
        </w:rPr>
      </w:pPr>
    </w:p>
    <w:p w14:paraId="5B31F736">
      <w:pPr>
        <w:jc w:val="center"/>
        <w:rPr>
          <w:sz w:val="72"/>
          <w:szCs w:val="72"/>
        </w:rPr>
      </w:pPr>
    </w:p>
    <w:p w14:paraId="48571F7D">
      <w:pPr>
        <w:jc w:val="center"/>
        <w:rPr>
          <w:sz w:val="72"/>
          <w:szCs w:val="72"/>
        </w:rPr>
      </w:pPr>
    </w:p>
    <w:p w14:paraId="6F9ECCC5">
      <w:pPr>
        <w:jc w:val="center"/>
        <w:rPr>
          <w:sz w:val="72"/>
          <w:szCs w:val="72"/>
        </w:rPr>
      </w:pPr>
    </w:p>
    <w:p w14:paraId="3048CC01">
      <w:pPr>
        <w:jc w:val="center"/>
        <w:rPr>
          <w:sz w:val="72"/>
          <w:szCs w:val="72"/>
        </w:rPr>
      </w:pPr>
    </w:p>
    <w:p w14:paraId="7C1E0EF6">
      <w:pPr>
        <w:jc w:val="center"/>
        <w:rPr>
          <w:sz w:val="72"/>
          <w:szCs w:val="72"/>
        </w:rPr>
      </w:pPr>
    </w:p>
    <w:p w14:paraId="0BA2C5BD">
      <w:pPr>
        <w:jc w:val="left"/>
        <w:rPr>
          <w:szCs w:val="32"/>
        </w:rPr>
      </w:pPr>
    </w:p>
    <w:p w14:paraId="1CAC93A5">
      <w:pPr>
        <w:jc w:val="left"/>
        <w:rPr>
          <w:rFonts w:asciiTheme="minorEastAsia" w:hAnsiTheme="minorEastAsia"/>
          <w:szCs w:val="32"/>
        </w:rPr>
        <w:sectPr>
          <w:pgSz w:w="11906" w:h="16838"/>
          <w:pgMar w:top="720" w:right="720" w:bottom="720" w:left="720" w:header="851" w:footer="992" w:gutter="0"/>
          <w:cols w:space="425" w:num="1"/>
          <w:docGrid w:type="lines" w:linePitch="312" w:charSpace="0"/>
        </w:sectPr>
      </w:pPr>
    </w:p>
    <w:tbl>
      <w:tblPr>
        <w:tblStyle w:val="5"/>
        <w:tblW w:w="14815" w:type="dxa"/>
        <w:tblInd w:w="93" w:type="dxa"/>
        <w:tblLayout w:type="autofit"/>
        <w:tblCellMar>
          <w:top w:w="0" w:type="dxa"/>
          <w:left w:w="108" w:type="dxa"/>
          <w:bottom w:w="0" w:type="dxa"/>
          <w:right w:w="108" w:type="dxa"/>
        </w:tblCellMar>
      </w:tblPr>
      <w:tblGrid>
        <w:gridCol w:w="5043"/>
        <w:gridCol w:w="668"/>
        <w:gridCol w:w="1675"/>
        <w:gridCol w:w="4730"/>
        <w:gridCol w:w="668"/>
        <w:gridCol w:w="2031"/>
      </w:tblGrid>
      <w:tr w14:paraId="3C693F34">
        <w:tblPrEx>
          <w:tblCellMar>
            <w:top w:w="0" w:type="dxa"/>
            <w:left w:w="108" w:type="dxa"/>
            <w:bottom w:w="0" w:type="dxa"/>
            <w:right w:w="108" w:type="dxa"/>
          </w:tblCellMar>
        </w:tblPrEx>
        <w:trPr>
          <w:trHeight w:val="390" w:hRule="atLeast"/>
        </w:trPr>
        <w:tc>
          <w:tcPr>
            <w:tcW w:w="14815" w:type="dxa"/>
            <w:gridSpan w:val="6"/>
            <w:tcBorders>
              <w:top w:val="nil"/>
              <w:left w:val="nil"/>
              <w:bottom w:val="nil"/>
              <w:right w:val="nil"/>
            </w:tcBorders>
            <w:shd w:val="clear" w:color="auto" w:fill="auto"/>
            <w:noWrap/>
            <w:vAlign w:val="bottom"/>
          </w:tcPr>
          <w:p w14:paraId="039A764C">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14:paraId="10816A5D">
        <w:tblPrEx>
          <w:tblCellMar>
            <w:top w:w="0" w:type="dxa"/>
            <w:left w:w="108" w:type="dxa"/>
            <w:bottom w:w="0" w:type="dxa"/>
            <w:right w:w="108" w:type="dxa"/>
          </w:tblCellMar>
        </w:tblPrEx>
        <w:trPr>
          <w:trHeight w:val="255" w:hRule="atLeast"/>
        </w:trPr>
        <w:tc>
          <w:tcPr>
            <w:tcW w:w="5043" w:type="dxa"/>
            <w:tcBorders>
              <w:top w:val="nil"/>
              <w:left w:val="nil"/>
              <w:bottom w:val="nil"/>
              <w:right w:val="nil"/>
            </w:tcBorders>
            <w:shd w:val="clear" w:color="auto" w:fill="auto"/>
            <w:noWrap/>
            <w:vAlign w:val="bottom"/>
          </w:tcPr>
          <w:p w14:paraId="58669387">
            <w:pPr>
              <w:widowControl/>
              <w:jc w:val="left"/>
              <w:rPr>
                <w:rFonts w:ascii="Arial" w:hAnsi="Arial" w:eastAsia="宋体" w:cs="Arial"/>
                <w:color w:val="000000"/>
                <w:kern w:val="0"/>
                <w:sz w:val="20"/>
                <w:szCs w:val="20"/>
              </w:rPr>
            </w:pPr>
          </w:p>
        </w:tc>
        <w:tc>
          <w:tcPr>
            <w:tcW w:w="668" w:type="dxa"/>
            <w:tcBorders>
              <w:top w:val="nil"/>
              <w:left w:val="nil"/>
              <w:bottom w:val="nil"/>
              <w:right w:val="nil"/>
            </w:tcBorders>
            <w:shd w:val="clear" w:color="auto" w:fill="auto"/>
            <w:noWrap/>
            <w:vAlign w:val="bottom"/>
          </w:tcPr>
          <w:p w14:paraId="46CA7E3B">
            <w:pPr>
              <w:widowControl/>
              <w:jc w:val="left"/>
              <w:rPr>
                <w:rFonts w:ascii="Arial" w:hAnsi="Arial" w:eastAsia="宋体" w:cs="Arial"/>
                <w:color w:val="000000"/>
                <w:kern w:val="0"/>
                <w:sz w:val="20"/>
                <w:szCs w:val="20"/>
              </w:rPr>
            </w:pPr>
          </w:p>
        </w:tc>
        <w:tc>
          <w:tcPr>
            <w:tcW w:w="1675" w:type="dxa"/>
            <w:tcBorders>
              <w:top w:val="nil"/>
              <w:left w:val="nil"/>
              <w:bottom w:val="nil"/>
              <w:right w:val="nil"/>
            </w:tcBorders>
            <w:shd w:val="clear" w:color="auto" w:fill="auto"/>
            <w:noWrap/>
            <w:vAlign w:val="bottom"/>
          </w:tcPr>
          <w:p w14:paraId="4407C5AE">
            <w:pPr>
              <w:widowControl/>
              <w:jc w:val="left"/>
              <w:rPr>
                <w:rFonts w:ascii="Arial" w:hAnsi="Arial" w:eastAsia="宋体" w:cs="Arial"/>
                <w:color w:val="000000"/>
                <w:kern w:val="0"/>
                <w:sz w:val="20"/>
                <w:szCs w:val="20"/>
              </w:rPr>
            </w:pPr>
          </w:p>
        </w:tc>
        <w:tc>
          <w:tcPr>
            <w:tcW w:w="4730" w:type="dxa"/>
            <w:tcBorders>
              <w:top w:val="nil"/>
              <w:left w:val="nil"/>
              <w:bottom w:val="nil"/>
              <w:right w:val="nil"/>
            </w:tcBorders>
            <w:shd w:val="clear" w:color="auto" w:fill="auto"/>
            <w:noWrap/>
            <w:vAlign w:val="bottom"/>
          </w:tcPr>
          <w:p w14:paraId="3AF485EA">
            <w:pPr>
              <w:widowControl/>
              <w:jc w:val="left"/>
              <w:rPr>
                <w:rFonts w:ascii="Arial" w:hAnsi="Arial" w:eastAsia="宋体" w:cs="Arial"/>
                <w:color w:val="000000"/>
                <w:kern w:val="0"/>
                <w:sz w:val="20"/>
                <w:szCs w:val="20"/>
              </w:rPr>
            </w:pPr>
          </w:p>
        </w:tc>
        <w:tc>
          <w:tcPr>
            <w:tcW w:w="668" w:type="dxa"/>
            <w:tcBorders>
              <w:top w:val="nil"/>
              <w:left w:val="nil"/>
              <w:bottom w:val="nil"/>
              <w:right w:val="nil"/>
            </w:tcBorders>
            <w:shd w:val="clear" w:color="auto" w:fill="auto"/>
            <w:noWrap/>
            <w:vAlign w:val="bottom"/>
          </w:tcPr>
          <w:p w14:paraId="3FAF775A">
            <w:pPr>
              <w:widowControl/>
              <w:jc w:val="left"/>
              <w:rPr>
                <w:rFonts w:ascii="Arial" w:hAnsi="Arial" w:eastAsia="宋体" w:cs="Arial"/>
                <w:color w:val="000000"/>
                <w:kern w:val="0"/>
                <w:sz w:val="20"/>
                <w:szCs w:val="20"/>
              </w:rPr>
            </w:pPr>
          </w:p>
        </w:tc>
        <w:tc>
          <w:tcPr>
            <w:tcW w:w="2031" w:type="dxa"/>
            <w:tcBorders>
              <w:top w:val="nil"/>
              <w:left w:val="nil"/>
              <w:bottom w:val="nil"/>
              <w:right w:val="nil"/>
            </w:tcBorders>
            <w:shd w:val="clear" w:color="auto" w:fill="auto"/>
            <w:noWrap/>
            <w:vAlign w:val="bottom"/>
          </w:tcPr>
          <w:p w14:paraId="364C0B9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14:paraId="4E928BDC">
        <w:tblPrEx>
          <w:tblCellMar>
            <w:top w:w="0" w:type="dxa"/>
            <w:left w:w="108" w:type="dxa"/>
            <w:bottom w:w="0" w:type="dxa"/>
            <w:right w:w="108" w:type="dxa"/>
          </w:tblCellMar>
        </w:tblPrEx>
        <w:trPr>
          <w:trHeight w:val="255" w:hRule="atLeast"/>
        </w:trPr>
        <w:tc>
          <w:tcPr>
            <w:tcW w:w="5043" w:type="dxa"/>
            <w:tcBorders>
              <w:top w:val="nil"/>
              <w:left w:val="nil"/>
              <w:bottom w:val="nil"/>
              <w:right w:val="nil"/>
            </w:tcBorders>
            <w:shd w:val="clear" w:color="auto" w:fill="auto"/>
            <w:noWrap/>
            <w:vAlign w:val="bottom"/>
          </w:tcPr>
          <w:p w14:paraId="3322EC4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部门：溆浦县工商业联合会</w:t>
            </w:r>
          </w:p>
        </w:tc>
        <w:tc>
          <w:tcPr>
            <w:tcW w:w="668" w:type="dxa"/>
            <w:tcBorders>
              <w:top w:val="nil"/>
              <w:left w:val="nil"/>
              <w:bottom w:val="nil"/>
              <w:right w:val="nil"/>
            </w:tcBorders>
            <w:shd w:val="clear" w:color="auto" w:fill="auto"/>
            <w:noWrap/>
            <w:vAlign w:val="bottom"/>
          </w:tcPr>
          <w:p w14:paraId="7BDB8DD0">
            <w:pPr>
              <w:widowControl/>
              <w:jc w:val="left"/>
              <w:rPr>
                <w:rFonts w:ascii="Arial" w:hAnsi="Arial" w:eastAsia="宋体" w:cs="Arial"/>
                <w:color w:val="000000"/>
                <w:kern w:val="0"/>
                <w:sz w:val="20"/>
                <w:szCs w:val="20"/>
              </w:rPr>
            </w:pPr>
          </w:p>
        </w:tc>
        <w:tc>
          <w:tcPr>
            <w:tcW w:w="1675" w:type="dxa"/>
            <w:tcBorders>
              <w:top w:val="nil"/>
              <w:left w:val="nil"/>
              <w:bottom w:val="nil"/>
              <w:right w:val="nil"/>
            </w:tcBorders>
            <w:shd w:val="clear" w:color="auto" w:fill="auto"/>
            <w:noWrap/>
            <w:vAlign w:val="bottom"/>
          </w:tcPr>
          <w:p w14:paraId="04744154">
            <w:pPr>
              <w:widowControl/>
              <w:jc w:val="left"/>
              <w:rPr>
                <w:rFonts w:ascii="Arial" w:hAnsi="Arial" w:eastAsia="宋体" w:cs="Arial"/>
                <w:color w:val="000000"/>
                <w:kern w:val="0"/>
                <w:sz w:val="20"/>
                <w:szCs w:val="20"/>
              </w:rPr>
            </w:pPr>
          </w:p>
        </w:tc>
        <w:tc>
          <w:tcPr>
            <w:tcW w:w="4730" w:type="dxa"/>
            <w:tcBorders>
              <w:top w:val="nil"/>
              <w:left w:val="nil"/>
              <w:bottom w:val="nil"/>
              <w:right w:val="nil"/>
            </w:tcBorders>
            <w:shd w:val="clear" w:color="auto" w:fill="auto"/>
            <w:noWrap/>
            <w:vAlign w:val="bottom"/>
          </w:tcPr>
          <w:p w14:paraId="27D22C3B">
            <w:pPr>
              <w:widowControl/>
              <w:jc w:val="left"/>
              <w:rPr>
                <w:rFonts w:ascii="Arial" w:hAnsi="Arial" w:eastAsia="宋体" w:cs="Arial"/>
                <w:color w:val="000000"/>
                <w:kern w:val="0"/>
                <w:sz w:val="20"/>
                <w:szCs w:val="20"/>
              </w:rPr>
            </w:pPr>
          </w:p>
        </w:tc>
        <w:tc>
          <w:tcPr>
            <w:tcW w:w="668" w:type="dxa"/>
            <w:tcBorders>
              <w:top w:val="nil"/>
              <w:left w:val="nil"/>
              <w:bottom w:val="nil"/>
              <w:right w:val="nil"/>
            </w:tcBorders>
            <w:shd w:val="clear" w:color="auto" w:fill="auto"/>
            <w:noWrap/>
            <w:vAlign w:val="bottom"/>
          </w:tcPr>
          <w:p w14:paraId="20B780E4">
            <w:pPr>
              <w:widowControl/>
              <w:jc w:val="left"/>
              <w:rPr>
                <w:rFonts w:ascii="Arial" w:hAnsi="Arial" w:eastAsia="宋体" w:cs="Arial"/>
                <w:color w:val="000000"/>
                <w:kern w:val="0"/>
                <w:sz w:val="20"/>
                <w:szCs w:val="20"/>
              </w:rPr>
            </w:pPr>
          </w:p>
        </w:tc>
        <w:tc>
          <w:tcPr>
            <w:tcW w:w="2031" w:type="dxa"/>
            <w:tcBorders>
              <w:top w:val="nil"/>
              <w:left w:val="nil"/>
              <w:bottom w:val="nil"/>
              <w:right w:val="nil"/>
            </w:tcBorders>
            <w:shd w:val="clear" w:color="auto" w:fill="auto"/>
            <w:noWrap/>
            <w:vAlign w:val="bottom"/>
          </w:tcPr>
          <w:p w14:paraId="2159243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7C24E28E">
        <w:tblPrEx>
          <w:tblCellMar>
            <w:top w:w="0" w:type="dxa"/>
            <w:left w:w="108" w:type="dxa"/>
            <w:bottom w:w="0" w:type="dxa"/>
            <w:right w:w="108" w:type="dxa"/>
          </w:tblCellMar>
        </w:tblPrEx>
        <w:trPr>
          <w:trHeight w:val="308" w:hRule="atLeast"/>
        </w:trPr>
        <w:tc>
          <w:tcPr>
            <w:tcW w:w="7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A96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429" w:type="dxa"/>
            <w:gridSpan w:val="3"/>
            <w:tcBorders>
              <w:top w:val="single" w:color="000000" w:sz="4" w:space="0"/>
              <w:left w:val="nil"/>
              <w:bottom w:val="single" w:color="000000" w:sz="4" w:space="0"/>
              <w:right w:val="single" w:color="000000" w:sz="4" w:space="0"/>
            </w:tcBorders>
            <w:shd w:val="clear" w:color="auto" w:fill="auto"/>
            <w:noWrap/>
            <w:vAlign w:val="center"/>
          </w:tcPr>
          <w:p w14:paraId="78C3EB3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14:paraId="6D1524B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29818C8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8" w:type="dxa"/>
            <w:tcBorders>
              <w:top w:val="nil"/>
              <w:left w:val="nil"/>
              <w:bottom w:val="single" w:color="000000" w:sz="4" w:space="0"/>
              <w:right w:val="single" w:color="000000" w:sz="4" w:space="0"/>
            </w:tcBorders>
            <w:shd w:val="clear" w:color="auto" w:fill="auto"/>
            <w:noWrap/>
            <w:vAlign w:val="center"/>
          </w:tcPr>
          <w:p w14:paraId="2F7602D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675" w:type="dxa"/>
            <w:tcBorders>
              <w:top w:val="nil"/>
              <w:left w:val="nil"/>
              <w:bottom w:val="single" w:color="000000" w:sz="4" w:space="0"/>
              <w:right w:val="single" w:color="000000" w:sz="4" w:space="0"/>
            </w:tcBorders>
            <w:shd w:val="clear" w:color="auto" w:fill="auto"/>
            <w:noWrap/>
            <w:vAlign w:val="center"/>
          </w:tcPr>
          <w:p w14:paraId="2D096AD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730" w:type="dxa"/>
            <w:tcBorders>
              <w:top w:val="nil"/>
              <w:left w:val="nil"/>
              <w:bottom w:val="single" w:color="000000" w:sz="4" w:space="0"/>
              <w:right w:val="single" w:color="000000" w:sz="4" w:space="0"/>
            </w:tcBorders>
            <w:shd w:val="clear" w:color="auto" w:fill="auto"/>
            <w:noWrap/>
            <w:vAlign w:val="center"/>
          </w:tcPr>
          <w:p w14:paraId="68E4FDD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8" w:type="dxa"/>
            <w:tcBorders>
              <w:top w:val="nil"/>
              <w:left w:val="nil"/>
              <w:bottom w:val="single" w:color="000000" w:sz="4" w:space="0"/>
              <w:right w:val="single" w:color="000000" w:sz="4" w:space="0"/>
            </w:tcBorders>
            <w:shd w:val="clear" w:color="auto" w:fill="auto"/>
            <w:noWrap/>
            <w:vAlign w:val="center"/>
          </w:tcPr>
          <w:p w14:paraId="38519E7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031" w:type="dxa"/>
            <w:tcBorders>
              <w:top w:val="nil"/>
              <w:left w:val="nil"/>
              <w:bottom w:val="single" w:color="000000" w:sz="4" w:space="0"/>
              <w:right w:val="single" w:color="000000" w:sz="4" w:space="0"/>
            </w:tcBorders>
            <w:shd w:val="clear" w:color="auto" w:fill="auto"/>
            <w:noWrap/>
            <w:vAlign w:val="center"/>
          </w:tcPr>
          <w:p w14:paraId="6F5A244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14:paraId="63A3CE1A">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2D522A5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8" w:type="dxa"/>
            <w:tcBorders>
              <w:top w:val="nil"/>
              <w:left w:val="nil"/>
              <w:bottom w:val="single" w:color="000000" w:sz="4" w:space="0"/>
              <w:right w:val="single" w:color="000000" w:sz="4" w:space="0"/>
            </w:tcBorders>
            <w:shd w:val="clear" w:color="auto" w:fill="auto"/>
            <w:noWrap/>
            <w:vAlign w:val="center"/>
          </w:tcPr>
          <w:p w14:paraId="285D9AE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675" w:type="dxa"/>
            <w:tcBorders>
              <w:top w:val="nil"/>
              <w:left w:val="nil"/>
              <w:bottom w:val="single" w:color="000000" w:sz="4" w:space="0"/>
              <w:right w:val="single" w:color="000000" w:sz="4" w:space="0"/>
            </w:tcBorders>
            <w:shd w:val="clear" w:color="auto" w:fill="auto"/>
            <w:noWrap/>
            <w:vAlign w:val="center"/>
          </w:tcPr>
          <w:p w14:paraId="5743F2F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730" w:type="dxa"/>
            <w:tcBorders>
              <w:top w:val="nil"/>
              <w:left w:val="nil"/>
              <w:bottom w:val="single" w:color="000000" w:sz="4" w:space="0"/>
              <w:right w:val="single" w:color="000000" w:sz="4" w:space="0"/>
            </w:tcBorders>
            <w:shd w:val="clear" w:color="auto" w:fill="auto"/>
            <w:noWrap/>
            <w:vAlign w:val="center"/>
          </w:tcPr>
          <w:p w14:paraId="30CE1ED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8" w:type="dxa"/>
            <w:tcBorders>
              <w:top w:val="nil"/>
              <w:left w:val="nil"/>
              <w:bottom w:val="single" w:color="000000" w:sz="4" w:space="0"/>
              <w:right w:val="single" w:color="000000" w:sz="4" w:space="0"/>
            </w:tcBorders>
            <w:shd w:val="clear" w:color="auto" w:fill="auto"/>
            <w:noWrap/>
            <w:vAlign w:val="center"/>
          </w:tcPr>
          <w:p w14:paraId="4157FCD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031" w:type="dxa"/>
            <w:tcBorders>
              <w:top w:val="nil"/>
              <w:left w:val="nil"/>
              <w:bottom w:val="single" w:color="000000" w:sz="4" w:space="0"/>
              <w:right w:val="single" w:color="000000" w:sz="4" w:space="0"/>
            </w:tcBorders>
            <w:shd w:val="clear" w:color="auto" w:fill="auto"/>
            <w:noWrap/>
            <w:vAlign w:val="center"/>
          </w:tcPr>
          <w:p w14:paraId="5E182DC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14:paraId="5D056586">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3EB9ADF4">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68" w:type="dxa"/>
            <w:tcBorders>
              <w:top w:val="nil"/>
              <w:left w:val="nil"/>
              <w:bottom w:val="single" w:color="000000" w:sz="4" w:space="0"/>
              <w:right w:val="single" w:color="000000" w:sz="4" w:space="0"/>
            </w:tcBorders>
            <w:shd w:val="clear" w:color="auto" w:fill="auto"/>
            <w:noWrap/>
            <w:vAlign w:val="center"/>
          </w:tcPr>
          <w:p w14:paraId="1CCB1A4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75" w:type="dxa"/>
            <w:tcBorders>
              <w:top w:val="nil"/>
              <w:left w:val="nil"/>
              <w:bottom w:val="single" w:color="000000" w:sz="4" w:space="0"/>
              <w:right w:val="single" w:color="000000" w:sz="4" w:space="0"/>
            </w:tcBorders>
            <w:shd w:val="clear" w:color="auto" w:fill="auto"/>
            <w:noWrap/>
            <w:vAlign w:val="center"/>
          </w:tcPr>
          <w:p w14:paraId="49FF9157">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143.75</w:t>
            </w:r>
          </w:p>
        </w:tc>
        <w:tc>
          <w:tcPr>
            <w:tcW w:w="4730" w:type="dxa"/>
            <w:tcBorders>
              <w:top w:val="nil"/>
              <w:left w:val="nil"/>
              <w:bottom w:val="single" w:color="000000" w:sz="4" w:space="0"/>
              <w:right w:val="single" w:color="000000" w:sz="4" w:space="0"/>
            </w:tcBorders>
            <w:shd w:val="clear" w:color="auto" w:fill="auto"/>
            <w:noWrap/>
            <w:vAlign w:val="center"/>
          </w:tcPr>
          <w:p w14:paraId="340AE1A2">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68" w:type="dxa"/>
            <w:tcBorders>
              <w:top w:val="nil"/>
              <w:left w:val="nil"/>
              <w:bottom w:val="single" w:color="000000" w:sz="4" w:space="0"/>
              <w:right w:val="single" w:color="000000" w:sz="4" w:space="0"/>
            </w:tcBorders>
            <w:shd w:val="clear" w:color="auto" w:fill="auto"/>
            <w:noWrap/>
            <w:vAlign w:val="center"/>
          </w:tcPr>
          <w:p w14:paraId="1857542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2031" w:type="dxa"/>
            <w:tcBorders>
              <w:top w:val="nil"/>
              <w:left w:val="nil"/>
              <w:bottom w:val="single" w:color="000000" w:sz="4" w:space="0"/>
              <w:right w:val="single" w:color="000000" w:sz="4" w:space="0"/>
            </w:tcBorders>
            <w:shd w:val="clear" w:color="auto" w:fill="auto"/>
            <w:noWrap/>
            <w:vAlign w:val="center"/>
          </w:tcPr>
          <w:p w14:paraId="12E091FE">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108.04</w:t>
            </w:r>
          </w:p>
        </w:tc>
      </w:tr>
      <w:tr w14:paraId="63C88B0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67A37883">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68" w:type="dxa"/>
            <w:tcBorders>
              <w:top w:val="nil"/>
              <w:left w:val="nil"/>
              <w:bottom w:val="single" w:color="000000" w:sz="4" w:space="0"/>
              <w:right w:val="single" w:color="000000" w:sz="4" w:space="0"/>
            </w:tcBorders>
            <w:shd w:val="clear" w:color="auto" w:fill="auto"/>
            <w:noWrap/>
            <w:vAlign w:val="center"/>
          </w:tcPr>
          <w:p w14:paraId="2B8A92E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75" w:type="dxa"/>
            <w:tcBorders>
              <w:top w:val="nil"/>
              <w:left w:val="nil"/>
              <w:bottom w:val="single" w:color="000000" w:sz="4" w:space="0"/>
              <w:right w:val="single" w:color="000000" w:sz="4" w:space="0"/>
            </w:tcBorders>
            <w:shd w:val="clear" w:color="auto" w:fill="auto"/>
            <w:noWrap/>
            <w:vAlign w:val="center"/>
          </w:tcPr>
          <w:p w14:paraId="3AA300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auto" w:fill="auto"/>
            <w:noWrap/>
            <w:vAlign w:val="center"/>
          </w:tcPr>
          <w:p w14:paraId="7C960E14">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68" w:type="dxa"/>
            <w:tcBorders>
              <w:top w:val="nil"/>
              <w:left w:val="nil"/>
              <w:bottom w:val="single" w:color="000000" w:sz="4" w:space="0"/>
              <w:right w:val="single" w:color="000000" w:sz="4" w:space="0"/>
            </w:tcBorders>
            <w:shd w:val="clear" w:color="auto" w:fill="auto"/>
            <w:noWrap/>
            <w:vAlign w:val="center"/>
          </w:tcPr>
          <w:p w14:paraId="63E358E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2031" w:type="dxa"/>
            <w:tcBorders>
              <w:top w:val="nil"/>
              <w:left w:val="nil"/>
              <w:bottom w:val="single" w:color="000000" w:sz="4" w:space="0"/>
              <w:right w:val="single" w:color="000000" w:sz="4" w:space="0"/>
            </w:tcBorders>
            <w:shd w:val="clear" w:color="auto" w:fill="auto"/>
            <w:noWrap/>
            <w:vAlign w:val="center"/>
          </w:tcPr>
          <w:p w14:paraId="7666FED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30A821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5CD159CF">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668" w:type="dxa"/>
            <w:tcBorders>
              <w:top w:val="nil"/>
              <w:left w:val="nil"/>
              <w:bottom w:val="single" w:color="000000" w:sz="4" w:space="0"/>
              <w:right w:val="single" w:color="000000" w:sz="4" w:space="0"/>
            </w:tcBorders>
            <w:shd w:val="clear" w:color="auto" w:fill="auto"/>
            <w:noWrap/>
            <w:vAlign w:val="center"/>
          </w:tcPr>
          <w:p w14:paraId="5812002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675" w:type="dxa"/>
            <w:tcBorders>
              <w:top w:val="nil"/>
              <w:left w:val="nil"/>
              <w:bottom w:val="single" w:color="000000" w:sz="4" w:space="0"/>
              <w:right w:val="single" w:color="000000" w:sz="4" w:space="0"/>
            </w:tcBorders>
            <w:shd w:val="clear" w:color="auto" w:fill="auto"/>
            <w:noWrap/>
            <w:vAlign w:val="center"/>
          </w:tcPr>
          <w:p w14:paraId="104777E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auto" w:fill="auto"/>
            <w:noWrap/>
            <w:vAlign w:val="center"/>
          </w:tcPr>
          <w:p w14:paraId="7C23DDD0">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68" w:type="dxa"/>
            <w:tcBorders>
              <w:top w:val="nil"/>
              <w:left w:val="nil"/>
              <w:bottom w:val="single" w:color="000000" w:sz="4" w:space="0"/>
              <w:right w:val="single" w:color="000000" w:sz="4" w:space="0"/>
            </w:tcBorders>
            <w:shd w:val="clear" w:color="auto" w:fill="auto"/>
            <w:noWrap/>
            <w:vAlign w:val="center"/>
          </w:tcPr>
          <w:p w14:paraId="75E18DC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2031" w:type="dxa"/>
            <w:tcBorders>
              <w:top w:val="nil"/>
              <w:left w:val="nil"/>
              <w:bottom w:val="single" w:color="000000" w:sz="4" w:space="0"/>
              <w:right w:val="single" w:color="000000" w:sz="4" w:space="0"/>
            </w:tcBorders>
            <w:shd w:val="clear" w:color="auto" w:fill="auto"/>
            <w:noWrap/>
            <w:vAlign w:val="center"/>
          </w:tcPr>
          <w:p w14:paraId="43101CF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2DB8139">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7D195155">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668" w:type="dxa"/>
            <w:tcBorders>
              <w:top w:val="nil"/>
              <w:left w:val="nil"/>
              <w:bottom w:val="single" w:color="000000" w:sz="4" w:space="0"/>
              <w:right w:val="single" w:color="000000" w:sz="4" w:space="0"/>
            </w:tcBorders>
            <w:shd w:val="clear" w:color="auto" w:fill="auto"/>
            <w:noWrap/>
            <w:vAlign w:val="center"/>
          </w:tcPr>
          <w:p w14:paraId="02F1331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75" w:type="dxa"/>
            <w:tcBorders>
              <w:top w:val="nil"/>
              <w:left w:val="nil"/>
              <w:bottom w:val="single" w:color="000000" w:sz="4" w:space="0"/>
              <w:right w:val="single" w:color="000000" w:sz="4" w:space="0"/>
            </w:tcBorders>
            <w:shd w:val="clear" w:color="auto" w:fill="auto"/>
            <w:noWrap/>
            <w:vAlign w:val="center"/>
          </w:tcPr>
          <w:p w14:paraId="219354C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auto" w:fill="auto"/>
            <w:noWrap/>
            <w:vAlign w:val="center"/>
          </w:tcPr>
          <w:p w14:paraId="20832C0C">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68" w:type="dxa"/>
            <w:tcBorders>
              <w:top w:val="nil"/>
              <w:left w:val="nil"/>
              <w:bottom w:val="single" w:color="000000" w:sz="4" w:space="0"/>
              <w:right w:val="single" w:color="000000" w:sz="4" w:space="0"/>
            </w:tcBorders>
            <w:shd w:val="clear" w:color="auto" w:fill="auto"/>
            <w:noWrap/>
            <w:vAlign w:val="center"/>
          </w:tcPr>
          <w:p w14:paraId="6682BAF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2031" w:type="dxa"/>
            <w:tcBorders>
              <w:top w:val="nil"/>
              <w:left w:val="nil"/>
              <w:bottom w:val="single" w:color="000000" w:sz="4" w:space="0"/>
              <w:right w:val="single" w:color="000000" w:sz="4" w:space="0"/>
            </w:tcBorders>
            <w:shd w:val="clear" w:color="auto" w:fill="auto"/>
            <w:noWrap/>
            <w:vAlign w:val="center"/>
          </w:tcPr>
          <w:p w14:paraId="5DBA5A7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140F3F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2C19974D">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668" w:type="dxa"/>
            <w:tcBorders>
              <w:top w:val="nil"/>
              <w:left w:val="nil"/>
              <w:bottom w:val="single" w:color="000000" w:sz="4" w:space="0"/>
              <w:right w:val="single" w:color="000000" w:sz="4" w:space="0"/>
            </w:tcBorders>
            <w:shd w:val="clear" w:color="auto" w:fill="auto"/>
            <w:noWrap/>
            <w:vAlign w:val="center"/>
          </w:tcPr>
          <w:p w14:paraId="5BA2286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675" w:type="dxa"/>
            <w:tcBorders>
              <w:top w:val="nil"/>
              <w:left w:val="nil"/>
              <w:bottom w:val="single" w:color="000000" w:sz="4" w:space="0"/>
              <w:right w:val="single" w:color="000000" w:sz="4" w:space="0"/>
            </w:tcBorders>
            <w:shd w:val="clear" w:color="auto" w:fill="auto"/>
            <w:noWrap/>
            <w:vAlign w:val="center"/>
          </w:tcPr>
          <w:p w14:paraId="724755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auto" w:fill="auto"/>
            <w:noWrap/>
            <w:vAlign w:val="center"/>
          </w:tcPr>
          <w:p w14:paraId="2B80527A">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68" w:type="dxa"/>
            <w:tcBorders>
              <w:top w:val="nil"/>
              <w:left w:val="nil"/>
              <w:bottom w:val="single" w:color="000000" w:sz="4" w:space="0"/>
              <w:right w:val="single" w:color="000000" w:sz="4" w:space="0"/>
            </w:tcBorders>
            <w:shd w:val="clear" w:color="auto" w:fill="auto"/>
            <w:noWrap/>
            <w:vAlign w:val="center"/>
          </w:tcPr>
          <w:p w14:paraId="2FA9D35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2031" w:type="dxa"/>
            <w:tcBorders>
              <w:top w:val="nil"/>
              <w:left w:val="nil"/>
              <w:bottom w:val="single" w:color="000000" w:sz="4" w:space="0"/>
              <w:right w:val="single" w:color="000000" w:sz="4" w:space="0"/>
            </w:tcBorders>
            <w:shd w:val="clear" w:color="auto" w:fill="auto"/>
            <w:noWrap/>
            <w:vAlign w:val="center"/>
          </w:tcPr>
          <w:p w14:paraId="767BF44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3AD9F75">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3CBD6845">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668" w:type="dxa"/>
            <w:tcBorders>
              <w:top w:val="nil"/>
              <w:left w:val="nil"/>
              <w:bottom w:val="single" w:color="000000" w:sz="4" w:space="0"/>
              <w:right w:val="single" w:color="000000" w:sz="4" w:space="0"/>
            </w:tcBorders>
            <w:shd w:val="clear" w:color="auto" w:fill="auto"/>
            <w:noWrap/>
            <w:vAlign w:val="center"/>
          </w:tcPr>
          <w:p w14:paraId="471EF72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675" w:type="dxa"/>
            <w:tcBorders>
              <w:top w:val="nil"/>
              <w:left w:val="nil"/>
              <w:bottom w:val="single" w:color="000000" w:sz="4" w:space="0"/>
              <w:right w:val="single" w:color="000000" w:sz="4" w:space="0"/>
            </w:tcBorders>
            <w:shd w:val="clear" w:color="auto" w:fill="auto"/>
            <w:noWrap/>
            <w:vAlign w:val="center"/>
          </w:tcPr>
          <w:p w14:paraId="0D04688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auto" w:fill="auto"/>
            <w:noWrap/>
            <w:vAlign w:val="center"/>
          </w:tcPr>
          <w:p w14:paraId="7B5C8B6B">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68" w:type="dxa"/>
            <w:tcBorders>
              <w:top w:val="nil"/>
              <w:left w:val="nil"/>
              <w:bottom w:val="single" w:color="000000" w:sz="4" w:space="0"/>
              <w:right w:val="single" w:color="000000" w:sz="4" w:space="0"/>
            </w:tcBorders>
            <w:shd w:val="clear" w:color="auto" w:fill="auto"/>
            <w:noWrap/>
            <w:vAlign w:val="center"/>
          </w:tcPr>
          <w:p w14:paraId="1A7A05D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2031" w:type="dxa"/>
            <w:tcBorders>
              <w:top w:val="nil"/>
              <w:left w:val="nil"/>
              <w:bottom w:val="single" w:color="000000" w:sz="4" w:space="0"/>
              <w:right w:val="single" w:color="000000" w:sz="4" w:space="0"/>
            </w:tcBorders>
            <w:shd w:val="clear" w:color="auto" w:fill="auto"/>
            <w:noWrap/>
            <w:vAlign w:val="center"/>
          </w:tcPr>
          <w:p w14:paraId="3AAC1E8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F669F94">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0A01C748">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668" w:type="dxa"/>
            <w:tcBorders>
              <w:top w:val="nil"/>
              <w:left w:val="nil"/>
              <w:bottom w:val="single" w:color="000000" w:sz="4" w:space="0"/>
              <w:right w:val="single" w:color="000000" w:sz="4" w:space="0"/>
            </w:tcBorders>
            <w:shd w:val="clear" w:color="auto" w:fill="auto"/>
            <w:noWrap/>
            <w:vAlign w:val="center"/>
          </w:tcPr>
          <w:p w14:paraId="6411B7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675" w:type="dxa"/>
            <w:tcBorders>
              <w:top w:val="nil"/>
              <w:left w:val="nil"/>
              <w:bottom w:val="single" w:color="000000" w:sz="4" w:space="0"/>
              <w:right w:val="single" w:color="000000" w:sz="4" w:space="0"/>
            </w:tcBorders>
            <w:shd w:val="clear" w:color="auto" w:fill="auto"/>
            <w:noWrap/>
            <w:vAlign w:val="center"/>
          </w:tcPr>
          <w:p w14:paraId="4CC2F90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auto" w:fill="auto"/>
            <w:noWrap/>
            <w:vAlign w:val="center"/>
          </w:tcPr>
          <w:p w14:paraId="1F821945">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68" w:type="dxa"/>
            <w:tcBorders>
              <w:top w:val="nil"/>
              <w:left w:val="nil"/>
              <w:bottom w:val="single" w:color="000000" w:sz="4" w:space="0"/>
              <w:right w:val="single" w:color="000000" w:sz="4" w:space="0"/>
            </w:tcBorders>
            <w:shd w:val="clear" w:color="auto" w:fill="auto"/>
            <w:noWrap/>
            <w:vAlign w:val="center"/>
          </w:tcPr>
          <w:p w14:paraId="591CAD4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2031" w:type="dxa"/>
            <w:tcBorders>
              <w:top w:val="nil"/>
              <w:left w:val="nil"/>
              <w:bottom w:val="single" w:color="000000" w:sz="4" w:space="0"/>
              <w:right w:val="single" w:color="000000" w:sz="4" w:space="0"/>
            </w:tcBorders>
            <w:shd w:val="clear" w:color="auto" w:fill="auto"/>
            <w:noWrap/>
            <w:vAlign w:val="center"/>
          </w:tcPr>
          <w:p w14:paraId="51D9EF6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130DE4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160F2C7A">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668" w:type="dxa"/>
            <w:tcBorders>
              <w:top w:val="nil"/>
              <w:left w:val="nil"/>
              <w:bottom w:val="single" w:color="000000" w:sz="4" w:space="0"/>
              <w:right w:val="single" w:color="000000" w:sz="4" w:space="0"/>
            </w:tcBorders>
            <w:shd w:val="clear" w:color="auto" w:fill="auto"/>
            <w:noWrap/>
            <w:vAlign w:val="center"/>
          </w:tcPr>
          <w:p w14:paraId="6DFDDF0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675" w:type="dxa"/>
            <w:tcBorders>
              <w:top w:val="nil"/>
              <w:left w:val="nil"/>
              <w:bottom w:val="single" w:color="000000" w:sz="4" w:space="0"/>
              <w:right w:val="single" w:color="000000" w:sz="4" w:space="0"/>
            </w:tcBorders>
            <w:shd w:val="clear" w:color="auto" w:fill="auto"/>
            <w:noWrap/>
            <w:vAlign w:val="center"/>
          </w:tcPr>
          <w:p w14:paraId="7EA145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auto" w:fill="auto"/>
            <w:noWrap/>
            <w:vAlign w:val="center"/>
          </w:tcPr>
          <w:p w14:paraId="4055B166">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68" w:type="dxa"/>
            <w:tcBorders>
              <w:top w:val="nil"/>
              <w:left w:val="nil"/>
              <w:bottom w:val="single" w:color="000000" w:sz="4" w:space="0"/>
              <w:right w:val="single" w:color="000000" w:sz="4" w:space="0"/>
            </w:tcBorders>
            <w:shd w:val="clear" w:color="auto" w:fill="auto"/>
            <w:noWrap/>
            <w:vAlign w:val="center"/>
          </w:tcPr>
          <w:p w14:paraId="2E50776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2031" w:type="dxa"/>
            <w:tcBorders>
              <w:top w:val="nil"/>
              <w:left w:val="nil"/>
              <w:bottom w:val="single" w:color="000000" w:sz="4" w:space="0"/>
              <w:right w:val="single" w:color="000000" w:sz="4" w:space="0"/>
            </w:tcBorders>
            <w:shd w:val="clear" w:color="auto" w:fill="auto"/>
            <w:noWrap/>
            <w:vAlign w:val="center"/>
          </w:tcPr>
          <w:p w14:paraId="3EC4379C">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12.52</w:t>
            </w:r>
          </w:p>
        </w:tc>
      </w:tr>
      <w:tr w14:paraId="58673B7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583BBEB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345B3CF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675" w:type="dxa"/>
            <w:tcBorders>
              <w:top w:val="nil"/>
              <w:left w:val="nil"/>
              <w:bottom w:val="single" w:color="000000" w:sz="4" w:space="0"/>
              <w:right w:val="single" w:color="000000" w:sz="4" w:space="0"/>
            </w:tcBorders>
            <w:shd w:val="clear" w:color="auto" w:fill="auto"/>
            <w:noWrap/>
            <w:vAlign w:val="center"/>
          </w:tcPr>
          <w:p w14:paraId="75D549C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0EE08112">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68" w:type="dxa"/>
            <w:tcBorders>
              <w:top w:val="nil"/>
              <w:left w:val="nil"/>
              <w:bottom w:val="single" w:color="000000" w:sz="4" w:space="0"/>
              <w:right w:val="single" w:color="000000" w:sz="4" w:space="0"/>
            </w:tcBorders>
            <w:shd w:val="clear" w:color="auto" w:fill="auto"/>
            <w:noWrap/>
            <w:vAlign w:val="center"/>
          </w:tcPr>
          <w:p w14:paraId="67E3689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2031" w:type="dxa"/>
            <w:tcBorders>
              <w:top w:val="nil"/>
              <w:left w:val="nil"/>
              <w:bottom w:val="single" w:color="000000" w:sz="4" w:space="0"/>
              <w:right w:val="single" w:color="000000" w:sz="4" w:space="0"/>
            </w:tcBorders>
            <w:shd w:val="clear" w:color="auto" w:fill="auto"/>
            <w:noWrap/>
            <w:vAlign w:val="center"/>
          </w:tcPr>
          <w:p w14:paraId="71C96420">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4.93</w:t>
            </w:r>
          </w:p>
        </w:tc>
      </w:tr>
      <w:tr w14:paraId="563A2744">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3952A02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33CBB3A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675" w:type="dxa"/>
            <w:tcBorders>
              <w:top w:val="nil"/>
              <w:left w:val="nil"/>
              <w:bottom w:val="single" w:color="000000" w:sz="4" w:space="0"/>
              <w:right w:val="single" w:color="000000" w:sz="4" w:space="0"/>
            </w:tcBorders>
            <w:shd w:val="clear" w:color="auto" w:fill="auto"/>
            <w:noWrap/>
            <w:vAlign w:val="center"/>
          </w:tcPr>
          <w:p w14:paraId="55BE03E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14E2F1E1">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68" w:type="dxa"/>
            <w:tcBorders>
              <w:top w:val="nil"/>
              <w:left w:val="nil"/>
              <w:bottom w:val="single" w:color="000000" w:sz="4" w:space="0"/>
              <w:right w:val="single" w:color="000000" w:sz="4" w:space="0"/>
            </w:tcBorders>
            <w:shd w:val="clear" w:color="auto" w:fill="auto"/>
            <w:noWrap/>
            <w:vAlign w:val="center"/>
          </w:tcPr>
          <w:p w14:paraId="0C77346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2031" w:type="dxa"/>
            <w:tcBorders>
              <w:top w:val="nil"/>
              <w:left w:val="nil"/>
              <w:bottom w:val="single" w:color="000000" w:sz="4" w:space="0"/>
              <w:right w:val="single" w:color="000000" w:sz="4" w:space="0"/>
            </w:tcBorders>
            <w:shd w:val="clear" w:color="auto" w:fill="auto"/>
            <w:noWrap/>
            <w:vAlign w:val="center"/>
          </w:tcPr>
          <w:p w14:paraId="7CE640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ED2EAB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052317D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000E55E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675" w:type="dxa"/>
            <w:tcBorders>
              <w:top w:val="nil"/>
              <w:left w:val="nil"/>
              <w:bottom w:val="single" w:color="000000" w:sz="4" w:space="0"/>
              <w:right w:val="single" w:color="000000" w:sz="4" w:space="0"/>
            </w:tcBorders>
            <w:shd w:val="clear" w:color="auto" w:fill="auto"/>
            <w:noWrap/>
            <w:vAlign w:val="center"/>
          </w:tcPr>
          <w:p w14:paraId="24F3124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6A736271">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68" w:type="dxa"/>
            <w:tcBorders>
              <w:top w:val="nil"/>
              <w:left w:val="nil"/>
              <w:bottom w:val="single" w:color="000000" w:sz="4" w:space="0"/>
              <w:right w:val="single" w:color="000000" w:sz="4" w:space="0"/>
            </w:tcBorders>
            <w:shd w:val="clear" w:color="auto" w:fill="auto"/>
            <w:noWrap/>
            <w:vAlign w:val="center"/>
          </w:tcPr>
          <w:p w14:paraId="462EB07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2031" w:type="dxa"/>
            <w:tcBorders>
              <w:top w:val="nil"/>
              <w:left w:val="nil"/>
              <w:bottom w:val="single" w:color="000000" w:sz="4" w:space="0"/>
              <w:right w:val="single" w:color="000000" w:sz="4" w:space="0"/>
            </w:tcBorders>
            <w:shd w:val="clear" w:color="auto" w:fill="auto"/>
            <w:noWrap/>
            <w:vAlign w:val="center"/>
          </w:tcPr>
          <w:p w14:paraId="4E942D7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7A4237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497691B6">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4F9DE71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675" w:type="dxa"/>
            <w:tcBorders>
              <w:top w:val="nil"/>
              <w:left w:val="nil"/>
              <w:bottom w:val="single" w:color="000000" w:sz="4" w:space="0"/>
              <w:right w:val="single" w:color="000000" w:sz="4" w:space="0"/>
            </w:tcBorders>
            <w:shd w:val="clear" w:color="auto" w:fill="auto"/>
            <w:noWrap/>
            <w:vAlign w:val="center"/>
          </w:tcPr>
          <w:p w14:paraId="3914BBF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4F659844">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68" w:type="dxa"/>
            <w:tcBorders>
              <w:top w:val="nil"/>
              <w:left w:val="nil"/>
              <w:bottom w:val="single" w:color="000000" w:sz="4" w:space="0"/>
              <w:right w:val="single" w:color="000000" w:sz="4" w:space="0"/>
            </w:tcBorders>
            <w:shd w:val="clear" w:color="auto" w:fill="auto"/>
            <w:noWrap/>
            <w:vAlign w:val="center"/>
          </w:tcPr>
          <w:p w14:paraId="15E2EA8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2031" w:type="dxa"/>
            <w:tcBorders>
              <w:top w:val="nil"/>
              <w:left w:val="nil"/>
              <w:bottom w:val="single" w:color="000000" w:sz="4" w:space="0"/>
              <w:right w:val="single" w:color="000000" w:sz="4" w:space="0"/>
            </w:tcBorders>
            <w:shd w:val="clear" w:color="auto" w:fill="auto"/>
            <w:noWrap/>
            <w:vAlign w:val="center"/>
          </w:tcPr>
          <w:p w14:paraId="3025E730">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w:t>
            </w:r>
          </w:p>
        </w:tc>
      </w:tr>
      <w:tr w14:paraId="18E4416F">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14B1804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5D4BE1C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675" w:type="dxa"/>
            <w:tcBorders>
              <w:top w:val="nil"/>
              <w:left w:val="nil"/>
              <w:bottom w:val="single" w:color="000000" w:sz="4" w:space="0"/>
              <w:right w:val="single" w:color="000000" w:sz="4" w:space="0"/>
            </w:tcBorders>
            <w:shd w:val="clear" w:color="auto" w:fill="auto"/>
            <w:noWrap/>
            <w:vAlign w:val="center"/>
          </w:tcPr>
          <w:p w14:paraId="1EF4024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52527803">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68" w:type="dxa"/>
            <w:tcBorders>
              <w:top w:val="nil"/>
              <w:left w:val="nil"/>
              <w:bottom w:val="single" w:color="000000" w:sz="4" w:space="0"/>
              <w:right w:val="single" w:color="000000" w:sz="4" w:space="0"/>
            </w:tcBorders>
            <w:shd w:val="clear" w:color="auto" w:fill="auto"/>
            <w:noWrap/>
            <w:vAlign w:val="center"/>
          </w:tcPr>
          <w:p w14:paraId="0FBB338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2031" w:type="dxa"/>
            <w:tcBorders>
              <w:top w:val="nil"/>
              <w:left w:val="nil"/>
              <w:bottom w:val="single" w:color="000000" w:sz="4" w:space="0"/>
              <w:right w:val="single" w:color="000000" w:sz="4" w:space="0"/>
            </w:tcBorders>
            <w:shd w:val="clear" w:color="auto" w:fill="auto"/>
            <w:noWrap/>
            <w:vAlign w:val="center"/>
          </w:tcPr>
          <w:p w14:paraId="6F01296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1B2F0D3">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07C2383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53A2201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675" w:type="dxa"/>
            <w:tcBorders>
              <w:top w:val="nil"/>
              <w:left w:val="nil"/>
              <w:bottom w:val="single" w:color="000000" w:sz="4" w:space="0"/>
              <w:right w:val="single" w:color="000000" w:sz="4" w:space="0"/>
            </w:tcBorders>
            <w:shd w:val="clear" w:color="auto" w:fill="auto"/>
            <w:noWrap/>
            <w:vAlign w:val="center"/>
          </w:tcPr>
          <w:p w14:paraId="30B7150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486C731D">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668" w:type="dxa"/>
            <w:tcBorders>
              <w:top w:val="nil"/>
              <w:left w:val="nil"/>
              <w:bottom w:val="single" w:color="000000" w:sz="4" w:space="0"/>
              <w:right w:val="single" w:color="000000" w:sz="4" w:space="0"/>
            </w:tcBorders>
            <w:shd w:val="clear" w:color="auto" w:fill="auto"/>
            <w:noWrap/>
            <w:vAlign w:val="center"/>
          </w:tcPr>
          <w:p w14:paraId="4FCC032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2031" w:type="dxa"/>
            <w:tcBorders>
              <w:top w:val="nil"/>
              <w:left w:val="nil"/>
              <w:bottom w:val="single" w:color="000000" w:sz="4" w:space="0"/>
              <w:right w:val="single" w:color="000000" w:sz="4" w:space="0"/>
            </w:tcBorders>
            <w:shd w:val="clear" w:color="auto" w:fill="auto"/>
            <w:noWrap/>
            <w:vAlign w:val="center"/>
          </w:tcPr>
          <w:p w14:paraId="149290E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E9FD65B">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75DD80D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698C870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675" w:type="dxa"/>
            <w:tcBorders>
              <w:top w:val="nil"/>
              <w:left w:val="nil"/>
              <w:bottom w:val="single" w:color="000000" w:sz="4" w:space="0"/>
              <w:right w:val="single" w:color="000000" w:sz="4" w:space="0"/>
            </w:tcBorders>
            <w:shd w:val="clear" w:color="auto" w:fill="auto"/>
            <w:noWrap/>
            <w:vAlign w:val="center"/>
          </w:tcPr>
          <w:p w14:paraId="5BEAE0A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0C7B9D44">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68" w:type="dxa"/>
            <w:tcBorders>
              <w:top w:val="nil"/>
              <w:left w:val="nil"/>
              <w:bottom w:val="single" w:color="000000" w:sz="4" w:space="0"/>
              <w:right w:val="single" w:color="000000" w:sz="4" w:space="0"/>
            </w:tcBorders>
            <w:shd w:val="clear" w:color="auto" w:fill="auto"/>
            <w:noWrap/>
            <w:vAlign w:val="center"/>
          </w:tcPr>
          <w:p w14:paraId="30F9BCD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2031" w:type="dxa"/>
            <w:tcBorders>
              <w:top w:val="nil"/>
              <w:left w:val="nil"/>
              <w:bottom w:val="single" w:color="000000" w:sz="4" w:space="0"/>
              <w:right w:val="single" w:color="000000" w:sz="4" w:space="0"/>
            </w:tcBorders>
            <w:shd w:val="clear" w:color="auto" w:fill="auto"/>
            <w:noWrap/>
            <w:vAlign w:val="center"/>
          </w:tcPr>
          <w:p w14:paraId="4C62AFFF">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2.56</w:t>
            </w:r>
          </w:p>
        </w:tc>
      </w:tr>
      <w:tr w14:paraId="23054BD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5792FCC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039557C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675" w:type="dxa"/>
            <w:tcBorders>
              <w:top w:val="nil"/>
              <w:left w:val="nil"/>
              <w:bottom w:val="single" w:color="000000" w:sz="4" w:space="0"/>
              <w:right w:val="single" w:color="000000" w:sz="4" w:space="0"/>
            </w:tcBorders>
            <w:shd w:val="clear" w:color="auto" w:fill="auto"/>
            <w:noWrap/>
            <w:vAlign w:val="center"/>
          </w:tcPr>
          <w:p w14:paraId="7A4F6AF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1E416DC5">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68" w:type="dxa"/>
            <w:tcBorders>
              <w:top w:val="nil"/>
              <w:left w:val="nil"/>
              <w:bottom w:val="single" w:color="000000" w:sz="4" w:space="0"/>
              <w:right w:val="single" w:color="000000" w:sz="4" w:space="0"/>
            </w:tcBorders>
            <w:shd w:val="clear" w:color="auto" w:fill="auto"/>
            <w:noWrap/>
            <w:vAlign w:val="center"/>
          </w:tcPr>
          <w:p w14:paraId="0535A80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2031" w:type="dxa"/>
            <w:tcBorders>
              <w:top w:val="nil"/>
              <w:left w:val="nil"/>
              <w:bottom w:val="single" w:color="000000" w:sz="4" w:space="0"/>
              <w:right w:val="single" w:color="000000" w:sz="4" w:space="0"/>
            </w:tcBorders>
            <w:shd w:val="clear" w:color="auto" w:fill="auto"/>
            <w:noWrap/>
            <w:vAlign w:val="center"/>
          </w:tcPr>
          <w:p w14:paraId="03A4E6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852DA3F">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64EE4CC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2BE3B14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675" w:type="dxa"/>
            <w:tcBorders>
              <w:top w:val="nil"/>
              <w:left w:val="nil"/>
              <w:bottom w:val="single" w:color="000000" w:sz="4" w:space="0"/>
              <w:right w:val="single" w:color="000000" w:sz="4" w:space="0"/>
            </w:tcBorders>
            <w:shd w:val="clear" w:color="auto" w:fill="auto"/>
            <w:noWrap/>
            <w:vAlign w:val="center"/>
          </w:tcPr>
          <w:p w14:paraId="7DA7D9E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769013EE">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68" w:type="dxa"/>
            <w:tcBorders>
              <w:top w:val="nil"/>
              <w:left w:val="nil"/>
              <w:bottom w:val="single" w:color="000000" w:sz="4" w:space="0"/>
              <w:right w:val="single" w:color="000000" w:sz="4" w:space="0"/>
            </w:tcBorders>
            <w:shd w:val="clear" w:color="auto" w:fill="auto"/>
            <w:noWrap/>
            <w:vAlign w:val="center"/>
          </w:tcPr>
          <w:p w14:paraId="6E1A752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2031" w:type="dxa"/>
            <w:tcBorders>
              <w:top w:val="nil"/>
              <w:left w:val="nil"/>
              <w:bottom w:val="single" w:color="000000" w:sz="4" w:space="0"/>
              <w:right w:val="single" w:color="000000" w:sz="4" w:space="0"/>
            </w:tcBorders>
            <w:shd w:val="clear" w:color="auto" w:fill="auto"/>
            <w:noWrap/>
            <w:vAlign w:val="center"/>
          </w:tcPr>
          <w:p w14:paraId="75B5452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6E2A9CE">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2405717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603C5D9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675" w:type="dxa"/>
            <w:tcBorders>
              <w:top w:val="nil"/>
              <w:left w:val="nil"/>
              <w:bottom w:val="single" w:color="000000" w:sz="4" w:space="0"/>
              <w:right w:val="single" w:color="000000" w:sz="4" w:space="0"/>
            </w:tcBorders>
            <w:shd w:val="clear" w:color="auto" w:fill="auto"/>
            <w:noWrap/>
            <w:vAlign w:val="center"/>
          </w:tcPr>
          <w:p w14:paraId="63432C8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18303FA4">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68" w:type="dxa"/>
            <w:tcBorders>
              <w:top w:val="nil"/>
              <w:left w:val="nil"/>
              <w:bottom w:val="single" w:color="000000" w:sz="4" w:space="0"/>
              <w:right w:val="single" w:color="000000" w:sz="4" w:space="0"/>
            </w:tcBorders>
            <w:shd w:val="clear" w:color="auto" w:fill="auto"/>
            <w:noWrap/>
            <w:vAlign w:val="center"/>
          </w:tcPr>
          <w:p w14:paraId="2A093AC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2031" w:type="dxa"/>
            <w:tcBorders>
              <w:top w:val="nil"/>
              <w:left w:val="nil"/>
              <w:bottom w:val="single" w:color="000000" w:sz="4" w:space="0"/>
              <w:right w:val="single" w:color="000000" w:sz="4" w:space="0"/>
            </w:tcBorders>
            <w:shd w:val="clear" w:color="auto" w:fill="auto"/>
            <w:noWrap/>
            <w:vAlign w:val="center"/>
          </w:tcPr>
          <w:p w14:paraId="3E9A954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3DD8E26">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554E582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5975831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675" w:type="dxa"/>
            <w:tcBorders>
              <w:top w:val="nil"/>
              <w:left w:val="nil"/>
              <w:bottom w:val="single" w:color="000000" w:sz="4" w:space="0"/>
              <w:right w:val="single" w:color="000000" w:sz="4" w:space="0"/>
            </w:tcBorders>
            <w:shd w:val="clear" w:color="auto" w:fill="auto"/>
            <w:noWrap/>
            <w:vAlign w:val="center"/>
          </w:tcPr>
          <w:p w14:paraId="50EB96D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2D6C5DEA">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68" w:type="dxa"/>
            <w:tcBorders>
              <w:top w:val="nil"/>
              <w:left w:val="nil"/>
              <w:bottom w:val="single" w:color="000000" w:sz="4" w:space="0"/>
              <w:right w:val="single" w:color="000000" w:sz="4" w:space="0"/>
            </w:tcBorders>
            <w:shd w:val="clear" w:color="auto" w:fill="auto"/>
            <w:noWrap/>
            <w:vAlign w:val="center"/>
          </w:tcPr>
          <w:p w14:paraId="69FD845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2031" w:type="dxa"/>
            <w:tcBorders>
              <w:top w:val="nil"/>
              <w:left w:val="nil"/>
              <w:bottom w:val="single" w:color="000000" w:sz="4" w:space="0"/>
              <w:right w:val="single" w:color="000000" w:sz="4" w:space="0"/>
            </w:tcBorders>
            <w:shd w:val="clear" w:color="auto" w:fill="auto"/>
            <w:noWrap/>
            <w:vAlign w:val="center"/>
          </w:tcPr>
          <w:p w14:paraId="2A3F008E">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4.79</w:t>
            </w:r>
          </w:p>
        </w:tc>
      </w:tr>
      <w:tr w14:paraId="713D57A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4D8DF1D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698A570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675" w:type="dxa"/>
            <w:tcBorders>
              <w:top w:val="nil"/>
              <w:left w:val="nil"/>
              <w:bottom w:val="single" w:color="000000" w:sz="4" w:space="0"/>
              <w:right w:val="single" w:color="000000" w:sz="4" w:space="0"/>
            </w:tcBorders>
            <w:shd w:val="clear" w:color="auto" w:fill="auto"/>
            <w:noWrap/>
            <w:vAlign w:val="center"/>
          </w:tcPr>
          <w:p w14:paraId="4381234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3B4C1407">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68" w:type="dxa"/>
            <w:tcBorders>
              <w:top w:val="nil"/>
              <w:left w:val="nil"/>
              <w:bottom w:val="single" w:color="000000" w:sz="4" w:space="0"/>
              <w:right w:val="single" w:color="000000" w:sz="4" w:space="0"/>
            </w:tcBorders>
            <w:shd w:val="clear" w:color="auto" w:fill="auto"/>
            <w:noWrap/>
            <w:vAlign w:val="center"/>
          </w:tcPr>
          <w:p w14:paraId="0D78627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2031" w:type="dxa"/>
            <w:tcBorders>
              <w:top w:val="nil"/>
              <w:left w:val="nil"/>
              <w:bottom w:val="single" w:color="000000" w:sz="4" w:space="0"/>
              <w:right w:val="single" w:color="000000" w:sz="4" w:space="0"/>
            </w:tcBorders>
            <w:shd w:val="clear" w:color="auto" w:fill="auto"/>
            <w:noWrap/>
            <w:vAlign w:val="center"/>
          </w:tcPr>
          <w:p w14:paraId="32748AA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87B1C77">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5367BEB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098E46F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675" w:type="dxa"/>
            <w:tcBorders>
              <w:top w:val="nil"/>
              <w:left w:val="nil"/>
              <w:bottom w:val="single" w:color="000000" w:sz="4" w:space="0"/>
              <w:right w:val="single" w:color="000000" w:sz="4" w:space="0"/>
            </w:tcBorders>
            <w:shd w:val="clear" w:color="auto" w:fill="auto"/>
            <w:noWrap/>
            <w:vAlign w:val="center"/>
          </w:tcPr>
          <w:p w14:paraId="0FE3F53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3B8F969D">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668" w:type="dxa"/>
            <w:tcBorders>
              <w:top w:val="nil"/>
              <w:left w:val="nil"/>
              <w:bottom w:val="single" w:color="000000" w:sz="4" w:space="0"/>
              <w:right w:val="single" w:color="000000" w:sz="4" w:space="0"/>
            </w:tcBorders>
            <w:shd w:val="clear" w:color="auto" w:fill="auto"/>
            <w:noWrap/>
            <w:vAlign w:val="center"/>
          </w:tcPr>
          <w:p w14:paraId="45A233A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2031" w:type="dxa"/>
            <w:tcBorders>
              <w:top w:val="nil"/>
              <w:left w:val="nil"/>
              <w:bottom w:val="single" w:color="000000" w:sz="4" w:space="0"/>
              <w:right w:val="single" w:color="000000" w:sz="4" w:space="0"/>
            </w:tcBorders>
            <w:shd w:val="clear" w:color="auto" w:fill="auto"/>
            <w:noWrap/>
            <w:vAlign w:val="center"/>
          </w:tcPr>
          <w:p w14:paraId="0BFC046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A0429E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060EE2B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482318B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675" w:type="dxa"/>
            <w:tcBorders>
              <w:top w:val="nil"/>
              <w:left w:val="nil"/>
              <w:bottom w:val="single" w:color="000000" w:sz="4" w:space="0"/>
              <w:right w:val="single" w:color="000000" w:sz="4" w:space="0"/>
            </w:tcBorders>
            <w:shd w:val="clear" w:color="auto" w:fill="auto"/>
            <w:noWrap/>
            <w:vAlign w:val="center"/>
          </w:tcPr>
          <w:p w14:paraId="0347EC2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558D0C8E">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668" w:type="dxa"/>
            <w:tcBorders>
              <w:top w:val="nil"/>
              <w:left w:val="nil"/>
              <w:bottom w:val="single" w:color="000000" w:sz="4" w:space="0"/>
              <w:right w:val="single" w:color="000000" w:sz="4" w:space="0"/>
            </w:tcBorders>
            <w:shd w:val="clear" w:color="auto" w:fill="auto"/>
            <w:noWrap/>
            <w:vAlign w:val="center"/>
          </w:tcPr>
          <w:p w14:paraId="58384C8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2031" w:type="dxa"/>
            <w:tcBorders>
              <w:top w:val="nil"/>
              <w:left w:val="nil"/>
              <w:bottom w:val="single" w:color="000000" w:sz="4" w:space="0"/>
              <w:right w:val="single" w:color="000000" w:sz="4" w:space="0"/>
            </w:tcBorders>
            <w:shd w:val="clear" w:color="auto" w:fill="auto"/>
            <w:noWrap/>
            <w:vAlign w:val="center"/>
          </w:tcPr>
          <w:p w14:paraId="2C1C1D0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CC89DF9">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2129FEE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4D654A0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675" w:type="dxa"/>
            <w:tcBorders>
              <w:top w:val="nil"/>
              <w:left w:val="nil"/>
              <w:bottom w:val="single" w:color="000000" w:sz="4" w:space="0"/>
              <w:right w:val="single" w:color="000000" w:sz="4" w:space="0"/>
            </w:tcBorders>
            <w:shd w:val="clear" w:color="auto" w:fill="auto"/>
            <w:noWrap/>
            <w:vAlign w:val="center"/>
          </w:tcPr>
          <w:p w14:paraId="644998F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56DE7ABB">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668" w:type="dxa"/>
            <w:tcBorders>
              <w:top w:val="nil"/>
              <w:left w:val="nil"/>
              <w:bottom w:val="single" w:color="000000" w:sz="4" w:space="0"/>
              <w:right w:val="single" w:color="000000" w:sz="4" w:space="0"/>
            </w:tcBorders>
            <w:shd w:val="clear" w:color="auto" w:fill="auto"/>
            <w:noWrap/>
            <w:vAlign w:val="center"/>
          </w:tcPr>
          <w:p w14:paraId="5D1CFAD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2031" w:type="dxa"/>
            <w:tcBorders>
              <w:top w:val="nil"/>
              <w:left w:val="nil"/>
              <w:bottom w:val="single" w:color="000000" w:sz="4" w:space="0"/>
              <w:right w:val="single" w:color="000000" w:sz="4" w:space="0"/>
            </w:tcBorders>
            <w:shd w:val="clear" w:color="auto" w:fill="auto"/>
            <w:noWrap/>
            <w:vAlign w:val="center"/>
          </w:tcPr>
          <w:p w14:paraId="366177B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5A7A9DD">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7C283D3D">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668" w:type="dxa"/>
            <w:tcBorders>
              <w:top w:val="nil"/>
              <w:left w:val="nil"/>
              <w:bottom w:val="single" w:color="000000" w:sz="4" w:space="0"/>
              <w:right w:val="single" w:color="000000" w:sz="4" w:space="0"/>
            </w:tcBorders>
            <w:shd w:val="clear" w:color="auto" w:fill="auto"/>
            <w:noWrap/>
            <w:vAlign w:val="center"/>
          </w:tcPr>
          <w:p w14:paraId="36B7DFC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675" w:type="dxa"/>
            <w:tcBorders>
              <w:top w:val="nil"/>
              <w:left w:val="nil"/>
              <w:bottom w:val="single" w:color="000000" w:sz="4" w:space="0"/>
              <w:right w:val="single" w:color="000000" w:sz="4" w:space="0"/>
            </w:tcBorders>
            <w:shd w:val="clear" w:color="auto" w:fill="auto"/>
            <w:noWrap/>
            <w:vAlign w:val="center"/>
          </w:tcPr>
          <w:p w14:paraId="66F679D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30" w:type="dxa"/>
            <w:tcBorders>
              <w:top w:val="nil"/>
              <w:left w:val="nil"/>
              <w:bottom w:val="single" w:color="000000" w:sz="4" w:space="0"/>
              <w:right w:val="single" w:color="000000" w:sz="4" w:space="0"/>
            </w:tcBorders>
            <w:shd w:val="clear" w:color="auto" w:fill="auto"/>
            <w:noWrap/>
            <w:vAlign w:val="center"/>
          </w:tcPr>
          <w:p w14:paraId="4FB3689C">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668" w:type="dxa"/>
            <w:tcBorders>
              <w:top w:val="nil"/>
              <w:left w:val="nil"/>
              <w:bottom w:val="single" w:color="000000" w:sz="4" w:space="0"/>
              <w:right w:val="single" w:color="000000" w:sz="4" w:space="0"/>
            </w:tcBorders>
            <w:shd w:val="clear" w:color="auto" w:fill="auto"/>
            <w:noWrap/>
            <w:vAlign w:val="center"/>
          </w:tcPr>
          <w:p w14:paraId="70153DF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2031" w:type="dxa"/>
            <w:tcBorders>
              <w:top w:val="nil"/>
              <w:left w:val="nil"/>
              <w:bottom w:val="single" w:color="000000" w:sz="4" w:space="0"/>
              <w:right w:val="single" w:color="000000" w:sz="4" w:space="0"/>
            </w:tcBorders>
            <w:shd w:val="clear" w:color="auto" w:fill="auto"/>
            <w:noWrap/>
            <w:vAlign w:val="center"/>
          </w:tcPr>
          <w:p w14:paraId="60107AA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B6C4614">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410FDC2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8" w:type="dxa"/>
            <w:tcBorders>
              <w:top w:val="nil"/>
              <w:left w:val="nil"/>
              <w:bottom w:val="single" w:color="000000" w:sz="4" w:space="0"/>
              <w:right w:val="single" w:color="000000" w:sz="4" w:space="0"/>
            </w:tcBorders>
            <w:shd w:val="clear" w:color="auto" w:fill="auto"/>
            <w:noWrap/>
            <w:vAlign w:val="center"/>
          </w:tcPr>
          <w:p w14:paraId="56D8464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675" w:type="dxa"/>
            <w:tcBorders>
              <w:top w:val="nil"/>
              <w:left w:val="nil"/>
              <w:bottom w:val="single" w:color="000000" w:sz="4" w:space="0"/>
              <w:right w:val="single" w:color="000000" w:sz="4" w:space="0"/>
            </w:tcBorders>
            <w:shd w:val="clear" w:color="auto" w:fill="auto"/>
            <w:noWrap/>
            <w:vAlign w:val="center"/>
          </w:tcPr>
          <w:p w14:paraId="43357C5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30" w:type="dxa"/>
            <w:tcBorders>
              <w:top w:val="nil"/>
              <w:left w:val="nil"/>
              <w:bottom w:val="single" w:color="000000" w:sz="4" w:space="0"/>
              <w:right w:val="single" w:color="000000" w:sz="4" w:space="0"/>
            </w:tcBorders>
            <w:shd w:val="clear" w:color="auto" w:fill="auto"/>
            <w:noWrap/>
            <w:vAlign w:val="center"/>
          </w:tcPr>
          <w:p w14:paraId="4C97FC1B">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668" w:type="dxa"/>
            <w:tcBorders>
              <w:top w:val="nil"/>
              <w:left w:val="nil"/>
              <w:bottom w:val="single" w:color="000000" w:sz="4" w:space="0"/>
              <w:right w:val="single" w:color="000000" w:sz="4" w:space="0"/>
            </w:tcBorders>
            <w:shd w:val="clear" w:color="auto" w:fill="auto"/>
            <w:noWrap/>
            <w:vAlign w:val="center"/>
          </w:tcPr>
          <w:p w14:paraId="2A6832C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2031" w:type="dxa"/>
            <w:tcBorders>
              <w:top w:val="nil"/>
              <w:left w:val="nil"/>
              <w:bottom w:val="single" w:color="000000" w:sz="4" w:space="0"/>
              <w:right w:val="single" w:color="000000" w:sz="4" w:space="0"/>
            </w:tcBorders>
            <w:shd w:val="clear" w:color="auto" w:fill="auto"/>
            <w:noWrap/>
            <w:vAlign w:val="center"/>
          </w:tcPr>
          <w:p w14:paraId="2985BCA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1E81126">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0C737BB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8" w:type="dxa"/>
            <w:tcBorders>
              <w:top w:val="nil"/>
              <w:left w:val="nil"/>
              <w:bottom w:val="single" w:color="000000" w:sz="4" w:space="0"/>
              <w:right w:val="single" w:color="000000" w:sz="4" w:space="0"/>
            </w:tcBorders>
            <w:shd w:val="clear" w:color="auto" w:fill="auto"/>
            <w:noWrap/>
            <w:vAlign w:val="center"/>
          </w:tcPr>
          <w:p w14:paraId="741D08D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675" w:type="dxa"/>
            <w:tcBorders>
              <w:top w:val="nil"/>
              <w:left w:val="nil"/>
              <w:bottom w:val="single" w:color="000000" w:sz="4" w:space="0"/>
              <w:right w:val="single" w:color="000000" w:sz="4" w:space="0"/>
            </w:tcBorders>
            <w:shd w:val="clear" w:color="auto" w:fill="auto"/>
            <w:noWrap/>
            <w:vAlign w:val="center"/>
          </w:tcPr>
          <w:p w14:paraId="4C17F26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30" w:type="dxa"/>
            <w:tcBorders>
              <w:top w:val="nil"/>
              <w:left w:val="nil"/>
              <w:bottom w:val="single" w:color="000000" w:sz="4" w:space="0"/>
              <w:right w:val="single" w:color="000000" w:sz="4" w:space="0"/>
            </w:tcBorders>
            <w:shd w:val="clear" w:color="auto" w:fill="auto"/>
            <w:noWrap/>
            <w:vAlign w:val="center"/>
          </w:tcPr>
          <w:p w14:paraId="4B2579D1">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668" w:type="dxa"/>
            <w:tcBorders>
              <w:top w:val="nil"/>
              <w:left w:val="nil"/>
              <w:bottom w:val="single" w:color="000000" w:sz="4" w:space="0"/>
              <w:right w:val="single" w:color="000000" w:sz="4" w:space="0"/>
            </w:tcBorders>
            <w:shd w:val="clear" w:color="auto" w:fill="auto"/>
            <w:noWrap/>
            <w:vAlign w:val="center"/>
          </w:tcPr>
          <w:p w14:paraId="7E23369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2031" w:type="dxa"/>
            <w:tcBorders>
              <w:top w:val="nil"/>
              <w:left w:val="nil"/>
              <w:bottom w:val="single" w:color="000000" w:sz="4" w:space="0"/>
              <w:right w:val="single" w:color="000000" w:sz="4" w:space="0"/>
            </w:tcBorders>
            <w:shd w:val="clear" w:color="auto" w:fill="auto"/>
            <w:noWrap/>
            <w:vAlign w:val="center"/>
          </w:tcPr>
          <w:p w14:paraId="584DBEC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A5A625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01EC8D71">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68" w:type="dxa"/>
            <w:tcBorders>
              <w:top w:val="nil"/>
              <w:left w:val="nil"/>
              <w:bottom w:val="single" w:color="000000" w:sz="4" w:space="0"/>
              <w:right w:val="single" w:color="000000" w:sz="4" w:space="0"/>
            </w:tcBorders>
            <w:shd w:val="clear" w:color="auto" w:fill="auto"/>
            <w:noWrap/>
            <w:vAlign w:val="center"/>
          </w:tcPr>
          <w:p w14:paraId="46F20C0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675" w:type="dxa"/>
            <w:tcBorders>
              <w:top w:val="nil"/>
              <w:left w:val="nil"/>
              <w:bottom w:val="single" w:color="000000" w:sz="4" w:space="0"/>
              <w:right w:val="single" w:color="000000" w:sz="4" w:space="0"/>
            </w:tcBorders>
            <w:shd w:val="clear" w:color="auto" w:fill="auto"/>
            <w:noWrap/>
            <w:vAlign w:val="center"/>
          </w:tcPr>
          <w:p w14:paraId="0C4C2E67">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143.75</w:t>
            </w:r>
          </w:p>
        </w:tc>
        <w:tc>
          <w:tcPr>
            <w:tcW w:w="4730" w:type="dxa"/>
            <w:tcBorders>
              <w:top w:val="nil"/>
              <w:left w:val="nil"/>
              <w:bottom w:val="single" w:color="000000" w:sz="4" w:space="0"/>
              <w:right w:val="single" w:color="000000" w:sz="4" w:space="0"/>
            </w:tcBorders>
            <w:shd w:val="clear" w:color="auto" w:fill="auto"/>
            <w:noWrap/>
            <w:vAlign w:val="center"/>
          </w:tcPr>
          <w:p w14:paraId="7273615C">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68" w:type="dxa"/>
            <w:tcBorders>
              <w:top w:val="nil"/>
              <w:left w:val="nil"/>
              <w:bottom w:val="single" w:color="000000" w:sz="4" w:space="0"/>
              <w:right w:val="single" w:color="000000" w:sz="4" w:space="0"/>
            </w:tcBorders>
            <w:shd w:val="clear" w:color="auto" w:fill="auto"/>
            <w:noWrap/>
            <w:vAlign w:val="center"/>
          </w:tcPr>
          <w:p w14:paraId="4F47C03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2031" w:type="dxa"/>
            <w:tcBorders>
              <w:top w:val="nil"/>
              <w:left w:val="nil"/>
              <w:bottom w:val="single" w:color="000000" w:sz="4" w:space="0"/>
              <w:right w:val="single" w:color="000000" w:sz="4" w:space="0"/>
            </w:tcBorders>
            <w:shd w:val="clear" w:color="auto" w:fill="auto"/>
            <w:noWrap/>
            <w:vAlign w:val="center"/>
          </w:tcPr>
          <w:p w14:paraId="309EDE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143.75</w:t>
            </w:r>
          </w:p>
        </w:tc>
      </w:tr>
      <w:tr w14:paraId="24D2C33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7896084D">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68" w:type="dxa"/>
            <w:tcBorders>
              <w:top w:val="nil"/>
              <w:left w:val="nil"/>
              <w:bottom w:val="single" w:color="000000" w:sz="4" w:space="0"/>
              <w:right w:val="single" w:color="000000" w:sz="4" w:space="0"/>
            </w:tcBorders>
            <w:shd w:val="clear" w:color="auto" w:fill="auto"/>
            <w:noWrap/>
            <w:vAlign w:val="center"/>
          </w:tcPr>
          <w:p w14:paraId="2A06873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675" w:type="dxa"/>
            <w:tcBorders>
              <w:top w:val="nil"/>
              <w:left w:val="nil"/>
              <w:bottom w:val="single" w:color="000000" w:sz="4" w:space="0"/>
              <w:right w:val="single" w:color="000000" w:sz="4" w:space="0"/>
            </w:tcBorders>
            <w:shd w:val="clear" w:color="auto" w:fill="auto"/>
            <w:noWrap/>
            <w:vAlign w:val="center"/>
          </w:tcPr>
          <w:p w14:paraId="3A6D6ED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auto" w:fill="auto"/>
            <w:noWrap/>
            <w:vAlign w:val="center"/>
          </w:tcPr>
          <w:p w14:paraId="7046C254">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68" w:type="dxa"/>
            <w:tcBorders>
              <w:top w:val="nil"/>
              <w:left w:val="nil"/>
              <w:bottom w:val="single" w:color="000000" w:sz="4" w:space="0"/>
              <w:right w:val="single" w:color="000000" w:sz="4" w:space="0"/>
            </w:tcBorders>
            <w:shd w:val="clear" w:color="auto" w:fill="auto"/>
            <w:noWrap/>
            <w:vAlign w:val="center"/>
          </w:tcPr>
          <w:p w14:paraId="339213D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2031" w:type="dxa"/>
            <w:tcBorders>
              <w:top w:val="nil"/>
              <w:left w:val="nil"/>
              <w:bottom w:val="single" w:color="000000" w:sz="4" w:space="0"/>
              <w:right w:val="single" w:color="000000" w:sz="4" w:space="0"/>
            </w:tcBorders>
            <w:shd w:val="clear" w:color="auto" w:fill="auto"/>
            <w:noWrap/>
            <w:vAlign w:val="center"/>
          </w:tcPr>
          <w:p w14:paraId="05CC82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5AEA717">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027DE279">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68" w:type="dxa"/>
            <w:tcBorders>
              <w:top w:val="nil"/>
              <w:left w:val="nil"/>
              <w:bottom w:val="single" w:color="000000" w:sz="4" w:space="0"/>
              <w:right w:val="single" w:color="000000" w:sz="4" w:space="0"/>
            </w:tcBorders>
            <w:shd w:val="clear" w:color="auto" w:fill="auto"/>
            <w:noWrap/>
            <w:vAlign w:val="center"/>
          </w:tcPr>
          <w:p w14:paraId="060A1DE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675" w:type="dxa"/>
            <w:tcBorders>
              <w:top w:val="nil"/>
              <w:left w:val="nil"/>
              <w:bottom w:val="single" w:color="000000" w:sz="4" w:space="0"/>
              <w:right w:val="single" w:color="000000" w:sz="4" w:space="0"/>
            </w:tcBorders>
            <w:shd w:val="clear" w:color="auto" w:fill="auto"/>
            <w:noWrap/>
            <w:vAlign w:val="center"/>
          </w:tcPr>
          <w:p w14:paraId="6ABFB14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auto" w:fill="auto"/>
            <w:noWrap/>
            <w:vAlign w:val="center"/>
          </w:tcPr>
          <w:p w14:paraId="58A3D07A">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68" w:type="dxa"/>
            <w:tcBorders>
              <w:top w:val="nil"/>
              <w:left w:val="nil"/>
              <w:bottom w:val="single" w:color="000000" w:sz="4" w:space="0"/>
              <w:right w:val="single" w:color="000000" w:sz="4" w:space="0"/>
            </w:tcBorders>
            <w:shd w:val="clear" w:color="auto" w:fill="auto"/>
            <w:noWrap/>
            <w:vAlign w:val="center"/>
          </w:tcPr>
          <w:p w14:paraId="4CCC40A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2031" w:type="dxa"/>
            <w:tcBorders>
              <w:top w:val="nil"/>
              <w:left w:val="nil"/>
              <w:bottom w:val="single" w:color="000000" w:sz="4" w:space="0"/>
              <w:right w:val="single" w:color="000000" w:sz="4" w:space="0"/>
            </w:tcBorders>
            <w:shd w:val="clear" w:color="auto" w:fill="auto"/>
            <w:noWrap/>
            <w:vAlign w:val="center"/>
          </w:tcPr>
          <w:p w14:paraId="0B3B76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74D9F9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03479DC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3BC95B5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675" w:type="dxa"/>
            <w:tcBorders>
              <w:top w:val="nil"/>
              <w:left w:val="nil"/>
              <w:bottom w:val="single" w:color="000000" w:sz="4" w:space="0"/>
              <w:right w:val="single" w:color="000000" w:sz="4" w:space="0"/>
            </w:tcBorders>
            <w:shd w:val="clear" w:color="auto" w:fill="auto"/>
            <w:noWrap/>
            <w:vAlign w:val="center"/>
          </w:tcPr>
          <w:p w14:paraId="287845B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auto" w:fill="auto"/>
            <w:noWrap/>
            <w:vAlign w:val="center"/>
          </w:tcPr>
          <w:p w14:paraId="7B99217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auto" w:fill="auto"/>
            <w:noWrap/>
            <w:vAlign w:val="center"/>
          </w:tcPr>
          <w:p w14:paraId="491B58C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2031" w:type="dxa"/>
            <w:tcBorders>
              <w:top w:val="nil"/>
              <w:left w:val="nil"/>
              <w:bottom w:val="single" w:color="000000" w:sz="4" w:space="0"/>
              <w:right w:val="single" w:color="000000" w:sz="4" w:space="0"/>
            </w:tcBorders>
            <w:shd w:val="clear" w:color="auto" w:fill="auto"/>
            <w:noWrap/>
            <w:vAlign w:val="center"/>
          </w:tcPr>
          <w:p w14:paraId="2BFE145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14:paraId="2FDD6AF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auto" w:fill="auto"/>
            <w:noWrap/>
            <w:vAlign w:val="center"/>
          </w:tcPr>
          <w:p w14:paraId="7838FBF3">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68" w:type="dxa"/>
            <w:tcBorders>
              <w:top w:val="nil"/>
              <w:left w:val="nil"/>
              <w:bottom w:val="single" w:color="000000" w:sz="4" w:space="0"/>
              <w:right w:val="single" w:color="000000" w:sz="4" w:space="0"/>
            </w:tcBorders>
            <w:shd w:val="clear" w:color="auto" w:fill="auto"/>
            <w:noWrap/>
            <w:vAlign w:val="center"/>
          </w:tcPr>
          <w:p w14:paraId="2535F87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675" w:type="dxa"/>
            <w:tcBorders>
              <w:top w:val="nil"/>
              <w:left w:val="nil"/>
              <w:bottom w:val="single" w:color="000000" w:sz="4" w:space="0"/>
              <w:right w:val="single" w:color="000000" w:sz="4" w:space="0"/>
            </w:tcBorders>
            <w:shd w:val="clear" w:color="auto" w:fill="auto"/>
            <w:noWrap/>
            <w:vAlign w:val="center"/>
          </w:tcPr>
          <w:p w14:paraId="6ED6BAFB">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143.75</w:t>
            </w:r>
          </w:p>
        </w:tc>
        <w:tc>
          <w:tcPr>
            <w:tcW w:w="4730" w:type="dxa"/>
            <w:tcBorders>
              <w:top w:val="nil"/>
              <w:left w:val="nil"/>
              <w:bottom w:val="single" w:color="000000" w:sz="4" w:space="0"/>
              <w:right w:val="single" w:color="000000" w:sz="4" w:space="0"/>
            </w:tcBorders>
            <w:shd w:val="clear" w:color="auto" w:fill="auto"/>
            <w:noWrap/>
            <w:vAlign w:val="center"/>
          </w:tcPr>
          <w:p w14:paraId="2A40B449">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68" w:type="dxa"/>
            <w:tcBorders>
              <w:top w:val="nil"/>
              <w:left w:val="nil"/>
              <w:bottom w:val="single" w:color="000000" w:sz="4" w:space="0"/>
              <w:right w:val="single" w:color="000000" w:sz="4" w:space="0"/>
            </w:tcBorders>
            <w:shd w:val="clear" w:color="auto" w:fill="auto"/>
            <w:noWrap/>
            <w:vAlign w:val="center"/>
          </w:tcPr>
          <w:p w14:paraId="3F6D04E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2031" w:type="dxa"/>
            <w:tcBorders>
              <w:top w:val="nil"/>
              <w:left w:val="nil"/>
              <w:bottom w:val="single" w:color="000000" w:sz="4" w:space="0"/>
              <w:right w:val="single" w:color="000000" w:sz="4" w:space="0"/>
            </w:tcBorders>
            <w:shd w:val="clear" w:color="auto" w:fill="auto"/>
            <w:noWrap/>
            <w:vAlign w:val="center"/>
          </w:tcPr>
          <w:p w14:paraId="1D4253F4">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143.75</w:t>
            </w:r>
          </w:p>
        </w:tc>
      </w:tr>
      <w:tr w14:paraId="3CC6B647">
        <w:tblPrEx>
          <w:tblCellMar>
            <w:top w:w="0" w:type="dxa"/>
            <w:left w:w="108" w:type="dxa"/>
            <w:bottom w:w="0" w:type="dxa"/>
            <w:right w:w="108" w:type="dxa"/>
          </w:tblCellMar>
        </w:tblPrEx>
        <w:trPr>
          <w:trHeight w:val="308" w:hRule="atLeast"/>
        </w:trPr>
        <w:tc>
          <w:tcPr>
            <w:tcW w:w="14815" w:type="dxa"/>
            <w:gridSpan w:val="6"/>
            <w:tcBorders>
              <w:top w:val="nil"/>
              <w:left w:val="nil"/>
              <w:bottom w:val="nil"/>
              <w:right w:val="nil"/>
            </w:tcBorders>
            <w:shd w:val="clear" w:color="auto" w:fill="auto"/>
            <w:noWrap/>
            <w:vAlign w:val="center"/>
          </w:tcPr>
          <w:p w14:paraId="7BD5B66C">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14:paraId="11174551">
        <w:tblPrEx>
          <w:tblCellMar>
            <w:top w:w="0" w:type="dxa"/>
            <w:left w:w="108" w:type="dxa"/>
            <w:bottom w:w="0" w:type="dxa"/>
            <w:right w:w="108" w:type="dxa"/>
          </w:tblCellMar>
        </w:tblPrEx>
        <w:trPr>
          <w:trHeight w:val="308" w:hRule="atLeast"/>
        </w:trPr>
        <w:tc>
          <w:tcPr>
            <w:tcW w:w="14815" w:type="dxa"/>
            <w:gridSpan w:val="6"/>
            <w:tcBorders>
              <w:top w:val="nil"/>
              <w:left w:val="nil"/>
              <w:bottom w:val="nil"/>
              <w:right w:val="nil"/>
            </w:tcBorders>
            <w:shd w:val="clear" w:color="auto" w:fill="auto"/>
            <w:noWrap/>
            <w:vAlign w:val="center"/>
          </w:tcPr>
          <w:p w14:paraId="122AEBD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14:paraId="53D50B08">
      <w:pPr>
        <w:widowControl/>
        <w:jc w:val="left"/>
        <w:rPr>
          <w:rFonts w:ascii="Times New Roman" w:hAnsi="Times New Roman" w:eastAsia="黑体" w:cs="Times New Roman"/>
          <w:bCs/>
          <w:kern w:val="0"/>
          <w:szCs w:val="32"/>
        </w:rPr>
      </w:pPr>
    </w:p>
    <w:p w14:paraId="5252F4BF">
      <w:pPr>
        <w:widowControl/>
        <w:jc w:val="left"/>
        <w:rPr>
          <w:rFonts w:ascii="Times New Roman" w:hAnsi="Times New Roman" w:eastAsia="黑体" w:cs="Times New Roman"/>
          <w:bCs/>
          <w:kern w:val="0"/>
          <w:szCs w:val="32"/>
        </w:rPr>
      </w:pPr>
    </w:p>
    <w:tbl>
      <w:tblPr>
        <w:tblStyle w:val="5"/>
        <w:tblW w:w="15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4176"/>
        <w:gridCol w:w="1338"/>
        <w:gridCol w:w="1338"/>
        <w:gridCol w:w="1023"/>
        <w:gridCol w:w="1023"/>
        <w:gridCol w:w="1023"/>
        <w:gridCol w:w="1023"/>
        <w:gridCol w:w="1616"/>
      </w:tblGrid>
      <w:tr w14:paraId="429D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620" w:type="dxa"/>
            <w:gridSpan w:val="11"/>
            <w:tcBorders>
              <w:top w:val="nil"/>
              <w:left w:val="nil"/>
              <w:bottom w:val="nil"/>
              <w:right w:val="nil"/>
            </w:tcBorders>
            <w:shd w:val="clear" w:color="auto" w:fill="auto"/>
            <w:noWrap/>
            <w:vAlign w:val="center"/>
          </w:tcPr>
          <w:p w14:paraId="492ABFA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528A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shd w:val="clear" w:color="auto" w:fill="auto"/>
            <w:noWrap/>
            <w:vAlign w:val="center"/>
          </w:tcPr>
          <w:p w14:paraId="30C2A4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CF67E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8DF0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F1CA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C25F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80F8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A45B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5ED0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10DF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8616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9A9B1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1C0E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shd w:val="clear" w:color="auto" w:fill="auto"/>
            <w:noWrap/>
            <w:vAlign w:val="bottom"/>
          </w:tcPr>
          <w:p w14:paraId="111BE1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部门：溆浦县工商业联合会</w:t>
            </w:r>
          </w:p>
        </w:tc>
        <w:tc>
          <w:tcPr>
            <w:tcW w:w="0" w:type="auto"/>
            <w:tcBorders>
              <w:top w:val="nil"/>
              <w:left w:val="nil"/>
              <w:bottom w:val="nil"/>
              <w:right w:val="nil"/>
            </w:tcBorders>
            <w:shd w:val="clear" w:color="auto" w:fill="auto"/>
            <w:noWrap/>
            <w:vAlign w:val="center"/>
          </w:tcPr>
          <w:p w14:paraId="23EDA1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FAC63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5F35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61D4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D54C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834F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D6FE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3F9D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524B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2622C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A182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6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B9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07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D7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40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15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43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5C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3981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39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7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1775D">
            <w:pPr>
              <w:jc w:val="center"/>
              <w:rPr>
                <w:rFonts w:hint="eastAsia" w:ascii="宋体" w:hAnsi="宋体" w:eastAsia="宋体" w:cs="宋体"/>
                <w:i w:val="0"/>
                <w:iCs w:val="0"/>
                <w:color w:val="000000"/>
                <w:sz w:val="22"/>
                <w:szCs w:val="22"/>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B05F0">
            <w:pPr>
              <w:jc w:val="center"/>
              <w:rPr>
                <w:rFonts w:hint="eastAsia" w:ascii="宋体" w:hAnsi="宋体" w:eastAsia="宋体" w:cs="宋体"/>
                <w:i w:val="0"/>
                <w:iCs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C40BD">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713E">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2B5D9">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500A">
            <w:pPr>
              <w:jc w:val="center"/>
              <w:rPr>
                <w:rFonts w:hint="eastAsia" w:ascii="宋体" w:hAnsi="宋体" w:eastAsia="宋体" w:cs="宋体"/>
                <w:i w:val="0"/>
                <w:iCs w:val="0"/>
                <w:color w:val="000000"/>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DECB">
            <w:pPr>
              <w:jc w:val="center"/>
              <w:rPr>
                <w:rFonts w:hint="eastAsia" w:ascii="宋体" w:hAnsi="宋体" w:eastAsia="宋体" w:cs="宋体"/>
                <w:i w:val="0"/>
                <w:iCs w:val="0"/>
                <w:color w:val="000000"/>
                <w:sz w:val="22"/>
                <w:szCs w:val="22"/>
                <w:u w:val="none"/>
              </w:rPr>
            </w:pPr>
          </w:p>
        </w:tc>
      </w:tr>
      <w:tr w14:paraId="33BD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A9A8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9017">
            <w:pPr>
              <w:jc w:val="center"/>
              <w:rPr>
                <w:rFonts w:hint="eastAsia" w:ascii="宋体" w:hAnsi="宋体" w:eastAsia="宋体" w:cs="宋体"/>
                <w:i w:val="0"/>
                <w:iCs w:val="0"/>
                <w:color w:val="000000"/>
                <w:sz w:val="22"/>
                <w:szCs w:val="22"/>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05F70">
            <w:pPr>
              <w:jc w:val="center"/>
              <w:rPr>
                <w:rFonts w:hint="eastAsia" w:ascii="宋体" w:hAnsi="宋体" w:eastAsia="宋体" w:cs="宋体"/>
                <w:i w:val="0"/>
                <w:iCs w:val="0"/>
                <w:color w:val="000000"/>
                <w:sz w:val="22"/>
                <w:szCs w:val="22"/>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6E9E">
            <w:pPr>
              <w:jc w:val="center"/>
              <w:rPr>
                <w:rFonts w:hint="eastAsia" w:ascii="宋体" w:hAnsi="宋体" w:eastAsia="宋体" w:cs="宋体"/>
                <w:i w:val="0"/>
                <w:iCs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13755">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27FD">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5685">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28F8F">
            <w:pPr>
              <w:jc w:val="center"/>
              <w:rPr>
                <w:rFonts w:hint="eastAsia" w:ascii="宋体" w:hAnsi="宋体" w:eastAsia="宋体" w:cs="宋体"/>
                <w:i w:val="0"/>
                <w:iCs w:val="0"/>
                <w:color w:val="000000"/>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B8A6F">
            <w:pPr>
              <w:jc w:val="center"/>
              <w:rPr>
                <w:rFonts w:hint="eastAsia" w:ascii="宋体" w:hAnsi="宋体" w:eastAsia="宋体" w:cs="宋体"/>
                <w:i w:val="0"/>
                <w:iCs w:val="0"/>
                <w:color w:val="000000"/>
                <w:sz w:val="22"/>
                <w:szCs w:val="22"/>
                <w:u w:val="none"/>
              </w:rPr>
            </w:pPr>
          </w:p>
        </w:tc>
      </w:tr>
      <w:tr w14:paraId="4900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D6D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07ED">
            <w:pPr>
              <w:jc w:val="center"/>
              <w:rPr>
                <w:rFonts w:hint="eastAsia" w:ascii="宋体" w:hAnsi="宋体" w:eastAsia="宋体" w:cs="宋体"/>
                <w:i w:val="0"/>
                <w:iCs w:val="0"/>
                <w:color w:val="000000"/>
                <w:sz w:val="22"/>
                <w:szCs w:val="22"/>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DA01">
            <w:pPr>
              <w:jc w:val="center"/>
              <w:rPr>
                <w:rFonts w:hint="eastAsia" w:ascii="宋体" w:hAnsi="宋体" w:eastAsia="宋体" w:cs="宋体"/>
                <w:i w:val="0"/>
                <w:iCs w:val="0"/>
                <w:color w:val="000000"/>
                <w:sz w:val="22"/>
                <w:szCs w:val="22"/>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FA85">
            <w:pPr>
              <w:jc w:val="center"/>
              <w:rPr>
                <w:rFonts w:hint="eastAsia" w:ascii="宋体" w:hAnsi="宋体" w:eastAsia="宋体" w:cs="宋体"/>
                <w:i w:val="0"/>
                <w:iCs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9C113">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C496">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7EC40">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E8D6">
            <w:pPr>
              <w:jc w:val="center"/>
              <w:rPr>
                <w:rFonts w:hint="eastAsia" w:ascii="宋体" w:hAnsi="宋体" w:eastAsia="宋体" w:cs="宋体"/>
                <w:i w:val="0"/>
                <w:iCs w:val="0"/>
                <w:color w:val="000000"/>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20EF">
            <w:pPr>
              <w:jc w:val="center"/>
              <w:rPr>
                <w:rFonts w:hint="eastAsia" w:ascii="宋体" w:hAnsi="宋体" w:eastAsia="宋体" w:cs="宋体"/>
                <w:i w:val="0"/>
                <w:iCs w:val="0"/>
                <w:color w:val="000000"/>
                <w:sz w:val="22"/>
                <w:szCs w:val="22"/>
                <w:u w:val="none"/>
              </w:rPr>
            </w:pPr>
          </w:p>
        </w:tc>
      </w:tr>
      <w:tr w14:paraId="3672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9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F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0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F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B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3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B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8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151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7D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3C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C9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2B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DA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8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CE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215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2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6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9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1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E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C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0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38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8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25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4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2A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D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7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7E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E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9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1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0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66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F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B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8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C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3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6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A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1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E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4A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D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4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0D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A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D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6F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5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E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2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A0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0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B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其他民主党派及工商联事务支出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9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4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F7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44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5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3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0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8B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0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C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EE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6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3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2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2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E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43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7F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6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6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0F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E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4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C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CF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7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3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CF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E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6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FF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4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D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0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1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4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A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F8B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6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6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9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1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30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E8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6D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1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E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71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5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D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0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A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4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AC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6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5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2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A9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5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9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4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02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4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7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D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D3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E3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F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E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C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2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6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6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4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C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8F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5C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F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4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3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C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1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D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A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E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2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40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2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C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F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85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B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9D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3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3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F1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16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D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2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B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4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D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C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3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8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7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0E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9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D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5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2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E1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7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7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5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D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9B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B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3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3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F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26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F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E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A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F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80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E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4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33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2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A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3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C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C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8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EC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E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6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3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4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5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1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C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93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D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CA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D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C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B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6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E8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F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4D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5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4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9A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A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4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7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E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5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3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0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8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7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1A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A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7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2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4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9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F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6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1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6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CE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11"/>
            <w:tcBorders>
              <w:top w:val="nil"/>
              <w:left w:val="nil"/>
              <w:bottom w:val="nil"/>
              <w:right w:val="nil"/>
            </w:tcBorders>
            <w:shd w:val="clear" w:color="auto" w:fill="auto"/>
            <w:noWrap/>
            <w:vAlign w:val="center"/>
          </w:tcPr>
          <w:p w14:paraId="52ADB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76257CC5">
      <w:pPr>
        <w:widowControl/>
        <w:jc w:val="left"/>
        <w:rPr>
          <w:rFonts w:ascii="Times New Roman" w:hAnsi="Times New Roman" w:eastAsia="黑体" w:cs="Times New Roman"/>
          <w:bCs/>
          <w:kern w:val="0"/>
          <w:szCs w:val="32"/>
        </w:rPr>
      </w:pPr>
    </w:p>
    <w:p w14:paraId="17124F87">
      <w:pPr>
        <w:widowControl/>
        <w:jc w:val="center"/>
        <w:rPr>
          <w:rFonts w:ascii="Times New Roman" w:hAnsi="Times New Roman" w:eastAsia="方正小标宋_GBK" w:cs="Times New Roman"/>
          <w:color w:val="000000"/>
          <w:kern w:val="0"/>
          <w:sz w:val="36"/>
          <w:szCs w:val="36"/>
        </w:rPr>
      </w:pPr>
    </w:p>
    <w:tbl>
      <w:tblPr>
        <w:tblStyle w:val="5"/>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4176"/>
        <w:gridCol w:w="1500"/>
        <w:gridCol w:w="1500"/>
        <w:gridCol w:w="1228"/>
        <w:gridCol w:w="1228"/>
        <w:gridCol w:w="1228"/>
        <w:gridCol w:w="1800"/>
      </w:tblGrid>
      <w:tr w14:paraId="0D1C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458DF3E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3704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2B080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C8CB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157F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BCC5C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376D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AB4E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8A92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3C26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1A8E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18A64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4A61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67AF4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部门：溆浦县工商业联合会</w:t>
            </w:r>
          </w:p>
        </w:tc>
        <w:tc>
          <w:tcPr>
            <w:tcW w:w="0" w:type="auto"/>
            <w:tcBorders>
              <w:top w:val="nil"/>
              <w:left w:val="nil"/>
              <w:bottom w:val="nil"/>
              <w:right w:val="nil"/>
            </w:tcBorders>
            <w:shd w:val="clear" w:color="auto" w:fill="auto"/>
            <w:noWrap/>
            <w:vAlign w:val="center"/>
          </w:tcPr>
          <w:p w14:paraId="1D9E35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79FE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7E88F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6826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2072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3CE5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C61E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C49C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236A0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AD9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7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2F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6E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12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F1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A0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61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3C28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5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7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0787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EFE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C96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E6F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24E0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2B6FE">
            <w:pPr>
              <w:jc w:val="center"/>
              <w:rPr>
                <w:rFonts w:hint="eastAsia" w:ascii="宋体" w:hAnsi="宋体" w:eastAsia="宋体" w:cs="宋体"/>
                <w:i w:val="0"/>
                <w:iCs w:val="0"/>
                <w:color w:val="000000"/>
                <w:sz w:val="22"/>
                <w:szCs w:val="22"/>
                <w:u w:val="none"/>
              </w:rPr>
            </w:pPr>
          </w:p>
        </w:tc>
      </w:tr>
      <w:tr w14:paraId="6263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E965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CF1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FC07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2819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2CA0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7B89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E8D7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A280">
            <w:pPr>
              <w:jc w:val="center"/>
              <w:rPr>
                <w:rFonts w:hint="eastAsia" w:ascii="宋体" w:hAnsi="宋体" w:eastAsia="宋体" w:cs="宋体"/>
                <w:i w:val="0"/>
                <w:iCs w:val="0"/>
                <w:color w:val="000000"/>
                <w:sz w:val="22"/>
                <w:szCs w:val="22"/>
                <w:u w:val="none"/>
              </w:rPr>
            </w:pPr>
          </w:p>
        </w:tc>
      </w:tr>
      <w:tr w14:paraId="5919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FA20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BF7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4ADE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FE3E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7C3C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E825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A631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0A53">
            <w:pPr>
              <w:jc w:val="center"/>
              <w:rPr>
                <w:rFonts w:hint="eastAsia" w:ascii="宋体" w:hAnsi="宋体" w:eastAsia="宋体" w:cs="宋体"/>
                <w:i w:val="0"/>
                <w:iCs w:val="0"/>
                <w:color w:val="000000"/>
                <w:sz w:val="22"/>
                <w:szCs w:val="22"/>
                <w:u w:val="none"/>
              </w:rPr>
            </w:pPr>
          </w:p>
        </w:tc>
      </w:tr>
      <w:tr w14:paraId="0BA1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4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A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6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8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4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D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2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725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F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10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00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D6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03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BF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C6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BA9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1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1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C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C7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C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38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4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0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7D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4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2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6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3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0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D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8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85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18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0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4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8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7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06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7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2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BA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D9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7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F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83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B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70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8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B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AD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74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1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B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其他民主党派及工商联事务支出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82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0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D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2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0C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B4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B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7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C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4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DC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D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03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B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9A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8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8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E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98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4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E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8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B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1A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7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4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D8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3C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D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5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7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B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FF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F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3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38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C9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7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79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7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5D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B5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3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65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9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2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4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2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C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6E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9E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F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4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2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7B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9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7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6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3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E0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D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9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7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3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15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0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8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7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C4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E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2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E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F1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0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2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A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5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38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B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D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D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1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1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F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F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F2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14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B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2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54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F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B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A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5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5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69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0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9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48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D5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3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2B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1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2F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4D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8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C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1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0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C3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0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F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3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C4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B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2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B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0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2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6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1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B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48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0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1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A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E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F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8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7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03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E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1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7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0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4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3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5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CA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7E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A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8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8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E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C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0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B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2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F9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1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9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B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6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18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E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4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7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77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76F64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0C5FB225">
      <w:pPr>
        <w:widowControl/>
        <w:jc w:val="center"/>
        <w:rPr>
          <w:rFonts w:ascii="Times New Roman" w:hAnsi="Times New Roman" w:eastAsia="方正小标宋_GBK" w:cs="Times New Roman"/>
          <w:color w:val="000000"/>
          <w:kern w:val="0"/>
          <w:sz w:val="36"/>
          <w:szCs w:val="36"/>
        </w:rPr>
      </w:pPr>
    </w:p>
    <w:p w14:paraId="0E5C8761">
      <w:pPr>
        <w:widowControl/>
        <w:jc w:val="center"/>
        <w:rPr>
          <w:rFonts w:ascii="Times New Roman" w:hAnsi="Times New Roman" w:eastAsia="方正小标宋_GBK" w:cs="Times New Roman"/>
          <w:color w:val="000000"/>
          <w:kern w:val="0"/>
          <w:sz w:val="36"/>
          <w:szCs w:val="36"/>
        </w:rPr>
      </w:pPr>
    </w:p>
    <w:tbl>
      <w:tblPr>
        <w:tblStyle w:val="5"/>
        <w:tblW w:w="15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45"/>
        <w:gridCol w:w="550"/>
        <w:gridCol w:w="1268"/>
        <w:gridCol w:w="4145"/>
        <w:gridCol w:w="550"/>
        <w:gridCol w:w="973"/>
        <w:gridCol w:w="1268"/>
        <w:gridCol w:w="1079"/>
        <w:gridCol w:w="1942"/>
      </w:tblGrid>
      <w:tr w14:paraId="7177F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5620" w:type="dxa"/>
            <w:gridSpan w:val="9"/>
            <w:tcBorders>
              <w:top w:val="nil"/>
              <w:left w:val="nil"/>
              <w:bottom w:val="nil"/>
              <w:right w:val="nil"/>
            </w:tcBorders>
            <w:shd w:val="clear" w:color="auto" w:fill="auto"/>
            <w:noWrap/>
            <w:vAlign w:val="center"/>
          </w:tcPr>
          <w:p w14:paraId="2D74F83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400E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color="auto" w:fill="auto"/>
            <w:noWrap/>
            <w:vAlign w:val="center"/>
          </w:tcPr>
          <w:p w14:paraId="14C970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9D12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2C8A8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35E93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4C62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0840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511F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5D5C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3C33F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2CFD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color="auto" w:fill="auto"/>
            <w:noWrap/>
            <w:vAlign w:val="bottom"/>
          </w:tcPr>
          <w:p w14:paraId="7EAEC0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部门：溆浦县工商业联合会</w:t>
            </w:r>
          </w:p>
        </w:tc>
        <w:tc>
          <w:tcPr>
            <w:tcW w:w="0" w:type="auto"/>
            <w:tcBorders>
              <w:top w:val="nil"/>
              <w:left w:val="nil"/>
              <w:bottom w:val="nil"/>
              <w:right w:val="nil"/>
            </w:tcBorders>
            <w:shd w:val="clear" w:color="auto" w:fill="auto"/>
            <w:noWrap/>
            <w:vAlign w:val="center"/>
          </w:tcPr>
          <w:p w14:paraId="04E50AC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FF98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7E46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A970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7F52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0E87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222B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2EA8D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E11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E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B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277F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A7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8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FA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2E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DE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4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0C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74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24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D60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C6708">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C12F7">
            <w:pPr>
              <w:jc w:val="center"/>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53B7F">
            <w:pPr>
              <w:jc w:val="center"/>
              <w:rPr>
                <w:rFonts w:hint="eastAsia" w:ascii="宋体" w:hAnsi="宋体" w:eastAsia="宋体" w:cs="宋体"/>
                <w:i w:val="0"/>
                <w:iCs w:val="0"/>
                <w:color w:val="000000"/>
                <w:sz w:val="22"/>
                <w:szCs w:val="22"/>
                <w:u w:val="none"/>
              </w:rPr>
            </w:pPr>
          </w:p>
        </w:tc>
        <w:tc>
          <w:tcPr>
            <w:tcW w:w="3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F638">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FD21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7E3F">
            <w:pPr>
              <w:jc w:val="center"/>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47E9">
            <w:pPr>
              <w:jc w:val="center"/>
              <w:rPr>
                <w:rFonts w:hint="eastAsia" w:ascii="宋体" w:hAnsi="宋体" w:eastAsia="宋体" w:cs="宋体"/>
                <w:i w:val="0"/>
                <w:iCs w:val="0"/>
                <w:color w:val="000000"/>
                <w:sz w:val="22"/>
                <w:szCs w:val="22"/>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AB99A">
            <w:pPr>
              <w:jc w:val="center"/>
              <w:rPr>
                <w:rFonts w:hint="eastAsia" w:ascii="宋体" w:hAnsi="宋体" w:eastAsia="宋体" w:cs="宋体"/>
                <w:i w:val="0"/>
                <w:iCs w:val="0"/>
                <w:color w:val="000000"/>
                <w:sz w:val="22"/>
                <w:szCs w:val="22"/>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D8E76">
            <w:pPr>
              <w:jc w:val="center"/>
              <w:rPr>
                <w:rFonts w:hint="eastAsia" w:ascii="宋体" w:hAnsi="宋体" w:eastAsia="宋体" w:cs="宋体"/>
                <w:i w:val="0"/>
                <w:iCs w:val="0"/>
                <w:color w:val="000000"/>
                <w:sz w:val="22"/>
                <w:szCs w:val="22"/>
                <w:u w:val="none"/>
              </w:rPr>
            </w:pPr>
          </w:p>
        </w:tc>
      </w:tr>
      <w:tr w14:paraId="5410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5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47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3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7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DE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4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9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C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B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C2E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0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7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0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D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1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2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7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4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1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0E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D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D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9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F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D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2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2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6C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9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D9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F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E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6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4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F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4A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B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D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61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988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F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BA7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D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6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F1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49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F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8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CF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75F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B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A47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A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F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A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B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3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90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E17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4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0D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9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3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D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2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7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4F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DD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7A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0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9D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C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5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7E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8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7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00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FD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406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8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519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9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6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D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F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5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7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BC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E93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5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AF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A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F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3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6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7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C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5E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409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1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D61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B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6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3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F8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7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C4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F6A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9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D2E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C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E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D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2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E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F9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6E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51A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123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5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6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8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2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B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7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4A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8C3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D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E14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2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7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D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4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C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3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75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94D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A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945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6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D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6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78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B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1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7A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955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8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B7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0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3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E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7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E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CA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13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3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3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9BA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2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F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C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76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E0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A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B4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818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0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F06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D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3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C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C9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7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C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ED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F86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D3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2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F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B8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2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B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D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D2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4E4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7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BB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7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5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A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C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EF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F6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296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5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37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6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9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B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B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2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C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D6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E31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D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85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8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E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3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C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C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FF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54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D9A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2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D1C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1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C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9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DC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A6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CB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F1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6D9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5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B9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A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0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52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2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5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6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81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CA8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1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C54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5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7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0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1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C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0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9B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505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9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50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3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2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C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1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7B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8B5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3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1F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4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D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4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1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0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F5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A0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C9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D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D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7F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D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7A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B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2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4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AA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9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9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3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5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4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1F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E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F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C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21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0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8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0E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F5B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1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9D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98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80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3EB8">
            <w:pPr>
              <w:jc w:val="right"/>
              <w:rPr>
                <w:rFonts w:hint="eastAsia" w:ascii="宋体" w:hAnsi="宋体" w:eastAsia="宋体" w:cs="宋体"/>
                <w:i w:val="0"/>
                <w:iCs w:val="0"/>
                <w:color w:val="000000"/>
                <w:sz w:val="22"/>
                <w:szCs w:val="22"/>
                <w:u w:val="none"/>
              </w:rPr>
            </w:pPr>
          </w:p>
        </w:tc>
      </w:tr>
      <w:tr w14:paraId="7E6E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4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A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5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93B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9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B9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FB5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C11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AD49">
            <w:pPr>
              <w:jc w:val="right"/>
              <w:rPr>
                <w:rFonts w:hint="eastAsia" w:ascii="宋体" w:hAnsi="宋体" w:eastAsia="宋体" w:cs="宋体"/>
                <w:i w:val="0"/>
                <w:iCs w:val="0"/>
                <w:color w:val="000000"/>
                <w:sz w:val="22"/>
                <w:szCs w:val="22"/>
                <w:u w:val="none"/>
              </w:rPr>
            </w:pPr>
          </w:p>
        </w:tc>
      </w:tr>
      <w:tr w14:paraId="3428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1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1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9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34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7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BF5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13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1B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3571">
            <w:pPr>
              <w:jc w:val="right"/>
              <w:rPr>
                <w:rFonts w:hint="eastAsia" w:ascii="宋体" w:hAnsi="宋体" w:eastAsia="宋体" w:cs="宋体"/>
                <w:i w:val="0"/>
                <w:iCs w:val="0"/>
                <w:color w:val="000000"/>
                <w:sz w:val="22"/>
                <w:szCs w:val="22"/>
                <w:u w:val="none"/>
              </w:rPr>
            </w:pPr>
          </w:p>
        </w:tc>
      </w:tr>
      <w:tr w14:paraId="1EE8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37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F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EE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AC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9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C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5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C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98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8"/>
            <w:tcBorders>
              <w:top w:val="nil"/>
              <w:left w:val="nil"/>
              <w:bottom w:val="nil"/>
              <w:right w:val="nil"/>
            </w:tcBorders>
            <w:shd w:val="clear" w:color="auto" w:fill="auto"/>
            <w:noWrap/>
            <w:vAlign w:val="center"/>
          </w:tcPr>
          <w:p w14:paraId="4E09B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559C8A8D">
            <w:pPr>
              <w:jc w:val="left"/>
              <w:rPr>
                <w:rFonts w:hint="eastAsia" w:ascii="宋体" w:hAnsi="宋体" w:eastAsia="宋体" w:cs="宋体"/>
                <w:i w:val="0"/>
                <w:iCs w:val="0"/>
                <w:color w:val="000000"/>
                <w:sz w:val="20"/>
                <w:szCs w:val="20"/>
                <w:u w:val="none"/>
              </w:rPr>
            </w:pPr>
          </w:p>
        </w:tc>
      </w:tr>
    </w:tbl>
    <w:p w14:paraId="18D79BE7">
      <w:pPr>
        <w:widowControl/>
        <w:jc w:val="center"/>
        <w:rPr>
          <w:rFonts w:ascii="Times New Roman" w:hAnsi="Times New Roman" w:eastAsia="方正小标宋_GBK" w:cs="Times New Roman"/>
          <w:color w:val="000000"/>
          <w:kern w:val="0"/>
          <w:sz w:val="36"/>
          <w:szCs w:val="36"/>
        </w:rPr>
      </w:pPr>
    </w:p>
    <w:p w14:paraId="0CD7C458">
      <w:pPr>
        <w:widowControl/>
        <w:jc w:val="center"/>
        <w:rPr>
          <w:rFonts w:ascii="Times New Roman" w:hAnsi="Times New Roman" w:eastAsia="方正小标宋_GBK" w:cs="Times New Roman"/>
          <w:color w:val="000000"/>
          <w:kern w:val="0"/>
          <w:sz w:val="36"/>
          <w:szCs w:val="36"/>
        </w:rPr>
      </w:pPr>
    </w:p>
    <w:p w14:paraId="3F7336B9">
      <w:pPr>
        <w:widowControl/>
        <w:jc w:val="center"/>
        <w:rPr>
          <w:rFonts w:ascii="Times New Roman" w:hAnsi="Times New Roman" w:eastAsia="方正小标宋_GBK" w:cs="Times New Roman"/>
          <w:color w:val="000000"/>
          <w:kern w:val="0"/>
          <w:sz w:val="36"/>
          <w:szCs w:val="36"/>
        </w:rPr>
      </w:pPr>
    </w:p>
    <w:p w14:paraId="3A066196">
      <w:pPr>
        <w:widowControl/>
        <w:jc w:val="center"/>
        <w:rPr>
          <w:rFonts w:ascii="Times New Roman" w:hAnsi="Times New Roman" w:eastAsia="方正小标宋_GBK" w:cs="Times New Roman"/>
          <w:color w:val="000000"/>
          <w:kern w:val="0"/>
          <w:sz w:val="36"/>
          <w:szCs w:val="36"/>
        </w:rPr>
      </w:pPr>
    </w:p>
    <w:p w14:paraId="1A5A2033">
      <w:pPr>
        <w:widowControl/>
        <w:jc w:val="center"/>
        <w:rPr>
          <w:rFonts w:ascii="Times New Roman" w:hAnsi="Times New Roman" w:eastAsia="方正小标宋_GBK" w:cs="Times New Roman"/>
          <w:color w:val="000000"/>
          <w:kern w:val="0"/>
          <w:sz w:val="36"/>
          <w:szCs w:val="36"/>
        </w:rPr>
      </w:pPr>
    </w:p>
    <w:p w14:paraId="3610C7E4">
      <w:pPr>
        <w:widowControl/>
        <w:jc w:val="center"/>
        <w:rPr>
          <w:rFonts w:ascii="Times New Roman" w:hAnsi="Times New Roman" w:eastAsia="方正小标宋_GBK" w:cs="Times New Roman"/>
          <w:color w:val="000000"/>
          <w:kern w:val="0"/>
          <w:sz w:val="36"/>
          <w:szCs w:val="36"/>
        </w:rPr>
      </w:pPr>
    </w:p>
    <w:p w14:paraId="7AD457F3">
      <w:pPr>
        <w:widowControl/>
        <w:jc w:val="center"/>
        <w:rPr>
          <w:rFonts w:ascii="Times New Roman" w:hAnsi="Times New Roman" w:eastAsia="方正小标宋_GBK" w:cs="Times New Roman"/>
          <w:color w:val="000000"/>
          <w:kern w:val="0"/>
          <w:sz w:val="36"/>
          <w:szCs w:val="36"/>
        </w:rPr>
      </w:pPr>
    </w:p>
    <w:tbl>
      <w:tblPr>
        <w:tblStyle w:val="5"/>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4176"/>
        <w:gridCol w:w="1208"/>
        <w:gridCol w:w="1208"/>
        <w:gridCol w:w="2018"/>
      </w:tblGrid>
      <w:tr w14:paraId="32C7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220FB5B3">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6245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93A41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A97E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8C48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2C0B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33FC9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2C993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41E8F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379E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2B39DC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部门：溆浦县工商业联合会</w:t>
            </w:r>
          </w:p>
        </w:tc>
        <w:tc>
          <w:tcPr>
            <w:tcW w:w="0" w:type="auto"/>
            <w:tcBorders>
              <w:top w:val="nil"/>
              <w:left w:val="nil"/>
              <w:bottom w:val="nil"/>
              <w:right w:val="nil"/>
            </w:tcBorders>
            <w:shd w:val="clear" w:color="auto" w:fill="auto"/>
            <w:noWrap/>
            <w:vAlign w:val="center"/>
          </w:tcPr>
          <w:p w14:paraId="2B38FB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221C4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12CD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29E8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B56E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2ED01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703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4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CC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3C3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B8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8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67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1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A8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8B8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A58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8ACA">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785D9">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54D9">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BBBB2">
            <w:pPr>
              <w:jc w:val="center"/>
              <w:rPr>
                <w:rFonts w:hint="eastAsia" w:ascii="宋体" w:hAnsi="宋体" w:eastAsia="宋体" w:cs="宋体"/>
                <w:i w:val="0"/>
                <w:iCs w:val="0"/>
                <w:color w:val="000000"/>
                <w:sz w:val="22"/>
                <w:szCs w:val="22"/>
                <w:u w:val="none"/>
              </w:rPr>
            </w:pPr>
          </w:p>
        </w:tc>
      </w:tr>
      <w:tr w14:paraId="6FCB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2A1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4194">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E3518">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E6377">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937A">
            <w:pPr>
              <w:jc w:val="center"/>
              <w:rPr>
                <w:rFonts w:hint="eastAsia" w:ascii="宋体" w:hAnsi="宋体" w:eastAsia="宋体" w:cs="宋体"/>
                <w:i w:val="0"/>
                <w:iCs w:val="0"/>
                <w:color w:val="000000"/>
                <w:sz w:val="22"/>
                <w:szCs w:val="22"/>
                <w:u w:val="none"/>
              </w:rPr>
            </w:pPr>
          </w:p>
        </w:tc>
      </w:tr>
      <w:tr w14:paraId="48EB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6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6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D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540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D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9E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45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F7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9A0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1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2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4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7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09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56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C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5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A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5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C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9A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E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3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A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4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4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48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7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3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5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A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2F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AB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5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0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其他民主党派及工商联事务支出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1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4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9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8E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D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7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1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5B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3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E1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0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B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0D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6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6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03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3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F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9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4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2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25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8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2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2D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3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1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F0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B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2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04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9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5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8E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8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2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A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5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1C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EC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A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7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B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75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9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D3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A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2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2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0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6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F9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E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5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8F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8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F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B8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8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6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D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4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DC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B6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8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6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D7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7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8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40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7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E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E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E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F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DC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D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B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0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3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C2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60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C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B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A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5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25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E1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D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B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9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7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8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F8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4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E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2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30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07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43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D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3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EC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5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4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B9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28183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54244B38">
      <w:pPr>
        <w:widowControl/>
        <w:jc w:val="both"/>
        <w:rPr>
          <w:rFonts w:ascii="Times New Roman" w:hAnsi="Times New Roman" w:eastAsia="方正小标宋_GBK" w:cs="Times New Roman"/>
          <w:color w:val="000000"/>
          <w:kern w:val="0"/>
          <w:sz w:val="36"/>
          <w:szCs w:val="36"/>
        </w:rPr>
      </w:pPr>
    </w:p>
    <w:tbl>
      <w:tblPr>
        <w:tblStyle w:val="5"/>
        <w:tblW w:w="14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876"/>
        <w:gridCol w:w="766"/>
        <w:gridCol w:w="2416"/>
        <w:gridCol w:w="766"/>
        <w:gridCol w:w="766"/>
        <w:gridCol w:w="4396"/>
        <w:gridCol w:w="766"/>
      </w:tblGrid>
      <w:tr w14:paraId="35BD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85" w:type="dxa"/>
            <w:gridSpan w:val="9"/>
            <w:tcBorders>
              <w:top w:val="nil"/>
              <w:left w:val="nil"/>
              <w:bottom w:val="nil"/>
              <w:right w:val="nil"/>
            </w:tcBorders>
            <w:shd w:val="clear" w:color="auto" w:fill="auto"/>
            <w:noWrap/>
            <w:vAlign w:val="center"/>
          </w:tcPr>
          <w:p w14:paraId="5DC4C1F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2B8D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840C5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2AF7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8E89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53AE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C72F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57CE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3F724D">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1B03108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5EBF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bottom"/>
          </w:tcPr>
          <w:p w14:paraId="31C33A3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部门：溆浦县工商业联合会</w:t>
            </w:r>
          </w:p>
        </w:tc>
        <w:tc>
          <w:tcPr>
            <w:tcW w:w="0" w:type="auto"/>
            <w:tcBorders>
              <w:top w:val="nil"/>
              <w:left w:val="nil"/>
              <w:bottom w:val="nil"/>
              <w:right w:val="nil"/>
            </w:tcBorders>
            <w:shd w:val="clear" w:color="auto" w:fill="auto"/>
            <w:noWrap/>
            <w:vAlign w:val="center"/>
          </w:tcPr>
          <w:p w14:paraId="49BAEDC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4FA4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6A8C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A1A0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431128">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4F79081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DF7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0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6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47EC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AC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21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E6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82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D6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66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11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65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CF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8FE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DD51">
            <w:pPr>
              <w:jc w:val="center"/>
              <w:rPr>
                <w:rFonts w:hint="eastAsia" w:ascii="宋体" w:hAnsi="宋体" w:eastAsia="宋体" w:cs="宋体"/>
                <w:i w:val="0"/>
                <w:iCs w:val="0"/>
                <w:color w:val="000000"/>
                <w:sz w:val="22"/>
                <w:szCs w:val="22"/>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520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E1F73">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41CDA">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179C8">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4004D">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812BF">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5647">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EF6F9">
            <w:pPr>
              <w:jc w:val="center"/>
              <w:rPr>
                <w:rFonts w:hint="eastAsia" w:ascii="宋体" w:hAnsi="宋体" w:eastAsia="宋体" w:cs="宋体"/>
                <w:i w:val="0"/>
                <w:iCs w:val="0"/>
                <w:color w:val="000000"/>
                <w:sz w:val="22"/>
                <w:szCs w:val="22"/>
                <w:u w:val="none"/>
              </w:rPr>
            </w:pPr>
          </w:p>
        </w:tc>
      </w:tr>
      <w:tr w14:paraId="2CFE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2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3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7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3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4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D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4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6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B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16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3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6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1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F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E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9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C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8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5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24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0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D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2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0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4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6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2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D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33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5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5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C9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C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C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B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D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0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E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C9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6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0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2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A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E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AD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7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A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2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65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D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5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B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C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0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3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8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7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9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82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6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2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3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D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6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2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D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6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3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05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C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0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F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2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3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7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0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9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1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99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D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3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D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4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9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F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2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8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C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8B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8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6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F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5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6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1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8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8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8E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A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0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3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4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9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2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9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4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C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E4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7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C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D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5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2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AF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E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D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B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BE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2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1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BA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C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8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5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D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C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B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C0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1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A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39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F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0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8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0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7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5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70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B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3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29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5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F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7A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7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6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6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36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E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32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9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2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F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C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A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D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8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7F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1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3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3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9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E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A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9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B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F9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34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E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8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A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F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9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4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4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C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18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A9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C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B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6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A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C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1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E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D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CF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5B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7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F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3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F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7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3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C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9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5D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1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3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8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8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F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4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C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E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D9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14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0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5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4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A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C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1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C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8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DA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67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A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6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B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3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0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D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9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E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1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0A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E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D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A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F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D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9A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F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0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C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81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F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7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6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F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0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6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9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1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1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02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A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B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C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C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7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4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A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C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B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BC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1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1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1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1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E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D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04C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577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0F81">
            <w:pPr>
              <w:jc w:val="right"/>
              <w:rPr>
                <w:rFonts w:hint="eastAsia" w:ascii="宋体" w:hAnsi="宋体" w:eastAsia="宋体" w:cs="宋体"/>
                <w:i w:val="0"/>
                <w:iCs w:val="0"/>
                <w:color w:val="000000"/>
                <w:sz w:val="22"/>
                <w:szCs w:val="22"/>
                <w:u w:val="none"/>
              </w:rPr>
            </w:pPr>
          </w:p>
        </w:tc>
      </w:tr>
      <w:tr w14:paraId="1C3D2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DFE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08D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74C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E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4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3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341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0C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260B">
            <w:pPr>
              <w:jc w:val="right"/>
              <w:rPr>
                <w:rFonts w:hint="eastAsia" w:ascii="宋体" w:hAnsi="宋体" w:eastAsia="宋体" w:cs="宋体"/>
                <w:i w:val="0"/>
                <w:iCs w:val="0"/>
                <w:color w:val="000000"/>
                <w:sz w:val="22"/>
                <w:szCs w:val="22"/>
                <w:u w:val="none"/>
              </w:rPr>
            </w:pPr>
          </w:p>
        </w:tc>
      </w:tr>
      <w:tr w14:paraId="68A8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3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9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1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C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31.73</w:t>
            </w:r>
          </w:p>
        </w:tc>
      </w:tr>
      <w:tr w14:paraId="2236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14:paraId="717D3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33AAA295">
      <w:pPr>
        <w:widowControl/>
        <w:jc w:val="center"/>
        <w:rPr>
          <w:rFonts w:ascii="Times New Roman" w:hAnsi="Times New Roman" w:eastAsia="方正小标宋_GBK" w:cs="Times New Roman"/>
          <w:color w:val="000000"/>
          <w:kern w:val="0"/>
          <w:sz w:val="36"/>
          <w:szCs w:val="36"/>
        </w:rPr>
      </w:pPr>
    </w:p>
    <w:p w14:paraId="7F7FEFD8">
      <w:pPr>
        <w:widowControl/>
        <w:jc w:val="center"/>
        <w:rPr>
          <w:rFonts w:ascii="Times New Roman" w:hAnsi="Times New Roman" w:eastAsia="方正小标宋_GBK" w:cs="Times New Roman"/>
          <w:color w:val="000000"/>
          <w:kern w:val="0"/>
          <w:sz w:val="36"/>
          <w:szCs w:val="36"/>
        </w:rPr>
      </w:pPr>
    </w:p>
    <w:p w14:paraId="7B1A7F7A">
      <w:pPr>
        <w:widowControl/>
        <w:jc w:val="center"/>
        <w:rPr>
          <w:rFonts w:ascii="Times New Roman" w:hAnsi="Times New Roman" w:eastAsia="方正小标宋_GBK" w:cs="Times New Roman"/>
          <w:color w:val="000000"/>
          <w:kern w:val="0"/>
          <w:sz w:val="36"/>
          <w:szCs w:val="36"/>
        </w:rPr>
      </w:pPr>
    </w:p>
    <w:p w14:paraId="2EC7D8B5">
      <w:pPr>
        <w:widowControl/>
        <w:jc w:val="center"/>
        <w:rPr>
          <w:rFonts w:ascii="Times New Roman" w:hAnsi="Times New Roman" w:eastAsia="方正小标宋_GBK" w:cs="Times New Roman"/>
          <w:color w:val="000000"/>
          <w:kern w:val="0"/>
          <w:sz w:val="36"/>
          <w:szCs w:val="36"/>
        </w:rPr>
      </w:pPr>
    </w:p>
    <w:tbl>
      <w:tblPr>
        <w:tblStyle w:val="5"/>
        <w:tblW w:w="15521" w:type="dxa"/>
        <w:tblInd w:w="93" w:type="dxa"/>
        <w:tblLayout w:type="autofit"/>
        <w:tblCellMar>
          <w:top w:w="0" w:type="dxa"/>
          <w:left w:w="108" w:type="dxa"/>
          <w:bottom w:w="0" w:type="dxa"/>
          <w:right w:w="108" w:type="dxa"/>
        </w:tblCellMar>
      </w:tblPr>
      <w:tblGrid>
        <w:gridCol w:w="221"/>
        <w:gridCol w:w="222"/>
        <w:gridCol w:w="222"/>
        <w:gridCol w:w="2132"/>
        <w:gridCol w:w="1925"/>
        <w:gridCol w:w="1925"/>
        <w:gridCol w:w="1925"/>
        <w:gridCol w:w="1925"/>
        <w:gridCol w:w="1925"/>
        <w:gridCol w:w="3099"/>
      </w:tblGrid>
      <w:tr w14:paraId="13BD6154">
        <w:tblPrEx>
          <w:tblCellMar>
            <w:top w:w="0" w:type="dxa"/>
            <w:left w:w="108" w:type="dxa"/>
            <w:bottom w:w="0" w:type="dxa"/>
            <w:right w:w="108" w:type="dxa"/>
          </w:tblCellMar>
        </w:tblPrEx>
        <w:trPr>
          <w:trHeight w:val="390" w:hRule="atLeast"/>
        </w:trPr>
        <w:tc>
          <w:tcPr>
            <w:tcW w:w="15521" w:type="dxa"/>
            <w:gridSpan w:val="10"/>
            <w:tcBorders>
              <w:top w:val="nil"/>
              <w:left w:val="nil"/>
              <w:bottom w:val="nil"/>
              <w:right w:val="nil"/>
            </w:tcBorders>
            <w:shd w:val="clear" w:color="auto" w:fill="auto"/>
            <w:noWrap/>
            <w:vAlign w:val="bottom"/>
          </w:tcPr>
          <w:p w14:paraId="43A1B739">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14:paraId="3038046F">
        <w:tblPrEx>
          <w:tblCellMar>
            <w:top w:w="0" w:type="dxa"/>
            <w:left w:w="108" w:type="dxa"/>
            <w:bottom w:w="0" w:type="dxa"/>
            <w:right w:w="108" w:type="dxa"/>
          </w:tblCellMar>
        </w:tblPrEx>
        <w:trPr>
          <w:trHeight w:val="255" w:hRule="atLeast"/>
        </w:trPr>
        <w:tc>
          <w:tcPr>
            <w:tcW w:w="221" w:type="dxa"/>
            <w:tcBorders>
              <w:top w:val="nil"/>
              <w:left w:val="nil"/>
              <w:bottom w:val="nil"/>
              <w:right w:val="nil"/>
            </w:tcBorders>
            <w:shd w:val="clear" w:color="auto" w:fill="auto"/>
            <w:noWrap/>
            <w:vAlign w:val="bottom"/>
          </w:tcPr>
          <w:p w14:paraId="2C9531F3">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14:paraId="25A03D7A">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14:paraId="53427687">
            <w:pPr>
              <w:widowControl/>
              <w:jc w:val="left"/>
              <w:rPr>
                <w:rFonts w:ascii="Arial" w:hAnsi="Arial" w:eastAsia="宋体" w:cs="Arial"/>
                <w:color w:val="000000"/>
                <w:kern w:val="0"/>
                <w:sz w:val="20"/>
                <w:szCs w:val="20"/>
              </w:rPr>
            </w:pPr>
          </w:p>
        </w:tc>
        <w:tc>
          <w:tcPr>
            <w:tcW w:w="2132" w:type="dxa"/>
            <w:tcBorders>
              <w:top w:val="nil"/>
              <w:left w:val="nil"/>
              <w:bottom w:val="nil"/>
              <w:right w:val="nil"/>
            </w:tcBorders>
            <w:shd w:val="clear" w:color="auto" w:fill="auto"/>
            <w:noWrap/>
            <w:vAlign w:val="bottom"/>
          </w:tcPr>
          <w:p w14:paraId="0A76A871">
            <w:pPr>
              <w:widowControl/>
              <w:jc w:val="left"/>
              <w:rPr>
                <w:rFonts w:ascii="Arial" w:hAnsi="Arial" w:eastAsia="宋体" w:cs="Arial"/>
                <w:color w:val="000000"/>
                <w:kern w:val="0"/>
                <w:sz w:val="20"/>
                <w:szCs w:val="20"/>
              </w:rPr>
            </w:pPr>
          </w:p>
        </w:tc>
        <w:tc>
          <w:tcPr>
            <w:tcW w:w="1925" w:type="dxa"/>
            <w:tcBorders>
              <w:top w:val="nil"/>
              <w:left w:val="nil"/>
              <w:bottom w:val="nil"/>
              <w:right w:val="nil"/>
            </w:tcBorders>
            <w:shd w:val="clear" w:color="auto" w:fill="auto"/>
            <w:noWrap/>
            <w:vAlign w:val="bottom"/>
          </w:tcPr>
          <w:p w14:paraId="348955A3">
            <w:pPr>
              <w:widowControl/>
              <w:jc w:val="left"/>
              <w:rPr>
                <w:rFonts w:ascii="Arial" w:hAnsi="Arial" w:eastAsia="宋体" w:cs="Arial"/>
                <w:color w:val="000000"/>
                <w:kern w:val="0"/>
                <w:sz w:val="20"/>
                <w:szCs w:val="20"/>
              </w:rPr>
            </w:pPr>
          </w:p>
        </w:tc>
        <w:tc>
          <w:tcPr>
            <w:tcW w:w="1925" w:type="dxa"/>
            <w:tcBorders>
              <w:top w:val="nil"/>
              <w:left w:val="nil"/>
              <w:bottom w:val="nil"/>
              <w:right w:val="nil"/>
            </w:tcBorders>
            <w:shd w:val="clear" w:color="auto" w:fill="auto"/>
            <w:noWrap/>
            <w:vAlign w:val="bottom"/>
          </w:tcPr>
          <w:p w14:paraId="5EE8E29F">
            <w:pPr>
              <w:widowControl/>
              <w:jc w:val="left"/>
              <w:rPr>
                <w:rFonts w:ascii="Arial" w:hAnsi="Arial" w:eastAsia="宋体" w:cs="Arial"/>
                <w:color w:val="000000"/>
                <w:kern w:val="0"/>
                <w:sz w:val="20"/>
                <w:szCs w:val="20"/>
              </w:rPr>
            </w:pPr>
          </w:p>
        </w:tc>
        <w:tc>
          <w:tcPr>
            <w:tcW w:w="1925" w:type="dxa"/>
            <w:tcBorders>
              <w:top w:val="nil"/>
              <w:left w:val="nil"/>
              <w:bottom w:val="nil"/>
              <w:right w:val="nil"/>
            </w:tcBorders>
            <w:shd w:val="clear" w:color="auto" w:fill="auto"/>
            <w:noWrap/>
            <w:vAlign w:val="bottom"/>
          </w:tcPr>
          <w:p w14:paraId="0CE32C87">
            <w:pPr>
              <w:widowControl/>
              <w:jc w:val="left"/>
              <w:rPr>
                <w:rFonts w:ascii="Arial" w:hAnsi="Arial" w:eastAsia="宋体" w:cs="Arial"/>
                <w:color w:val="000000"/>
                <w:kern w:val="0"/>
                <w:sz w:val="20"/>
                <w:szCs w:val="20"/>
              </w:rPr>
            </w:pPr>
          </w:p>
        </w:tc>
        <w:tc>
          <w:tcPr>
            <w:tcW w:w="1925" w:type="dxa"/>
            <w:tcBorders>
              <w:top w:val="nil"/>
              <w:left w:val="nil"/>
              <w:bottom w:val="nil"/>
              <w:right w:val="nil"/>
            </w:tcBorders>
            <w:shd w:val="clear" w:color="auto" w:fill="auto"/>
            <w:noWrap/>
            <w:vAlign w:val="bottom"/>
          </w:tcPr>
          <w:p w14:paraId="23442B64">
            <w:pPr>
              <w:widowControl/>
              <w:jc w:val="left"/>
              <w:rPr>
                <w:rFonts w:ascii="Arial" w:hAnsi="Arial" w:eastAsia="宋体" w:cs="Arial"/>
                <w:color w:val="000000"/>
                <w:kern w:val="0"/>
                <w:sz w:val="20"/>
                <w:szCs w:val="20"/>
              </w:rPr>
            </w:pPr>
          </w:p>
        </w:tc>
        <w:tc>
          <w:tcPr>
            <w:tcW w:w="1925" w:type="dxa"/>
            <w:tcBorders>
              <w:top w:val="nil"/>
              <w:left w:val="nil"/>
              <w:bottom w:val="nil"/>
              <w:right w:val="nil"/>
            </w:tcBorders>
            <w:shd w:val="clear" w:color="auto" w:fill="auto"/>
            <w:noWrap/>
            <w:vAlign w:val="bottom"/>
          </w:tcPr>
          <w:p w14:paraId="4DBEF250">
            <w:pPr>
              <w:widowControl/>
              <w:jc w:val="left"/>
              <w:rPr>
                <w:rFonts w:ascii="Arial" w:hAnsi="Arial" w:eastAsia="宋体" w:cs="Arial"/>
                <w:color w:val="000000"/>
                <w:kern w:val="0"/>
                <w:sz w:val="20"/>
                <w:szCs w:val="20"/>
              </w:rPr>
            </w:pPr>
          </w:p>
        </w:tc>
        <w:tc>
          <w:tcPr>
            <w:tcW w:w="3099" w:type="dxa"/>
            <w:tcBorders>
              <w:top w:val="nil"/>
              <w:left w:val="nil"/>
              <w:bottom w:val="nil"/>
              <w:right w:val="nil"/>
            </w:tcBorders>
            <w:shd w:val="clear" w:color="auto" w:fill="auto"/>
            <w:noWrap/>
            <w:vAlign w:val="bottom"/>
          </w:tcPr>
          <w:p w14:paraId="4C94F30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14:paraId="51D1E217">
        <w:tblPrEx>
          <w:tblCellMar>
            <w:top w:w="0" w:type="dxa"/>
            <w:left w:w="108" w:type="dxa"/>
            <w:bottom w:w="0" w:type="dxa"/>
            <w:right w:w="108" w:type="dxa"/>
          </w:tblCellMar>
        </w:tblPrEx>
        <w:trPr>
          <w:trHeight w:val="255" w:hRule="atLeast"/>
        </w:trPr>
        <w:tc>
          <w:tcPr>
            <w:tcW w:w="2797" w:type="dxa"/>
            <w:gridSpan w:val="4"/>
            <w:tcBorders>
              <w:top w:val="nil"/>
              <w:left w:val="nil"/>
              <w:bottom w:val="nil"/>
              <w:right w:val="nil"/>
            </w:tcBorders>
            <w:shd w:val="clear" w:color="auto" w:fill="auto"/>
            <w:noWrap/>
            <w:vAlign w:val="bottom"/>
          </w:tcPr>
          <w:p w14:paraId="3A574A0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部门：溆浦县工商业联合会</w:t>
            </w:r>
          </w:p>
        </w:tc>
        <w:tc>
          <w:tcPr>
            <w:tcW w:w="1925" w:type="dxa"/>
            <w:tcBorders>
              <w:top w:val="nil"/>
              <w:left w:val="nil"/>
              <w:bottom w:val="nil"/>
              <w:right w:val="nil"/>
            </w:tcBorders>
            <w:shd w:val="clear" w:color="auto" w:fill="auto"/>
            <w:noWrap/>
            <w:vAlign w:val="bottom"/>
          </w:tcPr>
          <w:p w14:paraId="509CBAE7">
            <w:pPr>
              <w:widowControl/>
              <w:jc w:val="left"/>
              <w:rPr>
                <w:rFonts w:ascii="Arial" w:hAnsi="Arial" w:eastAsia="宋体" w:cs="Arial"/>
                <w:color w:val="000000"/>
                <w:kern w:val="0"/>
                <w:sz w:val="20"/>
                <w:szCs w:val="20"/>
              </w:rPr>
            </w:pPr>
          </w:p>
        </w:tc>
        <w:tc>
          <w:tcPr>
            <w:tcW w:w="1925" w:type="dxa"/>
            <w:tcBorders>
              <w:top w:val="nil"/>
              <w:left w:val="nil"/>
              <w:bottom w:val="nil"/>
              <w:right w:val="nil"/>
            </w:tcBorders>
            <w:shd w:val="clear" w:color="auto" w:fill="auto"/>
            <w:noWrap/>
            <w:vAlign w:val="bottom"/>
          </w:tcPr>
          <w:p w14:paraId="5AD73942">
            <w:pPr>
              <w:widowControl/>
              <w:jc w:val="left"/>
              <w:rPr>
                <w:rFonts w:ascii="Arial" w:hAnsi="Arial" w:eastAsia="宋体" w:cs="Arial"/>
                <w:color w:val="000000"/>
                <w:kern w:val="0"/>
                <w:sz w:val="20"/>
                <w:szCs w:val="20"/>
              </w:rPr>
            </w:pPr>
          </w:p>
        </w:tc>
        <w:tc>
          <w:tcPr>
            <w:tcW w:w="1925" w:type="dxa"/>
            <w:tcBorders>
              <w:top w:val="nil"/>
              <w:left w:val="nil"/>
              <w:bottom w:val="nil"/>
              <w:right w:val="nil"/>
            </w:tcBorders>
            <w:shd w:val="clear" w:color="auto" w:fill="auto"/>
            <w:noWrap/>
            <w:vAlign w:val="bottom"/>
          </w:tcPr>
          <w:p w14:paraId="3F5A2860">
            <w:pPr>
              <w:widowControl/>
              <w:jc w:val="left"/>
              <w:rPr>
                <w:rFonts w:ascii="Arial" w:hAnsi="Arial" w:eastAsia="宋体" w:cs="Arial"/>
                <w:color w:val="000000"/>
                <w:kern w:val="0"/>
                <w:sz w:val="20"/>
                <w:szCs w:val="20"/>
              </w:rPr>
            </w:pPr>
          </w:p>
        </w:tc>
        <w:tc>
          <w:tcPr>
            <w:tcW w:w="1925" w:type="dxa"/>
            <w:tcBorders>
              <w:top w:val="nil"/>
              <w:left w:val="nil"/>
              <w:bottom w:val="nil"/>
              <w:right w:val="nil"/>
            </w:tcBorders>
            <w:shd w:val="clear" w:color="auto" w:fill="auto"/>
            <w:noWrap/>
            <w:vAlign w:val="bottom"/>
          </w:tcPr>
          <w:p w14:paraId="74D70F82">
            <w:pPr>
              <w:widowControl/>
              <w:jc w:val="left"/>
              <w:rPr>
                <w:rFonts w:ascii="Arial" w:hAnsi="Arial" w:eastAsia="宋体" w:cs="Arial"/>
                <w:color w:val="000000"/>
                <w:kern w:val="0"/>
                <w:sz w:val="20"/>
                <w:szCs w:val="20"/>
              </w:rPr>
            </w:pPr>
          </w:p>
        </w:tc>
        <w:tc>
          <w:tcPr>
            <w:tcW w:w="1925" w:type="dxa"/>
            <w:tcBorders>
              <w:top w:val="nil"/>
              <w:left w:val="nil"/>
              <w:bottom w:val="nil"/>
              <w:right w:val="nil"/>
            </w:tcBorders>
            <w:shd w:val="clear" w:color="auto" w:fill="auto"/>
            <w:noWrap/>
            <w:vAlign w:val="bottom"/>
          </w:tcPr>
          <w:p w14:paraId="4BD981A1">
            <w:pPr>
              <w:widowControl/>
              <w:jc w:val="left"/>
              <w:rPr>
                <w:rFonts w:ascii="Arial" w:hAnsi="Arial" w:eastAsia="宋体" w:cs="Arial"/>
                <w:color w:val="000000"/>
                <w:kern w:val="0"/>
                <w:sz w:val="20"/>
                <w:szCs w:val="20"/>
              </w:rPr>
            </w:pPr>
          </w:p>
        </w:tc>
        <w:tc>
          <w:tcPr>
            <w:tcW w:w="3099" w:type="dxa"/>
            <w:tcBorders>
              <w:top w:val="nil"/>
              <w:left w:val="nil"/>
              <w:bottom w:val="nil"/>
              <w:right w:val="nil"/>
            </w:tcBorders>
            <w:shd w:val="clear" w:color="auto" w:fill="auto"/>
            <w:noWrap/>
            <w:vAlign w:val="bottom"/>
          </w:tcPr>
          <w:p w14:paraId="275D86D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29FFDC5A">
        <w:tblPrEx>
          <w:tblCellMar>
            <w:top w:w="0" w:type="dxa"/>
            <w:left w:w="108" w:type="dxa"/>
            <w:bottom w:w="0" w:type="dxa"/>
            <w:right w:w="108" w:type="dxa"/>
          </w:tblCellMar>
        </w:tblPrEx>
        <w:trPr>
          <w:trHeight w:val="308" w:hRule="atLeast"/>
        </w:trPr>
        <w:tc>
          <w:tcPr>
            <w:tcW w:w="27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196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925" w:type="dxa"/>
            <w:vMerge w:val="restart"/>
            <w:tcBorders>
              <w:top w:val="single" w:color="000000" w:sz="4" w:space="0"/>
              <w:left w:val="nil"/>
              <w:bottom w:val="single" w:color="000000" w:sz="4" w:space="0"/>
              <w:right w:val="single" w:color="000000" w:sz="4" w:space="0"/>
            </w:tcBorders>
            <w:shd w:val="clear" w:color="auto" w:fill="auto"/>
            <w:vAlign w:val="center"/>
          </w:tcPr>
          <w:p w14:paraId="40F256D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925" w:type="dxa"/>
            <w:vMerge w:val="restart"/>
            <w:tcBorders>
              <w:top w:val="single" w:color="000000" w:sz="4" w:space="0"/>
              <w:left w:val="nil"/>
              <w:bottom w:val="single" w:color="000000" w:sz="4" w:space="0"/>
              <w:right w:val="single" w:color="000000" w:sz="4" w:space="0"/>
            </w:tcBorders>
            <w:shd w:val="clear" w:color="auto" w:fill="auto"/>
            <w:vAlign w:val="center"/>
          </w:tcPr>
          <w:p w14:paraId="5038F62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5775" w:type="dxa"/>
            <w:gridSpan w:val="3"/>
            <w:tcBorders>
              <w:top w:val="single" w:color="000000" w:sz="4" w:space="0"/>
              <w:left w:val="nil"/>
              <w:bottom w:val="single" w:color="000000" w:sz="4" w:space="0"/>
              <w:right w:val="single" w:color="000000" w:sz="4" w:space="0"/>
            </w:tcBorders>
            <w:shd w:val="clear" w:color="auto" w:fill="auto"/>
            <w:vAlign w:val="center"/>
          </w:tcPr>
          <w:p w14:paraId="55CD687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3099" w:type="dxa"/>
            <w:vMerge w:val="restart"/>
            <w:tcBorders>
              <w:top w:val="single" w:color="000000" w:sz="4" w:space="0"/>
              <w:left w:val="nil"/>
              <w:bottom w:val="single" w:color="000000" w:sz="4" w:space="0"/>
              <w:right w:val="single" w:color="000000" w:sz="4" w:space="0"/>
            </w:tcBorders>
            <w:shd w:val="clear" w:color="auto" w:fill="auto"/>
            <w:vAlign w:val="center"/>
          </w:tcPr>
          <w:p w14:paraId="24C7E0F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14:paraId="27EC82F3">
        <w:tblPrEx>
          <w:tblCellMar>
            <w:top w:w="0" w:type="dxa"/>
            <w:left w:w="108" w:type="dxa"/>
            <w:bottom w:w="0" w:type="dxa"/>
            <w:right w:w="108" w:type="dxa"/>
          </w:tblCellMar>
        </w:tblPrEx>
        <w:trPr>
          <w:trHeight w:val="312" w:hRule="atLeast"/>
        </w:trPr>
        <w:tc>
          <w:tcPr>
            <w:tcW w:w="665"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8087EE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132" w:type="dxa"/>
            <w:vMerge w:val="restart"/>
            <w:tcBorders>
              <w:top w:val="nil"/>
              <w:left w:val="nil"/>
              <w:bottom w:val="single" w:color="000000" w:sz="4" w:space="0"/>
              <w:right w:val="single" w:color="000000" w:sz="4" w:space="0"/>
            </w:tcBorders>
            <w:shd w:val="clear" w:color="auto" w:fill="auto"/>
            <w:noWrap/>
            <w:vAlign w:val="center"/>
          </w:tcPr>
          <w:p w14:paraId="7E5EC50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25" w:type="dxa"/>
            <w:vMerge w:val="continue"/>
            <w:tcBorders>
              <w:top w:val="single" w:color="000000" w:sz="4" w:space="0"/>
              <w:left w:val="nil"/>
              <w:bottom w:val="single" w:color="000000" w:sz="4" w:space="0"/>
              <w:right w:val="single" w:color="000000" w:sz="4" w:space="0"/>
            </w:tcBorders>
            <w:shd w:val="clear" w:color="auto" w:fill="auto"/>
            <w:vAlign w:val="center"/>
          </w:tcPr>
          <w:p w14:paraId="2D0044A5">
            <w:pPr>
              <w:widowControl/>
              <w:jc w:val="left"/>
              <w:rPr>
                <w:rFonts w:ascii="宋体" w:hAnsi="宋体" w:eastAsia="宋体" w:cs="Arial"/>
                <w:color w:val="000000"/>
                <w:kern w:val="0"/>
                <w:sz w:val="22"/>
              </w:rPr>
            </w:pPr>
          </w:p>
        </w:tc>
        <w:tc>
          <w:tcPr>
            <w:tcW w:w="1925" w:type="dxa"/>
            <w:vMerge w:val="continue"/>
            <w:tcBorders>
              <w:top w:val="single" w:color="000000" w:sz="4" w:space="0"/>
              <w:left w:val="nil"/>
              <w:bottom w:val="single" w:color="000000" w:sz="4" w:space="0"/>
              <w:right w:val="single" w:color="000000" w:sz="4" w:space="0"/>
            </w:tcBorders>
            <w:shd w:val="clear" w:color="auto" w:fill="auto"/>
            <w:vAlign w:val="center"/>
          </w:tcPr>
          <w:p w14:paraId="618B4AC0">
            <w:pPr>
              <w:widowControl/>
              <w:jc w:val="left"/>
              <w:rPr>
                <w:rFonts w:ascii="宋体" w:hAnsi="宋体" w:eastAsia="宋体" w:cs="Arial"/>
                <w:color w:val="000000"/>
                <w:kern w:val="0"/>
                <w:sz w:val="22"/>
              </w:rPr>
            </w:pPr>
          </w:p>
        </w:tc>
        <w:tc>
          <w:tcPr>
            <w:tcW w:w="1925" w:type="dxa"/>
            <w:vMerge w:val="restart"/>
            <w:tcBorders>
              <w:top w:val="nil"/>
              <w:left w:val="nil"/>
              <w:bottom w:val="single" w:color="000000" w:sz="4" w:space="0"/>
              <w:right w:val="single" w:color="000000" w:sz="4" w:space="0"/>
            </w:tcBorders>
            <w:shd w:val="clear" w:color="auto" w:fill="auto"/>
            <w:vAlign w:val="center"/>
          </w:tcPr>
          <w:p w14:paraId="6791A42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25" w:type="dxa"/>
            <w:vMerge w:val="restart"/>
            <w:tcBorders>
              <w:top w:val="nil"/>
              <w:left w:val="nil"/>
              <w:bottom w:val="single" w:color="000000" w:sz="4" w:space="0"/>
              <w:right w:val="single" w:color="000000" w:sz="4" w:space="0"/>
            </w:tcBorders>
            <w:shd w:val="clear" w:color="auto" w:fill="auto"/>
            <w:vAlign w:val="center"/>
          </w:tcPr>
          <w:p w14:paraId="68BADCD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925" w:type="dxa"/>
            <w:vMerge w:val="restart"/>
            <w:tcBorders>
              <w:top w:val="nil"/>
              <w:left w:val="nil"/>
              <w:bottom w:val="single" w:color="000000" w:sz="4" w:space="0"/>
              <w:right w:val="single" w:color="000000" w:sz="4" w:space="0"/>
            </w:tcBorders>
            <w:shd w:val="clear" w:color="auto" w:fill="auto"/>
            <w:vAlign w:val="center"/>
          </w:tcPr>
          <w:p w14:paraId="18690E8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3099" w:type="dxa"/>
            <w:vMerge w:val="continue"/>
            <w:tcBorders>
              <w:top w:val="single" w:color="000000" w:sz="4" w:space="0"/>
              <w:left w:val="nil"/>
              <w:bottom w:val="single" w:color="000000" w:sz="4" w:space="0"/>
              <w:right w:val="single" w:color="000000" w:sz="4" w:space="0"/>
            </w:tcBorders>
            <w:shd w:val="clear" w:color="auto" w:fill="auto"/>
            <w:vAlign w:val="center"/>
          </w:tcPr>
          <w:p w14:paraId="58EE0D1C">
            <w:pPr>
              <w:widowControl/>
              <w:jc w:val="left"/>
              <w:rPr>
                <w:rFonts w:ascii="宋体" w:hAnsi="宋体" w:eastAsia="宋体" w:cs="Arial"/>
                <w:color w:val="000000"/>
                <w:kern w:val="0"/>
                <w:sz w:val="22"/>
              </w:rPr>
            </w:pPr>
          </w:p>
        </w:tc>
      </w:tr>
      <w:tr w14:paraId="5D21EEDD">
        <w:tblPrEx>
          <w:tblCellMar>
            <w:top w:w="0" w:type="dxa"/>
            <w:left w:w="108" w:type="dxa"/>
            <w:bottom w:w="0" w:type="dxa"/>
            <w:right w:w="108" w:type="dxa"/>
          </w:tblCellMar>
        </w:tblPrEx>
        <w:trPr>
          <w:trHeight w:val="312" w:hRule="atLeast"/>
        </w:trPr>
        <w:tc>
          <w:tcPr>
            <w:tcW w:w="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5B23F8E">
            <w:pPr>
              <w:widowControl/>
              <w:jc w:val="left"/>
              <w:rPr>
                <w:rFonts w:ascii="宋体" w:hAnsi="宋体" w:eastAsia="宋体" w:cs="Arial"/>
                <w:color w:val="000000"/>
                <w:kern w:val="0"/>
                <w:sz w:val="22"/>
              </w:rPr>
            </w:pPr>
          </w:p>
        </w:tc>
        <w:tc>
          <w:tcPr>
            <w:tcW w:w="2132" w:type="dxa"/>
            <w:vMerge w:val="continue"/>
            <w:tcBorders>
              <w:top w:val="nil"/>
              <w:left w:val="nil"/>
              <w:bottom w:val="single" w:color="000000" w:sz="4" w:space="0"/>
              <w:right w:val="single" w:color="000000" w:sz="4" w:space="0"/>
            </w:tcBorders>
            <w:shd w:val="clear" w:color="auto" w:fill="auto"/>
            <w:vAlign w:val="center"/>
          </w:tcPr>
          <w:p w14:paraId="0291125C">
            <w:pPr>
              <w:widowControl/>
              <w:jc w:val="left"/>
              <w:rPr>
                <w:rFonts w:ascii="宋体" w:hAnsi="宋体" w:eastAsia="宋体" w:cs="Arial"/>
                <w:color w:val="000000"/>
                <w:kern w:val="0"/>
                <w:sz w:val="22"/>
              </w:rPr>
            </w:pPr>
          </w:p>
        </w:tc>
        <w:tc>
          <w:tcPr>
            <w:tcW w:w="1925" w:type="dxa"/>
            <w:vMerge w:val="continue"/>
            <w:tcBorders>
              <w:top w:val="single" w:color="000000" w:sz="4" w:space="0"/>
              <w:left w:val="nil"/>
              <w:bottom w:val="single" w:color="000000" w:sz="4" w:space="0"/>
              <w:right w:val="single" w:color="000000" w:sz="4" w:space="0"/>
            </w:tcBorders>
            <w:shd w:val="clear" w:color="auto" w:fill="auto"/>
            <w:vAlign w:val="center"/>
          </w:tcPr>
          <w:p w14:paraId="52EEBE23">
            <w:pPr>
              <w:widowControl/>
              <w:jc w:val="left"/>
              <w:rPr>
                <w:rFonts w:ascii="宋体" w:hAnsi="宋体" w:eastAsia="宋体" w:cs="Arial"/>
                <w:color w:val="000000"/>
                <w:kern w:val="0"/>
                <w:sz w:val="22"/>
              </w:rPr>
            </w:pPr>
          </w:p>
        </w:tc>
        <w:tc>
          <w:tcPr>
            <w:tcW w:w="1925" w:type="dxa"/>
            <w:vMerge w:val="continue"/>
            <w:tcBorders>
              <w:top w:val="single" w:color="000000" w:sz="4" w:space="0"/>
              <w:left w:val="nil"/>
              <w:bottom w:val="single" w:color="000000" w:sz="4" w:space="0"/>
              <w:right w:val="single" w:color="000000" w:sz="4" w:space="0"/>
            </w:tcBorders>
            <w:shd w:val="clear" w:color="auto" w:fill="auto"/>
            <w:vAlign w:val="center"/>
          </w:tcPr>
          <w:p w14:paraId="1B48C26F">
            <w:pPr>
              <w:widowControl/>
              <w:jc w:val="left"/>
              <w:rPr>
                <w:rFonts w:ascii="宋体" w:hAnsi="宋体" w:eastAsia="宋体" w:cs="Arial"/>
                <w:color w:val="000000"/>
                <w:kern w:val="0"/>
                <w:sz w:val="22"/>
              </w:rPr>
            </w:pPr>
          </w:p>
        </w:tc>
        <w:tc>
          <w:tcPr>
            <w:tcW w:w="1925" w:type="dxa"/>
            <w:vMerge w:val="continue"/>
            <w:tcBorders>
              <w:top w:val="nil"/>
              <w:left w:val="nil"/>
              <w:bottom w:val="single" w:color="000000" w:sz="4" w:space="0"/>
              <w:right w:val="single" w:color="000000" w:sz="4" w:space="0"/>
            </w:tcBorders>
            <w:shd w:val="clear" w:color="auto" w:fill="auto"/>
            <w:vAlign w:val="center"/>
          </w:tcPr>
          <w:p w14:paraId="0CA889A1">
            <w:pPr>
              <w:widowControl/>
              <w:jc w:val="left"/>
              <w:rPr>
                <w:rFonts w:ascii="宋体" w:hAnsi="宋体" w:eastAsia="宋体" w:cs="Arial"/>
                <w:color w:val="000000"/>
                <w:kern w:val="0"/>
                <w:sz w:val="22"/>
              </w:rPr>
            </w:pPr>
          </w:p>
        </w:tc>
        <w:tc>
          <w:tcPr>
            <w:tcW w:w="1925" w:type="dxa"/>
            <w:vMerge w:val="continue"/>
            <w:tcBorders>
              <w:top w:val="nil"/>
              <w:left w:val="nil"/>
              <w:bottom w:val="single" w:color="000000" w:sz="4" w:space="0"/>
              <w:right w:val="single" w:color="000000" w:sz="4" w:space="0"/>
            </w:tcBorders>
            <w:shd w:val="clear" w:color="auto" w:fill="auto"/>
            <w:vAlign w:val="center"/>
          </w:tcPr>
          <w:p w14:paraId="7C479B7B">
            <w:pPr>
              <w:widowControl/>
              <w:jc w:val="left"/>
              <w:rPr>
                <w:rFonts w:ascii="宋体" w:hAnsi="宋体" w:eastAsia="宋体" w:cs="Arial"/>
                <w:color w:val="000000"/>
                <w:kern w:val="0"/>
                <w:sz w:val="22"/>
              </w:rPr>
            </w:pPr>
          </w:p>
        </w:tc>
        <w:tc>
          <w:tcPr>
            <w:tcW w:w="1925" w:type="dxa"/>
            <w:vMerge w:val="continue"/>
            <w:tcBorders>
              <w:top w:val="nil"/>
              <w:left w:val="nil"/>
              <w:bottom w:val="single" w:color="000000" w:sz="4" w:space="0"/>
              <w:right w:val="single" w:color="000000" w:sz="4" w:space="0"/>
            </w:tcBorders>
            <w:shd w:val="clear" w:color="auto" w:fill="auto"/>
            <w:vAlign w:val="center"/>
          </w:tcPr>
          <w:p w14:paraId="4A82AA9A">
            <w:pPr>
              <w:widowControl/>
              <w:jc w:val="left"/>
              <w:rPr>
                <w:rFonts w:ascii="宋体" w:hAnsi="宋体" w:eastAsia="宋体" w:cs="Arial"/>
                <w:color w:val="000000"/>
                <w:kern w:val="0"/>
                <w:sz w:val="22"/>
              </w:rPr>
            </w:pPr>
          </w:p>
        </w:tc>
        <w:tc>
          <w:tcPr>
            <w:tcW w:w="3099" w:type="dxa"/>
            <w:vMerge w:val="continue"/>
            <w:tcBorders>
              <w:top w:val="single" w:color="000000" w:sz="4" w:space="0"/>
              <w:left w:val="nil"/>
              <w:bottom w:val="single" w:color="000000" w:sz="4" w:space="0"/>
              <w:right w:val="single" w:color="000000" w:sz="4" w:space="0"/>
            </w:tcBorders>
            <w:shd w:val="clear" w:color="auto" w:fill="auto"/>
            <w:vAlign w:val="center"/>
          </w:tcPr>
          <w:p w14:paraId="4661894D">
            <w:pPr>
              <w:widowControl/>
              <w:jc w:val="left"/>
              <w:rPr>
                <w:rFonts w:ascii="宋体" w:hAnsi="宋体" w:eastAsia="宋体" w:cs="Arial"/>
                <w:color w:val="000000"/>
                <w:kern w:val="0"/>
                <w:sz w:val="22"/>
              </w:rPr>
            </w:pPr>
          </w:p>
        </w:tc>
      </w:tr>
      <w:tr w14:paraId="5D7CB47C">
        <w:tblPrEx>
          <w:tblCellMar>
            <w:top w:w="0" w:type="dxa"/>
            <w:left w:w="108" w:type="dxa"/>
            <w:bottom w:w="0" w:type="dxa"/>
            <w:right w:w="108" w:type="dxa"/>
          </w:tblCellMar>
        </w:tblPrEx>
        <w:trPr>
          <w:trHeight w:val="312" w:hRule="atLeast"/>
        </w:trPr>
        <w:tc>
          <w:tcPr>
            <w:tcW w:w="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4608CBC">
            <w:pPr>
              <w:widowControl/>
              <w:jc w:val="left"/>
              <w:rPr>
                <w:rFonts w:ascii="宋体" w:hAnsi="宋体" w:eastAsia="宋体" w:cs="Arial"/>
                <w:color w:val="000000"/>
                <w:kern w:val="0"/>
                <w:sz w:val="22"/>
              </w:rPr>
            </w:pPr>
          </w:p>
        </w:tc>
        <w:tc>
          <w:tcPr>
            <w:tcW w:w="2132" w:type="dxa"/>
            <w:vMerge w:val="continue"/>
            <w:tcBorders>
              <w:top w:val="nil"/>
              <w:left w:val="nil"/>
              <w:bottom w:val="single" w:color="000000" w:sz="4" w:space="0"/>
              <w:right w:val="single" w:color="000000" w:sz="4" w:space="0"/>
            </w:tcBorders>
            <w:shd w:val="clear" w:color="auto" w:fill="auto"/>
            <w:vAlign w:val="center"/>
          </w:tcPr>
          <w:p w14:paraId="4D4939FD">
            <w:pPr>
              <w:widowControl/>
              <w:jc w:val="left"/>
              <w:rPr>
                <w:rFonts w:ascii="宋体" w:hAnsi="宋体" w:eastAsia="宋体" w:cs="Arial"/>
                <w:color w:val="000000"/>
                <w:kern w:val="0"/>
                <w:sz w:val="22"/>
              </w:rPr>
            </w:pPr>
          </w:p>
        </w:tc>
        <w:tc>
          <w:tcPr>
            <w:tcW w:w="1925" w:type="dxa"/>
            <w:vMerge w:val="continue"/>
            <w:tcBorders>
              <w:top w:val="single" w:color="000000" w:sz="4" w:space="0"/>
              <w:left w:val="nil"/>
              <w:bottom w:val="single" w:color="000000" w:sz="4" w:space="0"/>
              <w:right w:val="single" w:color="000000" w:sz="4" w:space="0"/>
            </w:tcBorders>
            <w:shd w:val="clear" w:color="auto" w:fill="auto"/>
            <w:vAlign w:val="center"/>
          </w:tcPr>
          <w:p w14:paraId="5D92EFF2">
            <w:pPr>
              <w:widowControl/>
              <w:jc w:val="left"/>
              <w:rPr>
                <w:rFonts w:ascii="宋体" w:hAnsi="宋体" w:eastAsia="宋体" w:cs="Arial"/>
                <w:color w:val="000000"/>
                <w:kern w:val="0"/>
                <w:sz w:val="22"/>
              </w:rPr>
            </w:pPr>
          </w:p>
        </w:tc>
        <w:tc>
          <w:tcPr>
            <w:tcW w:w="1925" w:type="dxa"/>
            <w:vMerge w:val="continue"/>
            <w:tcBorders>
              <w:top w:val="single" w:color="000000" w:sz="4" w:space="0"/>
              <w:left w:val="nil"/>
              <w:bottom w:val="single" w:color="000000" w:sz="4" w:space="0"/>
              <w:right w:val="single" w:color="000000" w:sz="4" w:space="0"/>
            </w:tcBorders>
            <w:shd w:val="clear" w:color="auto" w:fill="auto"/>
            <w:vAlign w:val="center"/>
          </w:tcPr>
          <w:p w14:paraId="7B9F970D">
            <w:pPr>
              <w:widowControl/>
              <w:jc w:val="left"/>
              <w:rPr>
                <w:rFonts w:ascii="宋体" w:hAnsi="宋体" w:eastAsia="宋体" w:cs="Arial"/>
                <w:color w:val="000000"/>
                <w:kern w:val="0"/>
                <w:sz w:val="22"/>
              </w:rPr>
            </w:pPr>
          </w:p>
        </w:tc>
        <w:tc>
          <w:tcPr>
            <w:tcW w:w="1925" w:type="dxa"/>
            <w:vMerge w:val="continue"/>
            <w:tcBorders>
              <w:top w:val="nil"/>
              <w:left w:val="nil"/>
              <w:bottom w:val="single" w:color="000000" w:sz="4" w:space="0"/>
              <w:right w:val="single" w:color="000000" w:sz="4" w:space="0"/>
            </w:tcBorders>
            <w:shd w:val="clear" w:color="auto" w:fill="auto"/>
            <w:vAlign w:val="center"/>
          </w:tcPr>
          <w:p w14:paraId="4A60BD3F">
            <w:pPr>
              <w:widowControl/>
              <w:jc w:val="left"/>
              <w:rPr>
                <w:rFonts w:ascii="宋体" w:hAnsi="宋体" w:eastAsia="宋体" w:cs="Arial"/>
                <w:color w:val="000000"/>
                <w:kern w:val="0"/>
                <w:sz w:val="22"/>
              </w:rPr>
            </w:pPr>
          </w:p>
        </w:tc>
        <w:tc>
          <w:tcPr>
            <w:tcW w:w="1925" w:type="dxa"/>
            <w:vMerge w:val="continue"/>
            <w:tcBorders>
              <w:top w:val="nil"/>
              <w:left w:val="nil"/>
              <w:bottom w:val="single" w:color="000000" w:sz="4" w:space="0"/>
              <w:right w:val="single" w:color="000000" w:sz="4" w:space="0"/>
            </w:tcBorders>
            <w:shd w:val="clear" w:color="auto" w:fill="auto"/>
            <w:vAlign w:val="center"/>
          </w:tcPr>
          <w:p w14:paraId="280F9247">
            <w:pPr>
              <w:widowControl/>
              <w:jc w:val="left"/>
              <w:rPr>
                <w:rFonts w:ascii="宋体" w:hAnsi="宋体" w:eastAsia="宋体" w:cs="Arial"/>
                <w:color w:val="000000"/>
                <w:kern w:val="0"/>
                <w:sz w:val="22"/>
              </w:rPr>
            </w:pPr>
          </w:p>
        </w:tc>
        <w:tc>
          <w:tcPr>
            <w:tcW w:w="1925" w:type="dxa"/>
            <w:vMerge w:val="continue"/>
            <w:tcBorders>
              <w:top w:val="nil"/>
              <w:left w:val="nil"/>
              <w:bottom w:val="single" w:color="000000" w:sz="4" w:space="0"/>
              <w:right w:val="single" w:color="000000" w:sz="4" w:space="0"/>
            </w:tcBorders>
            <w:shd w:val="clear" w:color="auto" w:fill="auto"/>
            <w:vAlign w:val="center"/>
          </w:tcPr>
          <w:p w14:paraId="2BFF04D6">
            <w:pPr>
              <w:widowControl/>
              <w:jc w:val="left"/>
              <w:rPr>
                <w:rFonts w:ascii="宋体" w:hAnsi="宋体" w:eastAsia="宋体" w:cs="Arial"/>
                <w:color w:val="000000"/>
                <w:kern w:val="0"/>
                <w:sz w:val="22"/>
              </w:rPr>
            </w:pPr>
          </w:p>
        </w:tc>
        <w:tc>
          <w:tcPr>
            <w:tcW w:w="3099" w:type="dxa"/>
            <w:vMerge w:val="continue"/>
            <w:tcBorders>
              <w:top w:val="single" w:color="000000" w:sz="4" w:space="0"/>
              <w:left w:val="nil"/>
              <w:bottom w:val="single" w:color="000000" w:sz="4" w:space="0"/>
              <w:right w:val="single" w:color="000000" w:sz="4" w:space="0"/>
            </w:tcBorders>
            <w:shd w:val="clear" w:color="auto" w:fill="auto"/>
            <w:vAlign w:val="center"/>
          </w:tcPr>
          <w:p w14:paraId="76357A02">
            <w:pPr>
              <w:widowControl/>
              <w:jc w:val="left"/>
              <w:rPr>
                <w:rFonts w:ascii="宋体" w:hAnsi="宋体" w:eastAsia="宋体" w:cs="Arial"/>
                <w:color w:val="000000"/>
                <w:kern w:val="0"/>
                <w:sz w:val="22"/>
              </w:rPr>
            </w:pPr>
          </w:p>
        </w:tc>
      </w:tr>
      <w:tr w14:paraId="3716D723">
        <w:tblPrEx>
          <w:tblCellMar>
            <w:top w:w="0" w:type="dxa"/>
            <w:left w:w="108" w:type="dxa"/>
            <w:bottom w:w="0" w:type="dxa"/>
            <w:right w:w="108" w:type="dxa"/>
          </w:tblCellMar>
        </w:tblPrEx>
        <w:trPr>
          <w:trHeight w:val="308" w:hRule="atLeast"/>
        </w:trPr>
        <w:tc>
          <w:tcPr>
            <w:tcW w:w="2797" w:type="dxa"/>
            <w:gridSpan w:val="4"/>
            <w:tcBorders>
              <w:top w:val="nil"/>
              <w:left w:val="single" w:color="000000" w:sz="4" w:space="0"/>
              <w:bottom w:val="single" w:color="000000" w:sz="4" w:space="0"/>
              <w:right w:val="single" w:color="000000" w:sz="4" w:space="0"/>
            </w:tcBorders>
            <w:shd w:val="clear" w:color="auto" w:fill="auto"/>
            <w:noWrap/>
            <w:vAlign w:val="center"/>
          </w:tcPr>
          <w:p w14:paraId="27D2515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25" w:type="dxa"/>
            <w:tcBorders>
              <w:top w:val="nil"/>
              <w:left w:val="nil"/>
              <w:bottom w:val="single" w:color="000000" w:sz="4" w:space="0"/>
              <w:right w:val="single" w:color="000000" w:sz="4" w:space="0"/>
            </w:tcBorders>
            <w:shd w:val="clear" w:color="auto" w:fill="auto"/>
            <w:noWrap/>
            <w:vAlign w:val="center"/>
          </w:tcPr>
          <w:p w14:paraId="241722B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25" w:type="dxa"/>
            <w:tcBorders>
              <w:top w:val="nil"/>
              <w:left w:val="nil"/>
              <w:bottom w:val="single" w:color="000000" w:sz="4" w:space="0"/>
              <w:right w:val="single" w:color="000000" w:sz="4" w:space="0"/>
            </w:tcBorders>
            <w:shd w:val="clear" w:color="auto" w:fill="auto"/>
            <w:noWrap/>
            <w:vAlign w:val="center"/>
          </w:tcPr>
          <w:p w14:paraId="19A7338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925" w:type="dxa"/>
            <w:tcBorders>
              <w:top w:val="nil"/>
              <w:left w:val="nil"/>
              <w:bottom w:val="single" w:color="000000" w:sz="4" w:space="0"/>
              <w:right w:val="single" w:color="000000" w:sz="4" w:space="0"/>
            </w:tcBorders>
            <w:shd w:val="clear" w:color="auto" w:fill="auto"/>
            <w:noWrap/>
            <w:vAlign w:val="center"/>
          </w:tcPr>
          <w:p w14:paraId="006A534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925" w:type="dxa"/>
            <w:tcBorders>
              <w:top w:val="nil"/>
              <w:left w:val="nil"/>
              <w:bottom w:val="single" w:color="000000" w:sz="4" w:space="0"/>
              <w:right w:val="single" w:color="000000" w:sz="4" w:space="0"/>
            </w:tcBorders>
            <w:shd w:val="clear" w:color="auto" w:fill="auto"/>
            <w:noWrap/>
            <w:vAlign w:val="center"/>
          </w:tcPr>
          <w:p w14:paraId="15313C2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925" w:type="dxa"/>
            <w:tcBorders>
              <w:top w:val="nil"/>
              <w:left w:val="nil"/>
              <w:bottom w:val="single" w:color="000000" w:sz="4" w:space="0"/>
              <w:right w:val="single" w:color="000000" w:sz="4" w:space="0"/>
            </w:tcBorders>
            <w:shd w:val="clear" w:color="auto" w:fill="auto"/>
            <w:noWrap/>
            <w:vAlign w:val="center"/>
          </w:tcPr>
          <w:p w14:paraId="759DAF9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099" w:type="dxa"/>
            <w:tcBorders>
              <w:top w:val="nil"/>
              <w:left w:val="nil"/>
              <w:bottom w:val="single" w:color="000000" w:sz="4" w:space="0"/>
              <w:right w:val="single" w:color="000000" w:sz="4" w:space="0"/>
            </w:tcBorders>
            <w:shd w:val="clear" w:color="auto" w:fill="auto"/>
            <w:noWrap/>
            <w:vAlign w:val="center"/>
          </w:tcPr>
          <w:p w14:paraId="4232259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14:paraId="695D2B11">
        <w:tblPrEx>
          <w:tblCellMar>
            <w:top w:w="0" w:type="dxa"/>
            <w:left w:w="108" w:type="dxa"/>
            <w:bottom w:w="0" w:type="dxa"/>
            <w:right w:w="108" w:type="dxa"/>
          </w:tblCellMar>
        </w:tblPrEx>
        <w:trPr>
          <w:trHeight w:val="308" w:hRule="atLeast"/>
        </w:trPr>
        <w:tc>
          <w:tcPr>
            <w:tcW w:w="2797" w:type="dxa"/>
            <w:gridSpan w:val="4"/>
            <w:tcBorders>
              <w:top w:val="nil"/>
              <w:left w:val="single" w:color="000000" w:sz="4" w:space="0"/>
              <w:bottom w:val="single" w:color="000000" w:sz="4" w:space="0"/>
              <w:right w:val="single" w:color="000000" w:sz="4" w:space="0"/>
            </w:tcBorders>
            <w:shd w:val="clear" w:color="auto" w:fill="auto"/>
            <w:noWrap/>
            <w:vAlign w:val="center"/>
          </w:tcPr>
          <w:p w14:paraId="19E4682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724" w:type="dxa"/>
            <w:gridSpan w:val="6"/>
            <w:tcBorders>
              <w:top w:val="nil"/>
              <w:left w:val="nil"/>
              <w:bottom w:val="single" w:color="000000" w:sz="4" w:space="0"/>
              <w:right w:val="single" w:color="000000" w:sz="4" w:space="0"/>
            </w:tcBorders>
            <w:shd w:val="clear" w:color="auto" w:fill="auto"/>
            <w:noWrap/>
            <w:vAlign w:val="center"/>
          </w:tcPr>
          <w:p w14:paraId="7CF5CF9B">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p w14:paraId="3A70BAD8">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p w14:paraId="6CF5F411">
            <w:pPr>
              <w:widowControl/>
              <w:jc w:val="center"/>
              <w:rPr>
                <w:rFonts w:ascii="宋体" w:hAnsi="宋体" w:eastAsia="宋体" w:cs="Arial"/>
                <w:b/>
                <w:bCs/>
                <w:color w:val="000000"/>
                <w:kern w:val="0"/>
                <w:sz w:val="22"/>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p w14:paraId="6B45E869">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p w14:paraId="4D460EB7">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p w14:paraId="4AF788C5">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3FAC963D">
        <w:tblPrEx>
          <w:tblCellMar>
            <w:top w:w="0" w:type="dxa"/>
            <w:left w:w="108" w:type="dxa"/>
            <w:bottom w:w="0" w:type="dxa"/>
            <w:right w:w="108" w:type="dxa"/>
          </w:tblCellMar>
        </w:tblPrEx>
        <w:trPr>
          <w:trHeight w:val="308" w:hRule="atLeast"/>
        </w:trPr>
        <w:tc>
          <w:tcPr>
            <w:tcW w:w="665" w:type="dxa"/>
            <w:gridSpan w:val="3"/>
            <w:tcBorders>
              <w:top w:val="nil"/>
              <w:left w:val="single" w:color="000000" w:sz="4" w:space="0"/>
              <w:bottom w:val="single" w:color="000000" w:sz="4" w:space="0"/>
              <w:right w:val="single" w:color="000000" w:sz="4" w:space="0"/>
            </w:tcBorders>
            <w:shd w:val="clear" w:color="auto" w:fill="auto"/>
            <w:noWrap/>
            <w:vAlign w:val="center"/>
          </w:tcPr>
          <w:p w14:paraId="0B9C24C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32" w:type="dxa"/>
            <w:tcBorders>
              <w:top w:val="nil"/>
              <w:left w:val="nil"/>
              <w:bottom w:val="single" w:color="000000" w:sz="4" w:space="0"/>
              <w:right w:val="single" w:color="000000" w:sz="4" w:space="0"/>
            </w:tcBorders>
            <w:shd w:val="clear" w:color="auto" w:fill="auto"/>
            <w:noWrap/>
            <w:vAlign w:val="center"/>
          </w:tcPr>
          <w:p w14:paraId="4BEB884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79C9FC8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61CFBB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73017E5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6B4B746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6CB9D54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99" w:type="dxa"/>
            <w:tcBorders>
              <w:top w:val="nil"/>
              <w:left w:val="nil"/>
              <w:bottom w:val="single" w:color="000000" w:sz="4" w:space="0"/>
              <w:right w:val="single" w:color="000000" w:sz="4" w:space="0"/>
            </w:tcBorders>
            <w:shd w:val="clear" w:color="auto" w:fill="auto"/>
            <w:noWrap/>
            <w:vAlign w:val="center"/>
          </w:tcPr>
          <w:p w14:paraId="21E4943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35C1514">
        <w:tblPrEx>
          <w:tblCellMar>
            <w:top w:w="0" w:type="dxa"/>
            <w:left w:w="108" w:type="dxa"/>
            <w:bottom w:w="0" w:type="dxa"/>
            <w:right w:w="108" w:type="dxa"/>
          </w:tblCellMar>
        </w:tblPrEx>
        <w:trPr>
          <w:trHeight w:val="308" w:hRule="atLeast"/>
        </w:trPr>
        <w:tc>
          <w:tcPr>
            <w:tcW w:w="665" w:type="dxa"/>
            <w:gridSpan w:val="3"/>
            <w:tcBorders>
              <w:top w:val="nil"/>
              <w:left w:val="single" w:color="000000" w:sz="4" w:space="0"/>
              <w:bottom w:val="single" w:color="000000" w:sz="4" w:space="0"/>
              <w:right w:val="single" w:color="000000" w:sz="4" w:space="0"/>
            </w:tcBorders>
            <w:shd w:val="clear" w:color="auto" w:fill="auto"/>
            <w:noWrap/>
            <w:vAlign w:val="center"/>
          </w:tcPr>
          <w:p w14:paraId="029A91B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32" w:type="dxa"/>
            <w:tcBorders>
              <w:top w:val="nil"/>
              <w:left w:val="nil"/>
              <w:bottom w:val="single" w:color="000000" w:sz="4" w:space="0"/>
              <w:right w:val="single" w:color="000000" w:sz="4" w:space="0"/>
            </w:tcBorders>
            <w:shd w:val="clear" w:color="auto" w:fill="auto"/>
            <w:noWrap/>
            <w:vAlign w:val="center"/>
          </w:tcPr>
          <w:p w14:paraId="1024843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54D94DD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6EAFE3A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1B3EEF0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1B36E5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154A5C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99" w:type="dxa"/>
            <w:tcBorders>
              <w:top w:val="nil"/>
              <w:left w:val="nil"/>
              <w:bottom w:val="single" w:color="000000" w:sz="4" w:space="0"/>
              <w:right w:val="single" w:color="000000" w:sz="4" w:space="0"/>
            </w:tcBorders>
            <w:shd w:val="clear" w:color="auto" w:fill="auto"/>
            <w:noWrap/>
            <w:vAlign w:val="center"/>
          </w:tcPr>
          <w:p w14:paraId="6B4EA20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C93D831">
        <w:tblPrEx>
          <w:tblCellMar>
            <w:top w:w="0" w:type="dxa"/>
            <w:left w:w="108" w:type="dxa"/>
            <w:bottom w:w="0" w:type="dxa"/>
            <w:right w:w="108" w:type="dxa"/>
          </w:tblCellMar>
        </w:tblPrEx>
        <w:trPr>
          <w:trHeight w:val="308" w:hRule="atLeast"/>
        </w:trPr>
        <w:tc>
          <w:tcPr>
            <w:tcW w:w="665" w:type="dxa"/>
            <w:gridSpan w:val="3"/>
            <w:tcBorders>
              <w:top w:val="nil"/>
              <w:left w:val="single" w:color="000000" w:sz="4" w:space="0"/>
              <w:bottom w:val="single" w:color="000000" w:sz="4" w:space="0"/>
              <w:right w:val="single" w:color="000000" w:sz="4" w:space="0"/>
            </w:tcBorders>
            <w:shd w:val="clear" w:color="auto" w:fill="auto"/>
            <w:noWrap/>
            <w:vAlign w:val="center"/>
          </w:tcPr>
          <w:p w14:paraId="7C8A71C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32" w:type="dxa"/>
            <w:tcBorders>
              <w:top w:val="nil"/>
              <w:left w:val="nil"/>
              <w:bottom w:val="single" w:color="000000" w:sz="4" w:space="0"/>
              <w:right w:val="single" w:color="000000" w:sz="4" w:space="0"/>
            </w:tcBorders>
            <w:shd w:val="clear" w:color="auto" w:fill="auto"/>
            <w:noWrap/>
            <w:vAlign w:val="center"/>
          </w:tcPr>
          <w:p w14:paraId="6676A34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77E0074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567191B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4426BA1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6B5F0D9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52F20FA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99" w:type="dxa"/>
            <w:tcBorders>
              <w:top w:val="nil"/>
              <w:left w:val="nil"/>
              <w:bottom w:val="single" w:color="000000" w:sz="4" w:space="0"/>
              <w:right w:val="single" w:color="000000" w:sz="4" w:space="0"/>
            </w:tcBorders>
            <w:shd w:val="clear" w:color="auto" w:fill="auto"/>
            <w:noWrap/>
            <w:vAlign w:val="center"/>
          </w:tcPr>
          <w:p w14:paraId="2718EC6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D6AC816">
        <w:tblPrEx>
          <w:tblCellMar>
            <w:top w:w="0" w:type="dxa"/>
            <w:left w:w="108" w:type="dxa"/>
            <w:bottom w:w="0" w:type="dxa"/>
            <w:right w:w="108" w:type="dxa"/>
          </w:tblCellMar>
        </w:tblPrEx>
        <w:trPr>
          <w:trHeight w:val="308" w:hRule="atLeast"/>
        </w:trPr>
        <w:tc>
          <w:tcPr>
            <w:tcW w:w="665" w:type="dxa"/>
            <w:gridSpan w:val="3"/>
            <w:tcBorders>
              <w:top w:val="nil"/>
              <w:left w:val="single" w:color="000000" w:sz="4" w:space="0"/>
              <w:bottom w:val="single" w:color="000000" w:sz="4" w:space="0"/>
              <w:right w:val="single" w:color="000000" w:sz="4" w:space="0"/>
            </w:tcBorders>
            <w:shd w:val="clear" w:color="auto" w:fill="auto"/>
            <w:noWrap/>
            <w:vAlign w:val="center"/>
          </w:tcPr>
          <w:p w14:paraId="25E5841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32" w:type="dxa"/>
            <w:tcBorders>
              <w:top w:val="nil"/>
              <w:left w:val="nil"/>
              <w:bottom w:val="single" w:color="000000" w:sz="4" w:space="0"/>
              <w:right w:val="single" w:color="000000" w:sz="4" w:space="0"/>
            </w:tcBorders>
            <w:shd w:val="clear" w:color="auto" w:fill="auto"/>
            <w:noWrap/>
            <w:vAlign w:val="center"/>
          </w:tcPr>
          <w:p w14:paraId="2600DDD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3B10547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11A7FE5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7740D11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3141121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5FB470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99" w:type="dxa"/>
            <w:tcBorders>
              <w:top w:val="nil"/>
              <w:left w:val="nil"/>
              <w:bottom w:val="single" w:color="000000" w:sz="4" w:space="0"/>
              <w:right w:val="single" w:color="000000" w:sz="4" w:space="0"/>
            </w:tcBorders>
            <w:shd w:val="clear" w:color="auto" w:fill="auto"/>
            <w:noWrap/>
            <w:vAlign w:val="center"/>
          </w:tcPr>
          <w:p w14:paraId="6CC0F08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5B2B78A">
        <w:tblPrEx>
          <w:tblCellMar>
            <w:top w:w="0" w:type="dxa"/>
            <w:left w:w="108" w:type="dxa"/>
            <w:bottom w:w="0" w:type="dxa"/>
            <w:right w:w="108" w:type="dxa"/>
          </w:tblCellMar>
        </w:tblPrEx>
        <w:trPr>
          <w:trHeight w:val="308" w:hRule="atLeast"/>
        </w:trPr>
        <w:tc>
          <w:tcPr>
            <w:tcW w:w="665" w:type="dxa"/>
            <w:gridSpan w:val="3"/>
            <w:tcBorders>
              <w:top w:val="nil"/>
              <w:left w:val="single" w:color="000000" w:sz="4" w:space="0"/>
              <w:bottom w:val="single" w:color="000000" w:sz="4" w:space="0"/>
              <w:right w:val="single" w:color="000000" w:sz="4" w:space="0"/>
            </w:tcBorders>
            <w:shd w:val="clear" w:color="auto" w:fill="auto"/>
            <w:noWrap/>
            <w:vAlign w:val="center"/>
          </w:tcPr>
          <w:p w14:paraId="134364F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32" w:type="dxa"/>
            <w:tcBorders>
              <w:top w:val="nil"/>
              <w:left w:val="nil"/>
              <w:bottom w:val="single" w:color="000000" w:sz="4" w:space="0"/>
              <w:right w:val="single" w:color="000000" w:sz="4" w:space="0"/>
            </w:tcBorders>
            <w:shd w:val="clear" w:color="auto" w:fill="auto"/>
            <w:noWrap/>
            <w:vAlign w:val="center"/>
          </w:tcPr>
          <w:p w14:paraId="573AB9A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537F959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327C49F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1F0211A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00790C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37B93B9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99" w:type="dxa"/>
            <w:tcBorders>
              <w:top w:val="nil"/>
              <w:left w:val="nil"/>
              <w:bottom w:val="single" w:color="000000" w:sz="4" w:space="0"/>
              <w:right w:val="single" w:color="000000" w:sz="4" w:space="0"/>
            </w:tcBorders>
            <w:shd w:val="clear" w:color="auto" w:fill="auto"/>
            <w:noWrap/>
            <w:vAlign w:val="center"/>
          </w:tcPr>
          <w:p w14:paraId="539CCA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48E9EE7">
        <w:tblPrEx>
          <w:tblCellMar>
            <w:top w:w="0" w:type="dxa"/>
            <w:left w:w="108" w:type="dxa"/>
            <w:bottom w:w="0" w:type="dxa"/>
            <w:right w:w="108" w:type="dxa"/>
          </w:tblCellMar>
        </w:tblPrEx>
        <w:trPr>
          <w:trHeight w:val="308" w:hRule="atLeast"/>
        </w:trPr>
        <w:tc>
          <w:tcPr>
            <w:tcW w:w="665" w:type="dxa"/>
            <w:gridSpan w:val="3"/>
            <w:tcBorders>
              <w:top w:val="nil"/>
              <w:left w:val="single" w:color="000000" w:sz="4" w:space="0"/>
              <w:bottom w:val="single" w:color="000000" w:sz="4" w:space="0"/>
              <w:right w:val="single" w:color="000000" w:sz="4" w:space="0"/>
            </w:tcBorders>
            <w:shd w:val="clear" w:color="auto" w:fill="auto"/>
            <w:noWrap/>
            <w:vAlign w:val="center"/>
          </w:tcPr>
          <w:p w14:paraId="4F31CE2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32" w:type="dxa"/>
            <w:tcBorders>
              <w:top w:val="nil"/>
              <w:left w:val="nil"/>
              <w:bottom w:val="single" w:color="000000" w:sz="4" w:space="0"/>
              <w:right w:val="single" w:color="000000" w:sz="4" w:space="0"/>
            </w:tcBorders>
            <w:shd w:val="clear" w:color="auto" w:fill="auto"/>
            <w:noWrap/>
            <w:vAlign w:val="center"/>
          </w:tcPr>
          <w:p w14:paraId="11FBF4C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4EB9F60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276C346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39DCF9D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7583C50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25" w:type="dxa"/>
            <w:tcBorders>
              <w:top w:val="nil"/>
              <w:left w:val="nil"/>
              <w:bottom w:val="single" w:color="000000" w:sz="4" w:space="0"/>
              <w:right w:val="single" w:color="000000" w:sz="4" w:space="0"/>
            </w:tcBorders>
            <w:shd w:val="clear" w:color="auto" w:fill="auto"/>
            <w:noWrap/>
            <w:vAlign w:val="center"/>
          </w:tcPr>
          <w:p w14:paraId="7F5EDE6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99" w:type="dxa"/>
            <w:tcBorders>
              <w:top w:val="nil"/>
              <w:left w:val="nil"/>
              <w:bottom w:val="single" w:color="000000" w:sz="4" w:space="0"/>
              <w:right w:val="single" w:color="000000" w:sz="4" w:space="0"/>
            </w:tcBorders>
            <w:shd w:val="clear" w:color="auto" w:fill="auto"/>
            <w:noWrap/>
            <w:vAlign w:val="center"/>
          </w:tcPr>
          <w:p w14:paraId="6FEF16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9A24D8D">
        <w:tblPrEx>
          <w:tblCellMar>
            <w:top w:w="0" w:type="dxa"/>
            <w:left w:w="108" w:type="dxa"/>
            <w:bottom w:w="0" w:type="dxa"/>
            <w:right w:w="108" w:type="dxa"/>
          </w:tblCellMar>
        </w:tblPrEx>
        <w:trPr>
          <w:trHeight w:val="308" w:hRule="atLeast"/>
        </w:trPr>
        <w:tc>
          <w:tcPr>
            <w:tcW w:w="15521" w:type="dxa"/>
            <w:gridSpan w:val="10"/>
            <w:tcBorders>
              <w:top w:val="nil"/>
              <w:left w:val="nil"/>
              <w:bottom w:val="nil"/>
              <w:right w:val="nil"/>
            </w:tcBorders>
            <w:shd w:val="clear" w:color="auto" w:fill="auto"/>
            <w:noWrap/>
            <w:vAlign w:val="center"/>
          </w:tcPr>
          <w:p w14:paraId="53432482">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14:paraId="21DC8BC6">
      <w:pPr>
        <w:widowControl/>
        <w:jc w:val="center"/>
        <w:rPr>
          <w:rFonts w:ascii="Times New Roman" w:hAnsi="Times New Roman" w:eastAsia="方正小标宋_GBK" w:cs="Times New Roman"/>
          <w:color w:val="000000"/>
          <w:kern w:val="0"/>
          <w:sz w:val="36"/>
          <w:szCs w:val="36"/>
        </w:rPr>
      </w:pPr>
    </w:p>
    <w:p w14:paraId="794E02B0">
      <w:pPr>
        <w:widowControl/>
        <w:jc w:val="left"/>
        <w:rPr>
          <w:rFonts w:ascii="宋体" w:eastAsia="宋体" w:cs="宋体"/>
          <w:kern w:val="0"/>
          <w:sz w:val="24"/>
          <w:szCs w:val="24"/>
        </w:rPr>
      </w:pPr>
      <w:r>
        <w:rPr>
          <w:rFonts w:ascii="宋体" w:eastAsia="宋体" w:cs="宋体"/>
          <w:kern w:val="0"/>
          <w:sz w:val="24"/>
          <w:szCs w:val="24"/>
        </w:rPr>
        <w:br w:type="page"/>
      </w:r>
    </w:p>
    <w:tbl>
      <w:tblPr>
        <w:tblStyle w:val="5"/>
        <w:tblW w:w="15137" w:type="dxa"/>
        <w:tblInd w:w="0" w:type="dxa"/>
        <w:tblLayout w:type="fixed"/>
        <w:tblCellMar>
          <w:top w:w="0" w:type="dxa"/>
          <w:left w:w="0" w:type="dxa"/>
          <w:bottom w:w="0" w:type="dxa"/>
          <w:right w:w="0" w:type="dxa"/>
        </w:tblCellMar>
      </w:tblPr>
      <w:tblGrid>
        <w:gridCol w:w="299"/>
        <w:gridCol w:w="1276"/>
        <w:gridCol w:w="283"/>
        <w:gridCol w:w="3686"/>
        <w:gridCol w:w="2552"/>
        <w:gridCol w:w="3402"/>
        <w:gridCol w:w="3639"/>
      </w:tblGrid>
      <w:tr w14:paraId="71F11C63">
        <w:tblPrEx>
          <w:tblCellMar>
            <w:top w:w="0" w:type="dxa"/>
            <w:left w:w="0" w:type="dxa"/>
            <w:bottom w:w="0" w:type="dxa"/>
            <w:right w:w="0" w:type="dxa"/>
          </w:tblCellMar>
        </w:tblPrEx>
        <w:trPr>
          <w:trHeight w:val="390" w:hRule="atLeast"/>
        </w:trPr>
        <w:tc>
          <w:tcPr>
            <w:tcW w:w="15137" w:type="dxa"/>
            <w:gridSpan w:val="7"/>
            <w:tcBorders>
              <w:top w:val="nil"/>
              <w:left w:val="nil"/>
              <w:bottom w:val="nil"/>
              <w:right w:val="nil"/>
            </w:tcBorders>
            <w:shd w:val="clear" w:color="auto" w:fill="auto"/>
            <w:noWrap/>
            <w:tcMar>
              <w:top w:w="15" w:type="dxa"/>
              <w:left w:w="15" w:type="dxa"/>
              <w:bottom w:w="0" w:type="dxa"/>
              <w:right w:w="15" w:type="dxa"/>
            </w:tcMar>
            <w:vAlign w:val="bottom"/>
          </w:tcPr>
          <w:p w14:paraId="12056D14">
            <w:pPr>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14:paraId="021A4695">
        <w:tblPrEx>
          <w:tblCellMar>
            <w:top w:w="0" w:type="dxa"/>
            <w:left w:w="0" w:type="dxa"/>
            <w:bottom w:w="0" w:type="dxa"/>
            <w:right w:w="0" w:type="dxa"/>
          </w:tblCellMar>
        </w:tblPrEx>
        <w:trPr>
          <w:trHeight w:val="255" w:hRule="atLeast"/>
        </w:trPr>
        <w:tc>
          <w:tcPr>
            <w:tcW w:w="299" w:type="dxa"/>
            <w:tcBorders>
              <w:top w:val="nil"/>
              <w:left w:val="nil"/>
              <w:bottom w:val="nil"/>
              <w:right w:val="nil"/>
            </w:tcBorders>
            <w:shd w:val="clear" w:color="auto" w:fill="auto"/>
            <w:noWrap/>
            <w:tcMar>
              <w:top w:w="15" w:type="dxa"/>
              <w:left w:w="15" w:type="dxa"/>
              <w:bottom w:w="0" w:type="dxa"/>
              <w:right w:w="15" w:type="dxa"/>
            </w:tcMar>
            <w:vAlign w:val="bottom"/>
          </w:tcPr>
          <w:p w14:paraId="749B8959">
            <w:pPr>
              <w:rPr>
                <w:rFonts w:ascii="Arial" w:hAnsi="Arial" w:eastAsia="宋体" w:cs="Arial"/>
                <w:color w:val="000000"/>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tcPr>
          <w:p w14:paraId="4A1D8668">
            <w:pPr>
              <w:rPr>
                <w:rFonts w:ascii="Arial" w:hAnsi="Arial" w:eastAsia="宋体" w:cs="Arial"/>
                <w:color w:val="000000"/>
                <w:sz w:val="20"/>
                <w:szCs w:val="20"/>
              </w:rPr>
            </w:pPr>
          </w:p>
        </w:tc>
        <w:tc>
          <w:tcPr>
            <w:tcW w:w="283" w:type="dxa"/>
            <w:tcBorders>
              <w:top w:val="nil"/>
              <w:left w:val="nil"/>
              <w:bottom w:val="nil"/>
              <w:right w:val="nil"/>
            </w:tcBorders>
            <w:shd w:val="clear" w:color="auto" w:fill="auto"/>
            <w:noWrap/>
            <w:tcMar>
              <w:top w:w="15" w:type="dxa"/>
              <w:left w:w="15" w:type="dxa"/>
              <w:bottom w:w="0" w:type="dxa"/>
              <w:right w:w="15" w:type="dxa"/>
            </w:tcMar>
            <w:vAlign w:val="bottom"/>
          </w:tcPr>
          <w:p w14:paraId="6D59E78B">
            <w:pPr>
              <w:rPr>
                <w:rFonts w:ascii="Arial" w:hAnsi="Arial" w:eastAsia="宋体" w:cs="Arial"/>
                <w:color w:val="000000"/>
                <w:sz w:val="20"/>
                <w:szCs w:val="20"/>
              </w:rPr>
            </w:pPr>
          </w:p>
        </w:tc>
        <w:tc>
          <w:tcPr>
            <w:tcW w:w="3686" w:type="dxa"/>
            <w:tcBorders>
              <w:top w:val="nil"/>
              <w:left w:val="nil"/>
              <w:bottom w:val="nil"/>
              <w:right w:val="nil"/>
            </w:tcBorders>
            <w:shd w:val="clear" w:color="auto" w:fill="auto"/>
            <w:noWrap/>
            <w:tcMar>
              <w:top w:w="15" w:type="dxa"/>
              <w:left w:w="15" w:type="dxa"/>
              <w:bottom w:w="0" w:type="dxa"/>
              <w:right w:w="15" w:type="dxa"/>
            </w:tcMar>
            <w:vAlign w:val="bottom"/>
          </w:tcPr>
          <w:p w14:paraId="4C49B5DB">
            <w:pPr>
              <w:rPr>
                <w:rFonts w:ascii="Arial" w:hAnsi="Arial" w:eastAsia="宋体" w:cs="Arial"/>
                <w:color w:val="000000"/>
                <w:sz w:val="20"/>
                <w:szCs w:val="20"/>
              </w:rPr>
            </w:pPr>
          </w:p>
        </w:tc>
        <w:tc>
          <w:tcPr>
            <w:tcW w:w="2552" w:type="dxa"/>
            <w:tcBorders>
              <w:top w:val="nil"/>
              <w:left w:val="nil"/>
              <w:bottom w:val="nil"/>
              <w:right w:val="nil"/>
            </w:tcBorders>
            <w:shd w:val="clear" w:color="auto" w:fill="auto"/>
            <w:noWrap/>
            <w:tcMar>
              <w:top w:w="15" w:type="dxa"/>
              <w:left w:w="15" w:type="dxa"/>
              <w:bottom w:w="0" w:type="dxa"/>
              <w:right w:w="15" w:type="dxa"/>
            </w:tcMar>
            <w:vAlign w:val="bottom"/>
          </w:tcPr>
          <w:p w14:paraId="6B3A9DAE">
            <w:pPr>
              <w:rPr>
                <w:rFonts w:ascii="Arial" w:hAnsi="Arial" w:eastAsia="宋体" w:cs="Arial"/>
                <w:color w:val="000000"/>
                <w:sz w:val="20"/>
                <w:szCs w:val="20"/>
              </w:rPr>
            </w:pPr>
          </w:p>
        </w:tc>
        <w:tc>
          <w:tcPr>
            <w:tcW w:w="3402" w:type="dxa"/>
            <w:tcBorders>
              <w:top w:val="nil"/>
              <w:left w:val="nil"/>
              <w:bottom w:val="nil"/>
              <w:right w:val="nil"/>
            </w:tcBorders>
            <w:shd w:val="clear" w:color="auto" w:fill="auto"/>
            <w:noWrap/>
            <w:tcMar>
              <w:top w:w="15" w:type="dxa"/>
              <w:left w:w="15" w:type="dxa"/>
              <w:bottom w:w="0" w:type="dxa"/>
              <w:right w:w="15" w:type="dxa"/>
            </w:tcMar>
            <w:vAlign w:val="bottom"/>
          </w:tcPr>
          <w:p w14:paraId="6D58F618">
            <w:pPr>
              <w:rPr>
                <w:rFonts w:ascii="Arial" w:hAnsi="Arial" w:eastAsia="宋体" w:cs="Arial"/>
                <w:color w:val="000000"/>
                <w:sz w:val="20"/>
                <w:szCs w:val="20"/>
              </w:rPr>
            </w:pPr>
          </w:p>
        </w:tc>
        <w:tc>
          <w:tcPr>
            <w:tcW w:w="3639" w:type="dxa"/>
            <w:tcBorders>
              <w:top w:val="nil"/>
              <w:left w:val="nil"/>
              <w:bottom w:val="nil"/>
              <w:right w:val="nil"/>
            </w:tcBorders>
            <w:shd w:val="clear" w:color="auto" w:fill="auto"/>
            <w:noWrap/>
            <w:tcMar>
              <w:top w:w="15" w:type="dxa"/>
              <w:left w:w="15" w:type="dxa"/>
              <w:bottom w:w="0" w:type="dxa"/>
              <w:right w:w="15" w:type="dxa"/>
            </w:tcMar>
            <w:vAlign w:val="bottom"/>
          </w:tcPr>
          <w:p w14:paraId="5948852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14:paraId="680AB8D6">
        <w:tblPrEx>
          <w:tblCellMar>
            <w:top w:w="0" w:type="dxa"/>
            <w:left w:w="0" w:type="dxa"/>
            <w:bottom w:w="0" w:type="dxa"/>
            <w:right w:w="0" w:type="dxa"/>
          </w:tblCellMar>
        </w:tblPrEx>
        <w:trPr>
          <w:trHeight w:val="255" w:hRule="atLeast"/>
        </w:trPr>
        <w:tc>
          <w:tcPr>
            <w:tcW w:w="5544"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3777867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部门：溆浦县工商业联合会</w:t>
            </w:r>
          </w:p>
        </w:tc>
        <w:tc>
          <w:tcPr>
            <w:tcW w:w="2552" w:type="dxa"/>
            <w:tcBorders>
              <w:top w:val="nil"/>
              <w:left w:val="nil"/>
              <w:bottom w:val="nil"/>
              <w:right w:val="nil"/>
            </w:tcBorders>
            <w:shd w:val="clear" w:color="auto" w:fill="auto"/>
            <w:noWrap/>
            <w:tcMar>
              <w:top w:w="15" w:type="dxa"/>
              <w:left w:w="15" w:type="dxa"/>
              <w:bottom w:w="0" w:type="dxa"/>
              <w:right w:w="15" w:type="dxa"/>
            </w:tcMar>
            <w:vAlign w:val="bottom"/>
          </w:tcPr>
          <w:p w14:paraId="1D8F13A7">
            <w:pPr>
              <w:widowControl/>
              <w:jc w:val="center"/>
              <w:rPr>
                <w:rFonts w:ascii="宋体" w:hAnsi="宋体" w:eastAsia="宋体" w:cs="Arial"/>
                <w:color w:val="000000"/>
                <w:kern w:val="0"/>
                <w:sz w:val="22"/>
              </w:rPr>
            </w:pPr>
          </w:p>
        </w:tc>
        <w:tc>
          <w:tcPr>
            <w:tcW w:w="3402" w:type="dxa"/>
            <w:tcBorders>
              <w:top w:val="nil"/>
              <w:left w:val="nil"/>
              <w:bottom w:val="nil"/>
              <w:right w:val="nil"/>
            </w:tcBorders>
            <w:shd w:val="clear" w:color="auto" w:fill="auto"/>
            <w:noWrap/>
            <w:tcMar>
              <w:top w:w="15" w:type="dxa"/>
              <w:left w:w="15" w:type="dxa"/>
              <w:bottom w:w="0" w:type="dxa"/>
              <w:right w:w="15" w:type="dxa"/>
            </w:tcMar>
            <w:vAlign w:val="bottom"/>
          </w:tcPr>
          <w:p w14:paraId="58050A76">
            <w:pPr>
              <w:widowControl/>
              <w:jc w:val="center"/>
              <w:rPr>
                <w:rFonts w:ascii="宋体" w:hAnsi="宋体" w:eastAsia="宋体" w:cs="Arial"/>
                <w:color w:val="000000"/>
                <w:kern w:val="0"/>
                <w:sz w:val="22"/>
              </w:rPr>
            </w:pPr>
          </w:p>
        </w:tc>
        <w:tc>
          <w:tcPr>
            <w:tcW w:w="3639" w:type="dxa"/>
            <w:tcBorders>
              <w:top w:val="nil"/>
              <w:left w:val="nil"/>
              <w:bottom w:val="nil"/>
              <w:right w:val="nil"/>
            </w:tcBorders>
            <w:shd w:val="clear" w:color="auto" w:fill="auto"/>
            <w:noWrap/>
            <w:tcMar>
              <w:top w:w="15" w:type="dxa"/>
              <w:left w:w="15" w:type="dxa"/>
              <w:bottom w:w="0" w:type="dxa"/>
              <w:right w:w="15" w:type="dxa"/>
            </w:tcMar>
            <w:vAlign w:val="bottom"/>
          </w:tcPr>
          <w:p w14:paraId="67C92FE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14:paraId="5541DD70">
        <w:tblPrEx>
          <w:tblCellMar>
            <w:top w:w="0" w:type="dxa"/>
            <w:left w:w="0" w:type="dxa"/>
            <w:bottom w:w="0" w:type="dxa"/>
            <w:right w:w="0" w:type="dxa"/>
          </w:tblCellMar>
        </w:tblPrEx>
        <w:trPr>
          <w:trHeight w:val="308" w:hRule="atLeast"/>
        </w:trPr>
        <w:tc>
          <w:tcPr>
            <w:tcW w:w="5544" w:type="dxa"/>
            <w:gridSpan w:val="4"/>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bottom w:w="0" w:type="dxa"/>
              <w:right w:w="15" w:type="dxa"/>
            </w:tcMar>
            <w:vAlign w:val="center"/>
          </w:tcPr>
          <w:p w14:paraId="6376D1A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9593" w:type="dxa"/>
            <w:gridSpan w:val="3"/>
            <w:tcBorders>
              <w:top w:val="single" w:color="000000" w:sz="4" w:space="0"/>
              <w:left w:val="nil"/>
              <w:bottom w:val="single" w:color="000000" w:sz="4" w:space="0"/>
              <w:right w:val="single" w:color="000000" w:sz="4" w:space="0"/>
            </w:tcBorders>
            <w:shd w:val="clear" w:color="FFFFFF" w:fill="auto"/>
            <w:tcMar>
              <w:top w:w="15" w:type="dxa"/>
              <w:left w:w="15" w:type="dxa"/>
              <w:bottom w:w="0" w:type="dxa"/>
              <w:right w:w="15" w:type="dxa"/>
            </w:tcMar>
            <w:vAlign w:val="center"/>
          </w:tcPr>
          <w:p w14:paraId="04623C9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14:paraId="38754DFF">
        <w:tblPrEx>
          <w:tblCellMar>
            <w:top w:w="0" w:type="dxa"/>
            <w:left w:w="0" w:type="dxa"/>
            <w:bottom w:w="0" w:type="dxa"/>
            <w:right w:w="0" w:type="dxa"/>
          </w:tblCellMar>
        </w:tblPrEx>
        <w:trPr>
          <w:trHeight w:val="312" w:hRule="atLeast"/>
        </w:trPr>
        <w:tc>
          <w:tcPr>
            <w:tcW w:w="1575" w:type="dxa"/>
            <w:gridSpan w:val="2"/>
            <w:vMerge w:val="restart"/>
            <w:tcBorders>
              <w:top w:val="nil"/>
              <w:left w:val="single" w:color="000000" w:sz="4" w:space="0"/>
              <w:bottom w:val="single" w:color="000000" w:sz="4" w:space="0"/>
              <w:right w:val="single" w:color="000000" w:sz="4" w:space="0"/>
            </w:tcBorders>
            <w:shd w:val="clear" w:color="FFFFFF" w:fill="auto"/>
            <w:tcMar>
              <w:top w:w="15" w:type="dxa"/>
              <w:left w:w="15" w:type="dxa"/>
              <w:bottom w:w="0" w:type="dxa"/>
              <w:right w:w="15" w:type="dxa"/>
            </w:tcMar>
            <w:vAlign w:val="center"/>
          </w:tcPr>
          <w:p w14:paraId="22FB52B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969" w:type="dxa"/>
            <w:gridSpan w:val="2"/>
            <w:vMerge w:val="restart"/>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510408B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552" w:type="dxa"/>
            <w:vMerge w:val="restart"/>
            <w:tcBorders>
              <w:top w:val="nil"/>
              <w:left w:val="nil"/>
              <w:bottom w:val="single" w:color="000000" w:sz="4" w:space="0"/>
              <w:right w:val="single" w:color="000000" w:sz="4" w:space="0"/>
            </w:tcBorders>
            <w:shd w:val="clear" w:color="FFFFFF" w:fill="auto"/>
            <w:tcMar>
              <w:top w:w="15" w:type="dxa"/>
              <w:left w:w="15" w:type="dxa"/>
              <w:bottom w:w="0" w:type="dxa"/>
              <w:right w:w="15" w:type="dxa"/>
            </w:tcMar>
            <w:vAlign w:val="center"/>
          </w:tcPr>
          <w:p w14:paraId="797C5FA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402" w:type="dxa"/>
            <w:vMerge w:val="restart"/>
            <w:tcBorders>
              <w:top w:val="nil"/>
              <w:left w:val="nil"/>
              <w:bottom w:val="single" w:color="000000" w:sz="4" w:space="0"/>
              <w:right w:val="single" w:color="000000" w:sz="4" w:space="0"/>
            </w:tcBorders>
            <w:shd w:val="clear" w:color="FFFFFF" w:fill="auto"/>
            <w:tcMar>
              <w:top w:w="15" w:type="dxa"/>
              <w:left w:w="15" w:type="dxa"/>
              <w:bottom w:w="0" w:type="dxa"/>
              <w:right w:w="15" w:type="dxa"/>
            </w:tcMar>
            <w:vAlign w:val="center"/>
          </w:tcPr>
          <w:p w14:paraId="41C7F4F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3639" w:type="dxa"/>
            <w:vMerge w:val="restart"/>
            <w:tcBorders>
              <w:top w:val="nil"/>
              <w:left w:val="nil"/>
              <w:bottom w:val="single" w:color="000000" w:sz="4" w:space="0"/>
              <w:right w:val="single" w:color="000000" w:sz="4" w:space="0"/>
            </w:tcBorders>
            <w:shd w:val="clear" w:color="FFFFFF" w:fill="auto"/>
            <w:tcMar>
              <w:top w:w="15" w:type="dxa"/>
              <w:left w:w="15" w:type="dxa"/>
              <w:bottom w:w="0" w:type="dxa"/>
              <w:right w:w="15" w:type="dxa"/>
            </w:tcMar>
            <w:vAlign w:val="center"/>
          </w:tcPr>
          <w:p w14:paraId="288AB92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14:paraId="128181B4">
        <w:tblPrEx>
          <w:tblCellMar>
            <w:top w:w="0" w:type="dxa"/>
            <w:left w:w="0" w:type="dxa"/>
            <w:bottom w:w="0" w:type="dxa"/>
            <w:right w:w="0" w:type="dxa"/>
          </w:tblCellMar>
        </w:tblPrEx>
        <w:trPr>
          <w:trHeight w:val="312" w:hRule="atLeast"/>
        </w:trPr>
        <w:tc>
          <w:tcPr>
            <w:tcW w:w="1575" w:type="dxa"/>
            <w:gridSpan w:val="2"/>
            <w:vMerge w:val="continue"/>
            <w:tcBorders>
              <w:top w:val="nil"/>
              <w:left w:val="single" w:color="000000" w:sz="4" w:space="0"/>
              <w:bottom w:val="single" w:color="000000" w:sz="4" w:space="0"/>
              <w:right w:val="single" w:color="000000" w:sz="4" w:space="0"/>
            </w:tcBorders>
            <w:shd w:val="clear" w:color="FFFFFF" w:fill="auto"/>
            <w:vAlign w:val="center"/>
          </w:tcPr>
          <w:p w14:paraId="7D0B2DC2">
            <w:pPr>
              <w:widowControl/>
              <w:jc w:val="center"/>
              <w:rPr>
                <w:rFonts w:ascii="宋体" w:hAnsi="宋体" w:eastAsia="宋体" w:cs="Arial"/>
                <w:color w:val="000000"/>
                <w:kern w:val="0"/>
                <w:sz w:val="22"/>
              </w:rPr>
            </w:pPr>
          </w:p>
        </w:tc>
        <w:tc>
          <w:tcPr>
            <w:tcW w:w="3969" w:type="dxa"/>
            <w:gridSpan w:val="2"/>
            <w:vMerge w:val="continue"/>
            <w:tcBorders>
              <w:top w:val="nil"/>
              <w:left w:val="nil"/>
              <w:bottom w:val="single" w:color="000000" w:sz="4" w:space="0"/>
              <w:right w:val="single" w:color="000000" w:sz="4" w:space="0"/>
            </w:tcBorders>
            <w:shd w:val="clear" w:color="FFFFFF" w:fill="auto"/>
            <w:vAlign w:val="center"/>
          </w:tcPr>
          <w:p w14:paraId="1A211346">
            <w:pPr>
              <w:widowControl/>
              <w:jc w:val="center"/>
              <w:rPr>
                <w:rFonts w:ascii="宋体" w:hAnsi="宋体" w:eastAsia="宋体" w:cs="Arial"/>
                <w:color w:val="000000"/>
                <w:kern w:val="0"/>
                <w:sz w:val="22"/>
              </w:rPr>
            </w:pPr>
          </w:p>
        </w:tc>
        <w:tc>
          <w:tcPr>
            <w:tcW w:w="2552" w:type="dxa"/>
            <w:vMerge w:val="continue"/>
            <w:tcBorders>
              <w:top w:val="nil"/>
              <w:left w:val="nil"/>
              <w:bottom w:val="single" w:color="000000" w:sz="4" w:space="0"/>
              <w:right w:val="single" w:color="000000" w:sz="4" w:space="0"/>
            </w:tcBorders>
            <w:shd w:val="clear" w:color="FFFFFF" w:fill="auto"/>
            <w:vAlign w:val="center"/>
          </w:tcPr>
          <w:p w14:paraId="3DE8AB6F">
            <w:pPr>
              <w:widowControl/>
              <w:jc w:val="center"/>
              <w:rPr>
                <w:rFonts w:ascii="宋体" w:hAnsi="宋体" w:eastAsia="宋体" w:cs="Arial"/>
                <w:color w:val="000000"/>
                <w:kern w:val="0"/>
                <w:sz w:val="22"/>
              </w:rPr>
            </w:pPr>
          </w:p>
        </w:tc>
        <w:tc>
          <w:tcPr>
            <w:tcW w:w="3402" w:type="dxa"/>
            <w:vMerge w:val="continue"/>
            <w:tcBorders>
              <w:top w:val="nil"/>
              <w:left w:val="nil"/>
              <w:bottom w:val="single" w:color="000000" w:sz="4" w:space="0"/>
              <w:right w:val="single" w:color="000000" w:sz="4" w:space="0"/>
            </w:tcBorders>
            <w:shd w:val="clear" w:color="FFFFFF" w:fill="auto"/>
            <w:vAlign w:val="center"/>
          </w:tcPr>
          <w:p w14:paraId="7815B0F9">
            <w:pPr>
              <w:widowControl/>
              <w:jc w:val="center"/>
              <w:rPr>
                <w:rFonts w:ascii="宋体" w:hAnsi="宋体" w:eastAsia="宋体" w:cs="Arial"/>
                <w:color w:val="000000"/>
                <w:kern w:val="0"/>
                <w:sz w:val="22"/>
              </w:rPr>
            </w:pPr>
          </w:p>
        </w:tc>
        <w:tc>
          <w:tcPr>
            <w:tcW w:w="3639" w:type="dxa"/>
            <w:vMerge w:val="continue"/>
            <w:tcBorders>
              <w:top w:val="nil"/>
              <w:left w:val="nil"/>
              <w:bottom w:val="single" w:color="000000" w:sz="4" w:space="0"/>
              <w:right w:val="single" w:color="000000" w:sz="4" w:space="0"/>
            </w:tcBorders>
            <w:shd w:val="clear" w:color="FFFFFF" w:fill="auto"/>
            <w:vAlign w:val="center"/>
          </w:tcPr>
          <w:p w14:paraId="189004D3">
            <w:pPr>
              <w:widowControl/>
              <w:jc w:val="center"/>
              <w:rPr>
                <w:rFonts w:ascii="宋体" w:hAnsi="宋体" w:eastAsia="宋体" w:cs="Arial"/>
                <w:color w:val="000000"/>
                <w:kern w:val="0"/>
                <w:sz w:val="22"/>
              </w:rPr>
            </w:pPr>
          </w:p>
        </w:tc>
      </w:tr>
      <w:tr w14:paraId="5AEF2F66">
        <w:tblPrEx>
          <w:tblCellMar>
            <w:top w:w="0" w:type="dxa"/>
            <w:left w:w="0" w:type="dxa"/>
            <w:bottom w:w="0" w:type="dxa"/>
            <w:right w:w="0" w:type="dxa"/>
          </w:tblCellMar>
        </w:tblPrEx>
        <w:trPr>
          <w:trHeight w:val="312" w:hRule="atLeast"/>
        </w:trPr>
        <w:tc>
          <w:tcPr>
            <w:tcW w:w="1575" w:type="dxa"/>
            <w:gridSpan w:val="2"/>
            <w:vMerge w:val="continue"/>
            <w:tcBorders>
              <w:top w:val="nil"/>
              <w:left w:val="single" w:color="000000" w:sz="4" w:space="0"/>
              <w:bottom w:val="single" w:color="000000" w:sz="4" w:space="0"/>
              <w:right w:val="single" w:color="000000" w:sz="4" w:space="0"/>
            </w:tcBorders>
            <w:shd w:val="clear" w:color="FFFFFF" w:fill="auto"/>
            <w:vAlign w:val="center"/>
          </w:tcPr>
          <w:p w14:paraId="51C6DAF8">
            <w:pPr>
              <w:widowControl/>
              <w:jc w:val="center"/>
              <w:rPr>
                <w:rFonts w:ascii="宋体" w:hAnsi="宋体" w:eastAsia="宋体" w:cs="Arial"/>
                <w:color w:val="000000"/>
                <w:kern w:val="0"/>
                <w:sz w:val="22"/>
              </w:rPr>
            </w:pPr>
          </w:p>
        </w:tc>
        <w:tc>
          <w:tcPr>
            <w:tcW w:w="3969" w:type="dxa"/>
            <w:gridSpan w:val="2"/>
            <w:vMerge w:val="continue"/>
            <w:tcBorders>
              <w:top w:val="nil"/>
              <w:left w:val="nil"/>
              <w:bottom w:val="single" w:color="000000" w:sz="4" w:space="0"/>
              <w:right w:val="single" w:color="000000" w:sz="4" w:space="0"/>
            </w:tcBorders>
            <w:shd w:val="clear" w:color="FFFFFF" w:fill="auto"/>
            <w:vAlign w:val="center"/>
          </w:tcPr>
          <w:p w14:paraId="00F052C2">
            <w:pPr>
              <w:widowControl/>
              <w:jc w:val="center"/>
              <w:rPr>
                <w:rFonts w:ascii="宋体" w:hAnsi="宋体" w:eastAsia="宋体" w:cs="Arial"/>
                <w:color w:val="000000"/>
                <w:kern w:val="0"/>
                <w:sz w:val="22"/>
              </w:rPr>
            </w:pPr>
          </w:p>
        </w:tc>
        <w:tc>
          <w:tcPr>
            <w:tcW w:w="2552" w:type="dxa"/>
            <w:vMerge w:val="continue"/>
            <w:tcBorders>
              <w:top w:val="nil"/>
              <w:left w:val="nil"/>
              <w:bottom w:val="single" w:color="000000" w:sz="4" w:space="0"/>
              <w:right w:val="single" w:color="000000" w:sz="4" w:space="0"/>
            </w:tcBorders>
            <w:shd w:val="clear" w:color="FFFFFF" w:fill="auto"/>
            <w:vAlign w:val="center"/>
          </w:tcPr>
          <w:p w14:paraId="4E102BCD">
            <w:pPr>
              <w:widowControl/>
              <w:jc w:val="center"/>
              <w:rPr>
                <w:rFonts w:ascii="宋体" w:hAnsi="宋体" w:eastAsia="宋体" w:cs="Arial"/>
                <w:color w:val="000000"/>
                <w:kern w:val="0"/>
                <w:sz w:val="22"/>
              </w:rPr>
            </w:pPr>
          </w:p>
        </w:tc>
        <w:tc>
          <w:tcPr>
            <w:tcW w:w="3402" w:type="dxa"/>
            <w:vMerge w:val="continue"/>
            <w:tcBorders>
              <w:top w:val="nil"/>
              <w:left w:val="nil"/>
              <w:bottom w:val="single" w:color="000000" w:sz="4" w:space="0"/>
              <w:right w:val="single" w:color="000000" w:sz="4" w:space="0"/>
            </w:tcBorders>
            <w:shd w:val="clear" w:color="FFFFFF" w:fill="auto"/>
            <w:vAlign w:val="center"/>
          </w:tcPr>
          <w:p w14:paraId="4EA613D2">
            <w:pPr>
              <w:widowControl/>
              <w:jc w:val="center"/>
              <w:rPr>
                <w:rFonts w:ascii="宋体" w:hAnsi="宋体" w:eastAsia="宋体" w:cs="Arial"/>
                <w:color w:val="000000"/>
                <w:kern w:val="0"/>
                <w:sz w:val="22"/>
              </w:rPr>
            </w:pPr>
          </w:p>
        </w:tc>
        <w:tc>
          <w:tcPr>
            <w:tcW w:w="3639" w:type="dxa"/>
            <w:vMerge w:val="continue"/>
            <w:tcBorders>
              <w:top w:val="nil"/>
              <w:left w:val="nil"/>
              <w:bottom w:val="single" w:color="000000" w:sz="4" w:space="0"/>
              <w:right w:val="single" w:color="000000" w:sz="4" w:space="0"/>
            </w:tcBorders>
            <w:shd w:val="clear" w:color="FFFFFF" w:fill="auto"/>
            <w:vAlign w:val="center"/>
          </w:tcPr>
          <w:p w14:paraId="1A7D5417">
            <w:pPr>
              <w:widowControl/>
              <w:jc w:val="center"/>
              <w:rPr>
                <w:rFonts w:ascii="宋体" w:hAnsi="宋体" w:eastAsia="宋体" w:cs="Arial"/>
                <w:color w:val="000000"/>
                <w:kern w:val="0"/>
                <w:sz w:val="22"/>
              </w:rPr>
            </w:pPr>
          </w:p>
        </w:tc>
      </w:tr>
      <w:tr w14:paraId="4072F407">
        <w:tblPrEx>
          <w:tblCellMar>
            <w:top w:w="0" w:type="dxa"/>
            <w:left w:w="0" w:type="dxa"/>
            <w:bottom w:w="0" w:type="dxa"/>
            <w:right w:w="0" w:type="dxa"/>
          </w:tblCellMar>
        </w:tblPrEx>
        <w:trPr>
          <w:trHeight w:val="308" w:hRule="atLeast"/>
        </w:trPr>
        <w:tc>
          <w:tcPr>
            <w:tcW w:w="5544" w:type="dxa"/>
            <w:gridSpan w:val="4"/>
            <w:tcBorders>
              <w:top w:val="nil"/>
              <w:left w:val="single" w:color="000000" w:sz="4" w:space="0"/>
              <w:bottom w:val="single" w:color="000000" w:sz="4" w:space="0"/>
              <w:right w:val="single" w:color="000000" w:sz="4" w:space="0"/>
            </w:tcBorders>
            <w:shd w:val="clear" w:color="FFFFFF" w:fill="auto"/>
            <w:noWrap/>
            <w:tcMar>
              <w:top w:w="15" w:type="dxa"/>
              <w:left w:w="15" w:type="dxa"/>
              <w:bottom w:w="0" w:type="dxa"/>
              <w:right w:w="15" w:type="dxa"/>
            </w:tcMar>
            <w:vAlign w:val="center"/>
          </w:tcPr>
          <w:p w14:paraId="1538F5C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552"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6590E21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402"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2116ABB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639"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381D160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14:paraId="7127872E">
        <w:tblPrEx>
          <w:tblCellMar>
            <w:top w:w="0" w:type="dxa"/>
            <w:left w:w="0" w:type="dxa"/>
            <w:bottom w:w="0" w:type="dxa"/>
            <w:right w:w="0" w:type="dxa"/>
          </w:tblCellMar>
        </w:tblPrEx>
        <w:trPr>
          <w:trHeight w:val="308" w:hRule="atLeast"/>
        </w:trPr>
        <w:tc>
          <w:tcPr>
            <w:tcW w:w="5544" w:type="dxa"/>
            <w:gridSpan w:val="4"/>
            <w:tcBorders>
              <w:top w:val="nil"/>
              <w:left w:val="single" w:color="000000" w:sz="4" w:space="0"/>
              <w:bottom w:val="single" w:color="000000" w:sz="4" w:space="0"/>
              <w:right w:val="single" w:color="000000" w:sz="4" w:space="0"/>
            </w:tcBorders>
            <w:shd w:val="clear" w:color="FFFFFF" w:fill="auto"/>
            <w:noWrap/>
            <w:tcMar>
              <w:top w:w="15" w:type="dxa"/>
              <w:left w:w="15" w:type="dxa"/>
              <w:bottom w:w="0" w:type="dxa"/>
              <w:right w:w="15" w:type="dxa"/>
            </w:tcMar>
            <w:vAlign w:val="center"/>
          </w:tcPr>
          <w:p w14:paraId="0FB772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593" w:type="dxa"/>
            <w:gridSpan w:val="3"/>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4CC39D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p w14:paraId="67C4650E">
            <w:pPr>
              <w:widowControl/>
              <w:jc w:val="center"/>
              <w:rPr>
                <w:rFonts w:ascii="宋体" w:hAnsi="宋体" w:eastAsia="宋体" w:cs="Arial"/>
                <w:color w:val="000000"/>
                <w:kern w:val="0"/>
                <w:sz w:val="22"/>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p w14:paraId="2D1433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AD37876">
        <w:tblPrEx>
          <w:tblCellMar>
            <w:top w:w="0" w:type="dxa"/>
            <w:left w:w="0" w:type="dxa"/>
            <w:bottom w:w="0" w:type="dxa"/>
            <w:right w:w="0" w:type="dxa"/>
          </w:tblCellMar>
        </w:tblPrEx>
        <w:trPr>
          <w:trHeight w:val="308" w:hRule="atLeast"/>
        </w:trPr>
        <w:tc>
          <w:tcPr>
            <w:tcW w:w="1575" w:type="dxa"/>
            <w:gridSpan w:val="2"/>
            <w:tcBorders>
              <w:top w:val="nil"/>
              <w:left w:val="single" w:color="000000" w:sz="4" w:space="0"/>
              <w:bottom w:val="single" w:color="000000" w:sz="4" w:space="0"/>
              <w:right w:val="single" w:color="000000" w:sz="4" w:space="0"/>
            </w:tcBorders>
            <w:shd w:val="clear" w:color="FFFFFF" w:fill="auto"/>
            <w:noWrap/>
            <w:tcMar>
              <w:top w:w="15" w:type="dxa"/>
              <w:left w:w="15" w:type="dxa"/>
              <w:bottom w:w="0" w:type="dxa"/>
              <w:right w:w="15" w:type="dxa"/>
            </w:tcMar>
            <w:vAlign w:val="center"/>
          </w:tcPr>
          <w:p w14:paraId="35BFA5A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gridSpan w:val="2"/>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5CD4B76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552"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5363DB7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402"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3AEF364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639"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27A3B6C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r>
      <w:tr w14:paraId="7ADB0422">
        <w:tblPrEx>
          <w:tblCellMar>
            <w:top w:w="0" w:type="dxa"/>
            <w:left w:w="0" w:type="dxa"/>
            <w:bottom w:w="0" w:type="dxa"/>
            <w:right w:w="0" w:type="dxa"/>
          </w:tblCellMar>
        </w:tblPrEx>
        <w:trPr>
          <w:trHeight w:val="308" w:hRule="atLeast"/>
        </w:trPr>
        <w:tc>
          <w:tcPr>
            <w:tcW w:w="1575" w:type="dxa"/>
            <w:gridSpan w:val="2"/>
            <w:tcBorders>
              <w:top w:val="nil"/>
              <w:left w:val="single" w:color="000000" w:sz="4" w:space="0"/>
              <w:bottom w:val="single" w:color="000000" w:sz="4" w:space="0"/>
              <w:right w:val="single" w:color="000000" w:sz="4" w:space="0"/>
            </w:tcBorders>
            <w:shd w:val="clear" w:color="FFFFFF" w:fill="auto"/>
            <w:noWrap/>
            <w:tcMar>
              <w:top w:w="15" w:type="dxa"/>
              <w:left w:w="15" w:type="dxa"/>
              <w:bottom w:w="0" w:type="dxa"/>
              <w:right w:w="15" w:type="dxa"/>
            </w:tcMar>
            <w:vAlign w:val="center"/>
          </w:tcPr>
          <w:p w14:paraId="134E4F0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gridSpan w:val="2"/>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5A2FB8E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552"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293E23B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402"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15EBC51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639"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66E156F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r>
      <w:tr w14:paraId="34FE61F2">
        <w:tblPrEx>
          <w:tblCellMar>
            <w:top w:w="0" w:type="dxa"/>
            <w:left w:w="0" w:type="dxa"/>
            <w:bottom w:w="0" w:type="dxa"/>
            <w:right w:w="0" w:type="dxa"/>
          </w:tblCellMar>
        </w:tblPrEx>
        <w:trPr>
          <w:trHeight w:val="308" w:hRule="atLeast"/>
        </w:trPr>
        <w:tc>
          <w:tcPr>
            <w:tcW w:w="1575" w:type="dxa"/>
            <w:gridSpan w:val="2"/>
            <w:tcBorders>
              <w:top w:val="nil"/>
              <w:left w:val="single" w:color="000000" w:sz="4" w:space="0"/>
              <w:bottom w:val="single" w:color="000000" w:sz="4" w:space="0"/>
              <w:right w:val="single" w:color="000000" w:sz="4" w:space="0"/>
            </w:tcBorders>
            <w:shd w:val="clear" w:color="FFFFFF" w:fill="auto"/>
            <w:noWrap/>
            <w:tcMar>
              <w:top w:w="15" w:type="dxa"/>
              <w:left w:w="15" w:type="dxa"/>
              <w:bottom w:w="0" w:type="dxa"/>
              <w:right w:w="15" w:type="dxa"/>
            </w:tcMar>
            <w:vAlign w:val="center"/>
          </w:tcPr>
          <w:p w14:paraId="36812BF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gridSpan w:val="2"/>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1BA7EAF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552"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4749D16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402"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6008CE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639" w:type="dxa"/>
            <w:tcBorders>
              <w:top w:val="nil"/>
              <w:left w:val="nil"/>
              <w:bottom w:val="single" w:color="000000" w:sz="4" w:space="0"/>
              <w:right w:val="single" w:color="000000" w:sz="4" w:space="0"/>
            </w:tcBorders>
            <w:shd w:val="clear" w:color="FFFFFF" w:fill="auto"/>
            <w:noWrap/>
            <w:tcMar>
              <w:top w:w="15" w:type="dxa"/>
              <w:left w:w="15" w:type="dxa"/>
              <w:bottom w:w="0" w:type="dxa"/>
              <w:right w:w="15" w:type="dxa"/>
            </w:tcMar>
            <w:vAlign w:val="center"/>
          </w:tcPr>
          <w:p w14:paraId="3B18D1F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r>
      <w:tr w14:paraId="766DB29E">
        <w:tblPrEx>
          <w:tblCellMar>
            <w:top w:w="0" w:type="dxa"/>
            <w:left w:w="0" w:type="dxa"/>
            <w:bottom w:w="0" w:type="dxa"/>
            <w:right w:w="0" w:type="dxa"/>
          </w:tblCellMar>
        </w:tblPrEx>
        <w:trPr>
          <w:trHeight w:val="308" w:hRule="atLeast"/>
        </w:trPr>
        <w:tc>
          <w:tcPr>
            <w:tcW w:w="15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7BBB21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gridSpan w:val="2"/>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760CF87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552"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22FBD84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402"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5EFB3F4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63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7E24128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r>
      <w:tr w14:paraId="67A4A2DE">
        <w:tblPrEx>
          <w:tblCellMar>
            <w:top w:w="0" w:type="dxa"/>
            <w:left w:w="0" w:type="dxa"/>
            <w:bottom w:w="0" w:type="dxa"/>
            <w:right w:w="0" w:type="dxa"/>
          </w:tblCellMar>
        </w:tblPrEx>
        <w:trPr>
          <w:trHeight w:val="308" w:hRule="atLeast"/>
        </w:trPr>
        <w:tc>
          <w:tcPr>
            <w:tcW w:w="15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9051A2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gridSpan w:val="2"/>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0F8DF80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552"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0F87C13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402"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67BE83A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63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5DA52BD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r>
      <w:tr w14:paraId="544190DC">
        <w:tblPrEx>
          <w:tblCellMar>
            <w:top w:w="0" w:type="dxa"/>
            <w:left w:w="0" w:type="dxa"/>
            <w:bottom w:w="0" w:type="dxa"/>
            <w:right w:w="0" w:type="dxa"/>
          </w:tblCellMar>
        </w:tblPrEx>
        <w:trPr>
          <w:trHeight w:val="308" w:hRule="atLeast"/>
        </w:trPr>
        <w:tc>
          <w:tcPr>
            <w:tcW w:w="15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8BA79E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gridSpan w:val="2"/>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25A233D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552"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0923CFB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402"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12CC401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63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14:paraId="2D48388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r>
      <w:tr w14:paraId="7FB5877A">
        <w:tblPrEx>
          <w:tblCellMar>
            <w:top w:w="0" w:type="dxa"/>
            <w:left w:w="0" w:type="dxa"/>
            <w:bottom w:w="0" w:type="dxa"/>
            <w:right w:w="0" w:type="dxa"/>
          </w:tblCellMar>
        </w:tblPrEx>
        <w:trPr>
          <w:trHeight w:val="308" w:hRule="atLeast"/>
        </w:trPr>
        <w:tc>
          <w:tcPr>
            <w:tcW w:w="15137" w:type="dxa"/>
            <w:gridSpan w:val="7"/>
            <w:tcBorders>
              <w:top w:val="nil"/>
              <w:left w:val="nil"/>
              <w:bottom w:val="nil"/>
              <w:right w:val="nil"/>
            </w:tcBorders>
            <w:shd w:val="clear" w:color="auto" w:fill="auto"/>
            <w:noWrap/>
            <w:tcMar>
              <w:top w:w="15" w:type="dxa"/>
              <w:left w:w="15" w:type="dxa"/>
              <w:bottom w:w="0" w:type="dxa"/>
              <w:right w:w="15" w:type="dxa"/>
            </w:tcMar>
            <w:vAlign w:val="center"/>
          </w:tcPr>
          <w:p w14:paraId="693408C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bl>
    <w:p w14:paraId="2DE8A222">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r>
        <w:rPr>
          <w:rFonts w:hint="eastAsia" w:ascii="Times New Roman" w:hAnsi="Times New Roman" w:cs="Times New Roman"/>
          <w:kern w:val="0"/>
          <w:szCs w:val="21"/>
        </w:rPr>
        <w:t>溆浦县工商业联合会没有政府性基金收入，也没有使用政府性基金安排的支出，故本表无数据</w:t>
      </w:r>
      <w:r>
        <w:rPr>
          <w:rFonts w:ascii="Times New Roman" w:hAnsi="Times New Roman" w:cs="Times New Roman"/>
          <w:kern w:val="0"/>
          <w:szCs w:val="21"/>
        </w:rPr>
        <w:t>)。</w:t>
      </w:r>
    </w:p>
    <w:p w14:paraId="773598E2">
      <w:pPr>
        <w:widowControl/>
        <w:jc w:val="left"/>
        <w:rPr>
          <w:rFonts w:ascii="黑体" w:hAnsi="黑体" w:eastAsia="黑体"/>
          <w:szCs w:val="21"/>
        </w:rPr>
      </w:pPr>
      <w:r>
        <w:rPr>
          <w:rFonts w:ascii="黑体" w:hAnsi="黑体" w:eastAsia="黑体"/>
          <w:szCs w:val="21"/>
        </w:rPr>
        <w:br w:type="page"/>
      </w:r>
    </w:p>
    <w:p w14:paraId="5F221B9C">
      <w:pPr>
        <w:pStyle w:val="9"/>
        <w:rPr>
          <w:sz w:val="72"/>
          <w:szCs w:val="72"/>
        </w:rPr>
      </w:pPr>
    </w:p>
    <w:tbl>
      <w:tblPr>
        <w:tblStyle w:val="5"/>
        <w:tblW w:w="15038" w:type="dxa"/>
        <w:tblInd w:w="93" w:type="dxa"/>
        <w:tblLayout w:type="autofit"/>
        <w:tblCellMar>
          <w:top w:w="0" w:type="dxa"/>
          <w:left w:w="108" w:type="dxa"/>
          <w:bottom w:w="0" w:type="dxa"/>
          <w:right w:w="108" w:type="dxa"/>
        </w:tblCellMar>
      </w:tblPr>
      <w:tblGrid>
        <w:gridCol w:w="1008"/>
        <w:gridCol w:w="1559"/>
        <w:gridCol w:w="1003"/>
        <w:gridCol w:w="1420"/>
        <w:gridCol w:w="1420"/>
        <w:gridCol w:w="853"/>
        <w:gridCol w:w="851"/>
        <w:gridCol w:w="1420"/>
        <w:gridCol w:w="1110"/>
        <w:gridCol w:w="1420"/>
        <w:gridCol w:w="1410"/>
        <w:gridCol w:w="1564"/>
      </w:tblGrid>
      <w:tr w14:paraId="6CD85F80">
        <w:tblPrEx>
          <w:tblCellMar>
            <w:top w:w="0" w:type="dxa"/>
            <w:left w:w="108" w:type="dxa"/>
            <w:bottom w:w="0" w:type="dxa"/>
            <w:right w:w="108" w:type="dxa"/>
          </w:tblCellMar>
        </w:tblPrEx>
        <w:trPr>
          <w:trHeight w:val="540" w:hRule="atLeast"/>
        </w:trPr>
        <w:tc>
          <w:tcPr>
            <w:tcW w:w="15038" w:type="dxa"/>
            <w:gridSpan w:val="12"/>
            <w:tcBorders>
              <w:top w:val="nil"/>
              <w:left w:val="nil"/>
              <w:bottom w:val="nil"/>
              <w:right w:val="nil"/>
            </w:tcBorders>
            <w:shd w:val="clear" w:color="auto" w:fill="auto"/>
            <w:noWrap/>
            <w:vAlign w:val="bottom"/>
          </w:tcPr>
          <w:p w14:paraId="62A3DB04">
            <w:pPr>
              <w:jc w:val="center"/>
              <w:rPr>
                <w:rFonts w:ascii="宋体" w:hAnsi="宋体" w:eastAsia="宋体" w:cs="Arial"/>
                <w:color w:val="000000"/>
                <w:kern w:val="0"/>
                <w:sz w:val="44"/>
                <w:szCs w:val="44"/>
              </w:rPr>
            </w:pPr>
            <w:r>
              <w:rPr>
                <w:rFonts w:hint="eastAsia" w:ascii="宋体" w:hAnsi="宋体" w:eastAsia="宋体" w:cs="Arial"/>
                <w:color w:val="000000"/>
                <w:kern w:val="0"/>
                <w:sz w:val="30"/>
                <w:szCs w:val="30"/>
              </w:rPr>
              <w:t>财政拨款“三公”经费支出决算表</w:t>
            </w:r>
          </w:p>
        </w:tc>
      </w:tr>
      <w:tr w14:paraId="145AB7AA">
        <w:tblPrEx>
          <w:tblCellMar>
            <w:top w:w="0" w:type="dxa"/>
            <w:left w:w="108" w:type="dxa"/>
            <w:bottom w:w="0" w:type="dxa"/>
            <w:right w:w="108" w:type="dxa"/>
          </w:tblCellMar>
        </w:tblPrEx>
        <w:trPr>
          <w:trHeight w:val="255" w:hRule="atLeast"/>
        </w:trPr>
        <w:tc>
          <w:tcPr>
            <w:tcW w:w="1008" w:type="dxa"/>
            <w:tcBorders>
              <w:top w:val="nil"/>
              <w:left w:val="nil"/>
              <w:bottom w:val="nil"/>
              <w:right w:val="nil"/>
            </w:tcBorders>
            <w:shd w:val="clear" w:color="auto" w:fill="auto"/>
            <w:noWrap/>
            <w:vAlign w:val="bottom"/>
          </w:tcPr>
          <w:p w14:paraId="46069A84">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14:paraId="33DC4C10">
            <w:pPr>
              <w:widowControl/>
              <w:jc w:val="left"/>
              <w:rPr>
                <w:rFonts w:ascii="Arial" w:hAnsi="Arial" w:eastAsia="宋体" w:cs="Arial"/>
                <w:color w:val="000000"/>
                <w:kern w:val="0"/>
                <w:sz w:val="20"/>
                <w:szCs w:val="20"/>
              </w:rPr>
            </w:pPr>
          </w:p>
        </w:tc>
        <w:tc>
          <w:tcPr>
            <w:tcW w:w="1003" w:type="dxa"/>
            <w:tcBorders>
              <w:top w:val="nil"/>
              <w:left w:val="nil"/>
              <w:bottom w:val="nil"/>
              <w:right w:val="nil"/>
            </w:tcBorders>
            <w:shd w:val="clear" w:color="auto" w:fill="auto"/>
            <w:noWrap/>
            <w:vAlign w:val="bottom"/>
          </w:tcPr>
          <w:p w14:paraId="694CA9E9">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4EC893EC">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628ECEA9">
            <w:pPr>
              <w:widowControl/>
              <w:jc w:val="left"/>
              <w:rPr>
                <w:rFonts w:ascii="Arial" w:hAnsi="Arial" w:eastAsia="宋体" w:cs="Arial"/>
                <w:color w:val="000000"/>
                <w:kern w:val="0"/>
                <w:sz w:val="20"/>
                <w:szCs w:val="20"/>
              </w:rPr>
            </w:pPr>
          </w:p>
        </w:tc>
        <w:tc>
          <w:tcPr>
            <w:tcW w:w="853" w:type="dxa"/>
            <w:tcBorders>
              <w:top w:val="nil"/>
              <w:left w:val="nil"/>
              <w:bottom w:val="nil"/>
              <w:right w:val="nil"/>
            </w:tcBorders>
            <w:shd w:val="clear" w:color="auto" w:fill="auto"/>
            <w:noWrap/>
            <w:vAlign w:val="bottom"/>
          </w:tcPr>
          <w:p w14:paraId="165E9D72">
            <w:pPr>
              <w:widowControl/>
              <w:jc w:val="left"/>
              <w:rPr>
                <w:rFonts w:ascii="Arial" w:hAnsi="Arial" w:eastAsia="宋体" w:cs="Arial"/>
                <w:color w:val="000000"/>
                <w:kern w:val="0"/>
                <w:sz w:val="20"/>
                <w:szCs w:val="20"/>
              </w:rPr>
            </w:pPr>
          </w:p>
        </w:tc>
        <w:tc>
          <w:tcPr>
            <w:tcW w:w="851" w:type="dxa"/>
            <w:tcBorders>
              <w:top w:val="nil"/>
              <w:left w:val="nil"/>
              <w:bottom w:val="nil"/>
              <w:right w:val="nil"/>
            </w:tcBorders>
            <w:shd w:val="clear" w:color="auto" w:fill="auto"/>
            <w:noWrap/>
            <w:vAlign w:val="bottom"/>
          </w:tcPr>
          <w:p w14:paraId="39FCBE7E">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291CEEA3">
            <w:pPr>
              <w:widowControl/>
              <w:jc w:val="left"/>
              <w:rPr>
                <w:rFonts w:ascii="Arial" w:hAnsi="Arial" w:eastAsia="宋体" w:cs="Arial"/>
                <w:color w:val="000000"/>
                <w:kern w:val="0"/>
                <w:sz w:val="20"/>
                <w:szCs w:val="20"/>
              </w:rPr>
            </w:pPr>
          </w:p>
        </w:tc>
        <w:tc>
          <w:tcPr>
            <w:tcW w:w="1110" w:type="dxa"/>
            <w:tcBorders>
              <w:top w:val="nil"/>
              <w:left w:val="nil"/>
              <w:bottom w:val="nil"/>
              <w:right w:val="nil"/>
            </w:tcBorders>
            <w:shd w:val="clear" w:color="auto" w:fill="auto"/>
            <w:noWrap/>
            <w:vAlign w:val="bottom"/>
          </w:tcPr>
          <w:p w14:paraId="701F418B">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62E7A151">
            <w:pPr>
              <w:widowControl/>
              <w:jc w:val="left"/>
              <w:rPr>
                <w:rFonts w:ascii="Arial" w:hAnsi="Arial" w:eastAsia="宋体" w:cs="Arial"/>
                <w:color w:val="000000"/>
                <w:kern w:val="0"/>
                <w:sz w:val="20"/>
                <w:szCs w:val="20"/>
              </w:rPr>
            </w:pPr>
          </w:p>
        </w:tc>
        <w:tc>
          <w:tcPr>
            <w:tcW w:w="1410" w:type="dxa"/>
            <w:tcBorders>
              <w:top w:val="nil"/>
              <w:left w:val="nil"/>
              <w:bottom w:val="nil"/>
              <w:right w:val="nil"/>
            </w:tcBorders>
            <w:shd w:val="clear" w:color="auto" w:fill="auto"/>
            <w:noWrap/>
            <w:vAlign w:val="bottom"/>
          </w:tcPr>
          <w:p w14:paraId="5EADA79D">
            <w:pPr>
              <w:widowControl/>
              <w:jc w:val="left"/>
              <w:rPr>
                <w:rFonts w:ascii="Arial" w:hAnsi="Arial" w:eastAsia="宋体" w:cs="Arial"/>
                <w:color w:val="000000"/>
                <w:kern w:val="0"/>
                <w:sz w:val="20"/>
                <w:szCs w:val="20"/>
              </w:rPr>
            </w:pPr>
          </w:p>
        </w:tc>
        <w:tc>
          <w:tcPr>
            <w:tcW w:w="1564" w:type="dxa"/>
            <w:tcBorders>
              <w:top w:val="nil"/>
              <w:left w:val="nil"/>
              <w:bottom w:val="nil"/>
              <w:right w:val="nil"/>
            </w:tcBorders>
            <w:shd w:val="clear" w:color="auto" w:fill="auto"/>
            <w:noWrap/>
            <w:vAlign w:val="bottom"/>
          </w:tcPr>
          <w:p w14:paraId="7F30485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14:paraId="28BF8716">
        <w:tblPrEx>
          <w:tblCellMar>
            <w:top w:w="0" w:type="dxa"/>
            <w:left w:w="108" w:type="dxa"/>
            <w:bottom w:w="0" w:type="dxa"/>
            <w:right w:w="108" w:type="dxa"/>
          </w:tblCellMar>
        </w:tblPrEx>
        <w:trPr>
          <w:trHeight w:val="255" w:hRule="atLeast"/>
        </w:trPr>
        <w:tc>
          <w:tcPr>
            <w:tcW w:w="2567" w:type="dxa"/>
            <w:gridSpan w:val="2"/>
            <w:tcBorders>
              <w:top w:val="nil"/>
              <w:left w:val="nil"/>
              <w:bottom w:val="nil"/>
              <w:right w:val="nil"/>
            </w:tcBorders>
            <w:shd w:val="clear" w:color="auto" w:fill="auto"/>
            <w:noWrap/>
            <w:vAlign w:val="bottom"/>
          </w:tcPr>
          <w:p w14:paraId="0FEB328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部门：溆浦县工商业联合会</w:t>
            </w:r>
          </w:p>
        </w:tc>
        <w:tc>
          <w:tcPr>
            <w:tcW w:w="1003" w:type="dxa"/>
            <w:tcBorders>
              <w:top w:val="nil"/>
              <w:left w:val="nil"/>
              <w:bottom w:val="nil"/>
              <w:right w:val="nil"/>
            </w:tcBorders>
            <w:shd w:val="clear" w:color="auto" w:fill="auto"/>
            <w:noWrap/>
            <w:vAlign w:val="bottom"/>
          </w:tcPr>
          <w:p w14:paraId="2BC617BB">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3F0E125A">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6B9B3EFC">
            <w:pPr>
              <w:widowControl/>
              <w:jc w:val="left"/>
              <w:rPr>
                <w:rFonts w:ascii="Arial" w:hAnsi="Arial" w:eastAsia="宋体" w:cs="Arial"/>
                <w:color w:val="000000"/>
                <w:kern w:val="0"/>
                <w:sz w:val="20"/>
                <w:szCs w:val="20"/>
              </w:rPr>
            </w:pPr>
          </w:p>
        </w:tc>
        <w:tc>
          <w:tcPr>
            <w:tcW w:w="853" w:type="dxa"/>
            <w:tcBorders>
              <w:top w:val="nil"/>
              <w:left w:val="nil"/>
              <w:bottom w:val="nil"/>
              <w:right w:val="nil"/>
            </w:tcBorders>
            <w:shd w:val="clear" w:color="auto" w:fill="auto"/>
            <w:noWrap/>
            <w:vAlign w:val="bottom"/>
          </w:tcPr>
          <w:p w14:paraId="60DF262D">
            <w:pPr>
              <w:widowControl/>
              <w:jc w:val="left"/>
              <w:rPr>
                <w:rFonts w:ascii="Arial" w:hAnsi="Arial" w:eastAsia="宋体" w:cs="Arial"/>
                <w:color w:val="000000"/>
                <w:kern w:val="0"/>
                <w:sz w:val="20"/>
                <w:szCs w:val="20"/>
              </w:rPr>
            </w:pPr>
          </w:p>
        </w:tc>
        <w:tc>
          <w:tcPr>
            <w:tcW w:w="851" w:type="dxa"/>
            <w:tcBorders>
              <w:top w:val="nil"/>
              <w:left w:val="nil"/>
              <w:bottom w:val="nil"/>
              <w:right w:val="nil"/>
            </w:tcBorders>
            <w:shd w:val="clear" w:color="auto" w:fill="auto"/>
            <w:noWrap/>
            <w:vAlign w:val="bottom"/>
          </w:tcPr>
          <w:p w14:paraId="297CA51A">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1C3702D2">
            <w:pPr>
              <w:widowControl/>
              <w:jc w:val="left"/>
              <w:rPr>
                <w:rFonts w:ascii="Arial" w:hAnsi="Arial" w:eastAsia="宋体" w:cs="Arial"/>
                <w:color w:val="000000"/>
                <w:kern w:val="0"/>
                <w:sz w:val="20"/>
                <w:szCs w:val="20"/>
              </w:rPr>
            </w:pPr>
          </w:p>
        </w:tc>
        <w:tc>
          <w:tcPr>
            <w:tcW w:w="1110" w:type="dxa"/>
            <w:tcBorders>
              <w:top w:val="nil"/>
              <w:left w:val="nil"/>
              <w:bottom w:val="nil"/>
              <w:right w:val="nil"/>
            </w:tcBorders>
            <w:shd w:val="clear" w:color="auto" w:fill="auto"/>
            <w:noWrap/>
            <w:vAlign w:val="bottom"/>
          </w:tcPr>
          <w:p w14:paraId="58B1ACAB">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2B4BED6F">
            <w:pPr>
              <w:widowControl/>
              <w:jc w:val="left"/>
              <w:rPr>
                <w:rFonts w:ascii="Arial" w:hAnsi="Arial" w:eastAsia="宋体" w:cs="Arial"/>
                <w:color w:val="000000"/>
                <w:kern w:val="0"/>
                <w:sz w:val="20"/>
                <w:szCs w:val="20"/>
              </w:rPr>
            </w:pPr>
          </w:p>
        </w:tc>
        <w:tc>
          <w:tcPr>
            <w:tcW w:w="1410" w:type="dxa"/>
            <w:tcBorders>
              <w:top w:val="nil"/>
              <w:left w:val="nil"/>
              <w:bottom w:val="nil"/>
              <w:right w:val="nil"/>
            </w:tcBorders>
            <w:shd w:val="clear" w:color="auto" w:fill="auto"/>
            <w:noWrap/>
            <w:vAlign w:val="bottom"/>
          </w:tcPr>
          <w:p w14:paraId="0F37FCC0">
            <w:pPr>
              <w:widowControl/>
              <w:jc w:val="left"/>
              <w:rPr>
                <w:rFonts w:ascii="Arial" w:hAnsi="Arial" w:eastAsia="宋体" w:cs="Arial"/>
                <w:color w:val="000000"/>
                <w:kern w:val="0"/>
                <w:sz w:val="20"/>
                <w:szCs w:val="20"/>
              </w:rPr>
            </w:pPr>
          </w:p>
        </w:tc>
        <w:tc>
          <w:tcPr>
            <w:tcW w:w="1564" w:type="dxa"/>
            <w:tcBorders>
              <w:top w:val="nil"/>
              <w:left w:val="nil"/>
              <w:bottom w:val="nil"/>
              <w:right w:val="nil"/>
            </w:tcBorders>
            <w:shd w:val="clear" w:color="auto" w:fill="auto"/>
            <w:noWrap/>
            <w:vAlign w:val="bottom"/>
          </w:tcPr>
          <w:p w14:paraId="6D8A2EC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606EBCAC">
        <w:tblPrEx>
          <w:tblCellMar>
            <w:top w:w="0" w:type="dxa"/>
            <w:left w:w="108" w:type="dxa"/>
            <w:bottom w:w="0" w:type="dxa"/>
            <w:right w:w="108" w:type="dxa"/>
          </w:tblCellMar>
        </w:tblPrEx>
        <w:trPr>
          <w:trHeight w:val="308" w:hRule="atLeast"/>
        </w:trPr>
        <w:tc>
          <w:tcPr>
            <w:tcW w:w="7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C5ADE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7775" w:type="dxa"/>
            <w:gridSpan w:val="6"/>
            <w:tcBorders>
              <w:top w:val="single" w:color="000000" w:sz="4" w:space="0"/>
              <w:left w:val="nil"/>
              <w:bottom w:val="single" w:color="000000" w:sz="4" w:space="0"/>
              <w:right w:val="single" w:color="000000" w:sz="4" w:space="0"/>
            </w:tcBorders>
            <w:shd w:val="clear" w:color="auto" w:fill="auto"/>
            <w:vAlign w:val="center"/>
          </w:tcPr>
          <w:p w14:paraId="072842D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14:paraId="57BB26CF">
        <w:tblPrEx>
          <w:tblCellMar>
            <w:top w:w="0" w:type="dxa"/>
            <w:left w:w="108" w:type="dxa"/>
            <w:bottom w:w="0" w:type="dxa"/>
            <w:right w:w="108" w:type="dxa"/>
          </w:tblCellMar>
        </w:tblPrEx>
        <w:trPr>
          <w:trHeight w:val="308" w:hRule="atLeast"/>
        </w:trPr>
        <w:tc>
          <w:tcPr>
            <w:tcW w:w="1008" w:type="dxa"/>
            <w:vMerge w:val="restart"/>
            <w:tcBorders>
              <w:top w:val="nil"/>
              <w:left w:val="single" w:color="000000" w:sz="4" w:space="0"/>
              <w:bottom w:val="single" w:color="000000" w:sz="4" w:space="0"/>
              <w:right w:val="single" w:color="000000" w:sz="4" w:space="0"/>
            </w:tcBorders>
            <w:shd w:val="clear" w:color="auto" w:fill="auto"/>
            <w:vAlign w:val="center"/>
          </w:tcPr>
          <w:p w14:paraId="0E10018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59" w:type="dxa"/>
            <w:vMerge w:val="restart"/>
            <w:tcBorders>
              <w:top w:val="nil"/>
              <w:left w:val="nil"/>
              <w:bottom w:val="single" w:color="000000" w:sz="4" w:space="0"/>
              <w:right w:val="single" w:color="000000" w:sz="4" w:space="0"/>
            </w:tcBorders>
            <w:shd w:val="clear" w:color="auto" w:fill="auto"/>
            <w:vAlign w:val="center"/>
          </w:tcPr>
          <w:p w14:paraId="12378A3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843" w:type="dxa"/>
            <w:gridSpan w:val="3"/>
            <w:tcBorders>
              <w:top w:val="nil"/>
              <w:left w:val="nil"/>
              <w:bottom w:val="single" w:color="000000" w:sz="4" w:space="0"/>
              <w:right w:val="single" w:color="000000" w:sz="4" w:space="0"/>
            </w:tcBorders>
            <w:shd w:val="clear" w:color="auto" w:fill="auto"/>
            <w:vAlign w:val="center"/>
          </w:tcPr>
          <w:p w14:paraId="184CD80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853" w:type="dxa"/>
            <w:vMerge w:val="restart"/>
            <w:tcBorders>
              <w:top w:val="nil"/>
              <w:left w:val="nil"/>
              <w:bottom w:val="single" w:color="000000" w:sz="4" w:space="0"/>
              <w:right w:val="single" w:color="000000" w:sz="4" w:space="0"/>
            </w:tcBorders>
            <w:shd w:val="clear" w:color="auto" w:fill="auto"/>
            <w:vAlign w:val="center"/>
          </w:tcPr>
          <w:p w14:paraId="4466A6E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851" w:type="dxa"/>
            <w:vMerge w:val="restart"/>
            <w:tcBorders>
              <w:top w:val="nil"/>
              <w:left w:val="nil"/>
              <w:bottom w:val="single" w:color="000000" w:sz="4" w:space="0"/>
              <w:right w:val="single" w:color="000000" w:sz="4" w:space="0"/>
            </w:tcBorders>
            <w:shd w:val="clear" w:color="auto" w:fill="auto"/>
            <w:vAlign w:val="center"/>
          </w:tcPr>
          <w:p w14:paraId="6F82C63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20" w:type="dxa"/>
            <w:vMerge w:val="restart"/>
            <w:tcBorders>
              <w:top w:val="nil"/>
              <w:left w:val="nil"/>
              <w:bottom w:val="single" w:color="000000" w:sz="4" w:space="0"/>
              <w:right w:val="single" w:color="000000" w:sz="4" w:space="0"/>
            </w:tcBorders>
            <w:shd w:val="clear" w:color="auto" w:fill="auto"/>
            <w:vAlign w:val="center"/>
          </w:tcPr>
          <w:p w14:paraId="557D0A6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940" w:type="dxa"/>
            <w:gridSpan w:val="3"/>
            <w:tcBorders>
              <w:top w:val="nil"/>
              <w:left w:val="nil"/>
              <w:bottom w:val="single" w:color="000000" w:sz="4" w:space="0"/>
              <w:right w:val="single" w:color="000000" w:sz="4" w:space="0"/>
            </w:tcBorders>
            <w:shd w:val="clear" w:color="auto" w:fill="auto"/>
            <w:vAlign w:val="center"/>
          </w:tcPr>
          <w:p w14:paraId="0C6BD43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564" w:type="dxa"/>
            <w:vMerge w:val="restart"/>
            <w:tcBorders>
              <w:top w:val="nil"/>
              <w:left w:val="nil"/>
              <w:bottom w:val="single" w:color="000000" w:sz="4" w:space="0"/>
              <w:right w:val="single" w:color="000000" w:sz="4" w:space="0"/>
            </w:tcBorders>
            <w:shd w:val="clear" w:color="auto" w:fill="auto"/>
            <w:vAlign w:val="center"/>
          </w:tcPr>
          <w:p w14:paraId="5520263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14:paraId="445DC7E4">
        <w:tblPrEx>
          <w:tblCellMar>
            <w:top w:w="0" w:type="dxa"/>
            <w:left w:w="108" w:type="dxa"/>
            <w:bottom w:w="0" w:type="dxa"/>
            <w:right w:w="108" w:type="dxa"/>
          </w:tblCellMar>
        </w:tblPrEx>
        <w:trPr>
          <w:trHeight w:val="615" w:hRule="atLeast"/>
        </w:trPr>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2F8DF76F">
            <w:pPr>
              <w:widowControl/>
              <w:jc w:val="left"/>
              <w:rPr>
                <w:rFonts w:ascii="宋体" w:hAnsi="宋体" w:eastAsia="宋体" w:cs="Arial"/>
                <w:color w:val="000000"/>
                <w:kern w:val="0"/>
                <w:sz w:val="22"/>
              </w:rPr>
            </w:pPr>
          </w:p>
        </w:tc>
        <w:tc>
          <w:tcPr>
            <w:tcW w:w="1559" w:type="dxa"/>
            <w:vMerge w:val="continue"/>
            <w:tcBorders>
              <w:top w:val="nil"/>
              <w:left w:val="nil"/>
              <w:bottom w:val="single" w:color="000000" w:sz="4" w:space="0"/>
              <w:right w:val="single" w:color="000000" w:sz="4" w:space="0"/>
            </w:tcBorders>
            <w:shd w:val="clear" w:color="auto" w:fill="auto"/>
            <w:vAlign w:val="center"/>
          </w:tcPr>
          <w:p w14:paraId="18C1CA12">
            <w:pPr>
              <w:widowControl/>
              <w:jc w:val="left"/>
              <w:rPr>
                <w:rFonts w:ascii="宋体" w:hAnsi="宋体" w:eastAsia="宋体" w:cs="Arial"/>
                <w:color w:val="000000"/>
                <w:kern w:val="0"/>
                <w:sz w:val="22"/>
              </w:rPr>
            </w:pPr>
          </w:p>
        </w:tc>
        <w:tc>
          <w:tcPr>
            <w:tcW w:w="1003" w:type="dxa"/>
            <w:tcBorders>
              <w:top w:val="nil"/>
              <w:left w:val="nil"/>
              <w:bottom w:val="single" w:color="000000" w:sz="4" w:space="0"/>
              <w:right w:val="single" w:color="000000" w:sz="4" w:space="0"/>
            </w:tcBorders>
            <w:shd w:val="clear" w:color="auto" w:fill="auto"/>
            <w:vAlign w:val="center"/>
          </w:tcPr>
          <w:p w14:paraId="3B86693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20" w:type="dxa"/>
            <w:tcBorders>
              <w:top w:val="nil"/>
              <w:left w:val="nil"/>
              <w:bottom w:val="single" w:color="000000" w:sz="4" w:space="0"/>
              <w:right w:val="single" w:color="000000" w:sz="4" w:space="0"/>
            </w:tcBorders>
            <w:shd w:val="clear" w:color="auto" w:fill="auto"/>
            <w:vAlign w:val="center"/>
          </w:tcPr>
          <w:p w14:paraId="181C765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420" w:type="dxa"/>
            <w:tcBorders>
              <w:top w:val="nil"/>
              <w:left w:val="nil"/>
              <w:bottom w:val="single" w:color="000000" w:sz="4" w:space="0"/>
              <w:right w:val="single" w:color="000000" w:sz="4" w:space="0"/>
            </w:tcBorders>
            <w:shd w:val="clear" w:color="auto" w:fill="auto"/>
            <w:vAlign w:val="center"/>
          </w:tcPr>
          <w:p w14:paraId="5E3585C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853" w:type="dxa"/>
            <w:vMerge w:val="continue"/>
            <w:tcBorders>
              <w:top w:val="nil"/>
              <w:left w:val="nil"/>
              <w:bottom w:val="single" w:color="000000" w:sz="4" w:space="0"/>
              <w:right w:val="single" w:color="000000" w:sz="4" w:space="0"/>
            </w:tcBorders>
            <w:shd w:val="clear" w:color="auto" w:fill="auto"/>
            <w:vAlign w:val="center"/>
          </w:tcPr>
          <w:p w14:paraId="7C9B528A">
            <w:pPr>
              <w:widowControl/>
              <w:jc w:val="left"/>
              <w:rPr>
                <w:rFonts w:ascii="宋体" w:hAnsi="宋体" w:eastAsia="宋体" w:cs="Arial"/>
                <w:color w:val="000000"/>
                <w:kern w:val="0"/>
                <w:sz w:val="22"/>
              </w:rPr>
            </w:pPr>
          </w:p>
        </w:tc>
        <w:tc>
          <w:tcPr>
            <w:tcW w:w="851" w:type="dxa"/>
            <w:vMerge w:val="continue"/>
            <w:tcBorders>
              <w:top w:val="nil"/>
              <w:left w:val="nil"/>
              <w:bottom w:val="single" w:color="000000" w:sz="4" w:space="0"/>
              <w:right w:val="single" w:color="000000" w:sz="4" w:space="0"/>
            </w:tcBorders>
            <w:shd w:val="clear" w:color="auto" w:fill="auto"/>
            <w:vAlign w:val="center"/>
          </w:tcPr>
          <w:p w14:paraId="2178EC54">
            <w:pPr>
              <w:widowControl/>
              <w:jc w:val="left"/>
              <w:rPr>
                <w:rFonts w:ascii="宋体" w:hAnsi="宋体" w:eastAsia="宋体" w:cs="Arial"/>
                <w:color w:val="000000"/>
                <w:kern w:val="0"/>
                <w:sz w:val="22"/>
              </w:rPr>
            </w:pPr>
          </w:p>
        </w:tc>
        <w:tc>
          <w:tcPr>
            <w:tcW w:w="1420" w:type="dxa"/>
            <w:vMerge w:val="continue"/>
            <w:tcBorders>
              <w:top w:val="nil"/>
              <w:left w:val="nil"/>
              <w:bottom w:val="single" w:color="000000" w:sz="4" w:space="0"/>
              <w:right w:val="single" w:color="000000" w:sz="4" w:space="0"/>
            </w:tcBorders>
            <w:shd w:val="clear" w:color="auto" w:fill="auto"/>
            <w:vAlign w:val="center"/>
          </w:tcPr>
          <w:p w14:paraId="0F6C38AC">
            <w:pPr>
              <w:widowControl/>
              <w:jc w:val="left"/>
              <w:rPr>
                <w:rFonts w:ascii="宋体" w:hAnsi="宋体" w:eastAsia="宋体" w:cs="Arial"/>
                <w:color w:val="000000"/>
                <w:kern w:val="0"/>
                <w:sz w:val="22"/>
              </w:rPr>
            </w:pPr>
          </w:p>
        </w:tc>
        <w:tc>
          <w:tcPr>
            <w:tcW w:w="1110" w:type="dxa"/>
            <w:tcBorders>
              <w:top w:val="nil"/>
              <w:left w:val="nil"/>
              <w:bottom w:val="single" w:color="000000" w:sz="4" w:space="0"/>
              <w:right w:val="single" w:color="000000" w:sz="4" w:space="0"/>
            </w:tcBorders>
            <w:shd w:val="clear" w:color="auto" w:fill="auto"/>
            <w:vAlign w:val="center"/>
          </w:tcPr>
          <w:p w14:paraId="4EE60DD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20" w:type="dxa"/>
            <w:tcBorders>
              <w:top w:val="nil"/>
              <w:left w:val="nil"/>
              <w:bottom w:val="single" w:color="000000" w:sz="4" w:space="0"/>
              <w:right w:val="single" w:color="000000" w:sz="4" w:space="0"/>
            </w:tcBorders>
            <w:shd w:val="clear" w:color="auto" w:fill="auto"/>
            <w:vAlign w:val="center"/>
          </w:tcPr>
          <w:p w14:paraId="0A1C1FC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410" w:type="dxa"/>
            <w:tcBorders>
              <w:top w:val="nil"/>
              <w:left w:val="nil"/>
              <w:bottom w:val="single" w:color="000000" w:sz="4" w:space="0"/>
              <w:right w:val="single" w:color="000000" w:sz="4" w:space="0"/>
            </w:tcBorders>
            <w:shd w:val="clear" w:color="auto" w:fill="auto"/>
            <w:vAlign w:val="center"/>
          </w:tcPr>
          <w:p w14:paraId="567F431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564" w:type="dxa"/>
            <w:vMerge w:val="continue"/>
            <w:tcBorders>
              <w:top w:val="nil"/>
              <w:left w:val="nil"/>
              <w:bottom w:val="single" w:color="000000" w:sz="4" w:space="0"/>
              <w:right w:val="single" w:color="000000" w:sz="4" w:space="0"/>
            </w:tcBorders>
            <w:shd w:val="clear" w:color="auto" w:fill="auto"/>
            <w:vAlign w:val="center"/>
          </w:tcPr>
          <w:p w14:paraId="43B10F69">
            <w:pPr>
              <w:widowControl/>
              <w:jc w:val="left"/>
              <w:rPr>
                <w:rFonts w:ascii="宋体" w:hAnsi="宋体" w:eastAsia="宋体" w:cs="Arial"/>
                <w:color w:val="000000"/>
                <w:kern w:val="0"/>
                <w:sz w:val="22"/>
              </w:rPr>
            </w:pPr>
          </w:p>
        </w:tc>
      </w:tr>
      <w:tr w14:paraId="4F07B73F">
        <w:tblPrEx>
          <w:tblCellMar>
            <w:top w:w="0" w:type="dxa"/>
            <w:left w:w="108" w:type="dxa"/>
            <w:bottom w:w="0" w:type="dxa"/>
            <w:right w:w="108" w:type="dxa"/>
          </w:tblCellMar>
        </w:tblPrEx>
        <w:trPr>
          <w:trHeight w:val="308"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14:paraId="618F887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59" w:type="dxa"/>
            <w:tcBorders>
              <w:top w:val="nil"/>
              <w:left w:val="nil"/>
              <w:bottom w:val="single" w:color="000000" w:sz="4" w:space="0"/>
              <w:right w:val="single" w:color="000000" w:sz="4" w:space="0"/>
            </w:tcBorders>
            <w:shd w:val="clear" w:color="auto" w:fill="auto"/>
            <w:vAlign w:val="center"/>
          </w:tcPr>
          <w:p w14:paraId="18C41C8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03" w:type="dxa"/>
            <w:tcBorders>
              <w:top w:val="nil"/>
              <w:left w:val="nil"/>
              <w:bottom w:val="single" w:color="000000" w:sz="4" w:space="0"/>
              <w:right w:val="single" w:color="000000" w:sz="4" w:space="0"/>
            </w:tcBorders>
            <w:shd w:val="clear" w:color="auto" w:fill="auto"/>
            <w:vAlign w:val="center"/>
          </w:tcPr>
          <w:p w14:paraId="624F630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20" w:type="dxa"/>
            <w:tcBorders>
              <w:top w:val="nil"/>
              <w:left w:val="nil"/>
              <w:bottom w:val="single" w:color="000000" w:sz="4" w:space="0"/>
              <w:right w:val="single" w:color="000000" w:sz="4" w:space="0"/>
            </w:tcBorders>
            <w:shd w:val="clear" w:color="auto" w:fill="auto"/>
            <w:vAlign w:val="center"/>
          </w:tcPr>
          <w:p w14:paraId="06F02D5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20" w:type="dxa"/>
            <w:tcBorders>
              <w:top w:val="nil"/>
              <w:left w:val="nil"/>
              <w:bottom w:val="single" w:color="000000" w:sz="4" w:space="0"/>
              <w:right w:val="single" w:color="000000" w:sz="4" w:space="0"/>
            </w:tcBorders>
            <w:shd w:val="clear" w:color="auto" w:fill="auto"/>
            <w:vAlign w:val="center"/>
          </w:tcPr>
          <w:p w14:paraId="6AD5712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53" w:type="dxa"/>
            <w:tcBorders>
              <w:top w:val="nil"/>
              <w:left w:val="nil"/>
              <w:bottom w:val="single" w:color="000000" w:sz="4" w:space="0"/>
              <w:right w:val="single" w:color="000000" w:sz="4" w:space="0"/>
            </w:tcBorders>
            <w:shd w:val="clear" w:color="auto" w:fill="auto"/>
            <w:vAlign w:val="center"/>
          </w:tcPr>
          <w:p w14:paraId="37D5DD7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51" w:type="dxa"/>
            <w:tcBorders>
              <w:top w:val="nil"/>
              <w:left w:val="nil"/>
              <w:bottom w:val="single" w:color="000000" w:sz="4" w:space="0"/>
              <w:right w:val="single" w:color="000000" w:sz="4" w:space="0"/>
            </w:tcBorders>
            <w:shd w:val="clear" w:color="auto" w:fill="auto"/>
            <w:vAlign w:val="center"/>
          </w:tcPr>
          <w:p w14:paraId="7D5F990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20" w:type="dxa"/>
            <w:tcBorders>
              <w:top w:val="nil"/>
              <w:left w:val="nil"/>
              <w:bottom w:val="single" w:color="000000" w:sz="4" w:space="0"/>
              <w:right w:val="single" w:color="000000" w:sz="4" w:space="0"/>
            </w:tcBorders>
            <w:shd w:val="clear" w:color="auto" w:fill="auto"/>
            <w:vAlign w:val="center"/>
          </w:tcPr>
          <w:p w14:paraId="2D62BE8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110" w:type="dxa"/>
            <w:tcBorders>
              <w:top w:val="nil"/>
              <w:left w:val="nil"/>
              <w:bottom w:val="single" w:color="000000" w:sz="4" w:space="0"/>
              <w:right w:val="single" w:color="000000" w:sz="4" w:space="0"/>
            </w:tcBorders>
            <w:shd w:val="clear" w:color="auto" w:fill="auto"/>
            <w:vAlign w:val="center"/>
          </w:tcPr>
          <w:p w14:paraId="2D7BFDA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420" w:type="dxa"/>
            <w:tcBorders>
              <w:top w:val="nil"/>
              <w:left w:val="nil"/>
              <w:bottom w:val="single" w:color="000000" w:sz="4" w:space="0"/>
              <w:right w:val="single" w:color="000000" w:sz="4" w:space="0"/>
            </w:tcBorders>
            <w:shd w:val="clear" w:color="auto" w:fill="auto"/>
            <w:vAlign w:val="center"/>
          </w:tcPr>
          <w:p w14:paraId="7257635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410" w:type="dxa"/>
            <w:tcBorders>
              <w:top w:val="nil"/>
              <w:left w:val="nil"/>
              <w:bottom w:val="single" w:color="000000" w:sz="4" w:space="0"/>
              <w:right w:val="single" w:color="000000" w:sz="4" w:space="0"/>
            </w:tcBorders>
            <w:shd w:val="clear" w:color="auto" w:fill="auto"/>
            <w:vAlign w:val="center"/>
          </w:tcPr>
          <w:p w14:paraId="3EFE495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564" w:type="dxa"/>
            <w:tcBorders>
              <w:top w:val="nil"/>
              <w:left w:val="nil"/>
              <w:bottom w:val="single" w:color="000000" w:sz="4" w:space="0"/>
              <w:right w:val="single" w:color="000000" w:sz="4" w:space="0"/>
            </w:tcBorders>
            <w:shd w:val="clear" w:color="auto" w:fill="auto"/>
            <w:vAlign w:val="center"/>
          </w:tcPr>
          <w:p w14:paraId="6349F81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14:paraId="669A6D72">
        <w:tblPrEx>
          <w:tblCellMar>
            <w:top w:w="0" w:type="dxa"/>
            <w:left w:w="108" w:type="dxa"/>
            <w:bottom w:w="0" w:type="dxa"/>
            <w:right w:w="108" w:type="dxa"/>
          </w:tblCellMar>
        </w:tblPrEx>
        <w:trPr>
          <w:trHeight w:val="308" w:hRule="atLeast"/>
        </w:trPr>
        <w:tc>
          <w:tcPr>
            <w:tcW w:w="1008" w:type="dxa"/>
            <w:tcBorders>
              <w:top w:val="nil"/>
              <w:left w:val="single" w:color="000000" w:sz="4" w:space="0"/>
              <w:bottom w:val="single" w:color="000000" w:sz="4" w:space="0"/>
              <w:right w:val="single" w:color="000000" w:sz="4" w:space="0"/>
            </w:tcBorders>
            <w:shd w:val="clear" w:color="auto" w:fill="auto"/>
            <w:noWrap/>
            <w:vAlign w:val="center"/>
          </w:tcPr>
          <w:p w14:paraId="5C876BEE">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0.</w:t>
            </w:r>
            <w:r>
              <w:rPr>
                <w:rFonts w:hint="eastAsia" w:ascii="宋体" w:hAnsi="宋体" w:eastAsia="宋体" w:cs="Arial"/>
                <w:color w:val="000000"/>
                <w:kern w:val="0"/>
                <w:sz w:val="22"/>
                <w:lang w:val="en-US" w:eastAsia="zh-CN"/>
              </w:rPr>
              <w:t>13</w:t>
            </w:r>
          </w:p>
        </w:tc>
        <w:tc>
          <w:tcPr>
            <w:tcW w:w="1559" w:type="dxa"/>
            <w:tcBorders>
              <w:top w:val="nil"/>
              <w:left w:val="nil"/>
              <w:bottom w:val="single" w:color="000000" w:sz="4" w:space="0"/>
              <w:right w:val="single" w:color="000000" w:sz="4" w:space="0"/>
            </w:tcBorders>
            <w:shd w:val="clear" w:color="auto" w:fill="auto"/>
            <w:noWrap/>
            <w:vAlign w:val="center"/>
          </w:tcPr>
          <w:p w14:paraId="66CB039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03" w:type="dxa"/>
            <w:tcBorders>
              <w:top w:val="nil"/>
              <w:left w:val="nil"/>
              <w:bottom w:val="single" w:color="000000" w:sz="4" w:space="0"/>
              <w:right w:val="single" w:color="000000" w:sz="4" w:space="0"/>
            </w:tcBorders>
            <w:shd w:val="clear" w:color="auto" w:fill="auto"/>
            <w:noWrap/>
            <w:vAlign w:val="center"/>
          </w:tcPr>
          <w:p w14:paraId="73A96C6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14:paraId="52B48C2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14:paraId="682E9D6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3" w:type="dxa"/>
            <w:tcBorders>
              <w:top w:val="nil"/>
              <w:left w:val="nil"/>
              <w:bottom w:val="single" w:color="000000" w:sz="4" w:space="0"/>
              <w:right w:val="single" w:color="000000" w:sz="4" w:space="0"/>
            </w:tcBorders>
            <w:shd w:val="clear" w:color="auto" w:fill="auto"/>
            <w:noWrap/>
            <w:vAlign w:val="center"/>
          </w:tcPr>
          <w:p w14:paraId="47BA7183">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0.</w:t>
            </w:r>
            <w:r>
              <w:rPr>
                <w:rFonts w:hint="eastAsia" w:ascii="宋体" w:hAnsi="宋体" w:eastAsia="宋体" w:cs="Arial"/>
                <w:color w:val="000000"/>
                <w:kern w:val="0"/>
                <w:sz w:val="22"/>
                <w:lang w:val="en-US" w:eastAsia="zh-CN"/>
              </w:rPr>
              <w:t>13</w:t>
            </w:r>
          </w:p>
        </w:tc>
        <w:tc>
          <w:tcPr>
            <w:tcW w:w="851" w:type="dxa"/>
            <w:tcBorders>
              <w:top w:val="nil"/>
              <w:left w:val="nil"/>
              <w:bottom w:val="single" w:color="000000" w:sz="4" w:space="0"/>
              <w:right w:val="single" w:color="000000" w:sz="4" w:space="0"/>
            </w:tcBorders>
            <w:shd w:val="clear" w:color="auto" w:fill="auto"/>
            <w:noWrap/>
            <w:vAlign w:val="center"/>
          </w:tcPr>
          <w:p w14:paraId="7C3E8D4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0.13</w:t>
            </w:r>
          </w:p>
        </w:tc>
        <w:tc>
          <w:tcPr>
            <w:tcW w:w="1420" w:type="dxa"/>
            <w:tcBorders>
              <w:top w:val="nil"/>
              <w:left w:val="nil"/>
              <w:bottom w:val="single" w:color="000000" w:sz="4" w:space="0"/>
              <w:right w:val="single" w:color="000000" w:sz="4" w:space="0"/>
            </w:tcBorders>
            <w:shd w:val="clear" w:color="auto" w:fill="auto"/>
            <w:noWrap/>
            <w:vAlign w:val="center"/>
          </w:tcPr>
          <w:p w14:paraId="54F22AD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0" w:type="dxa"/>
            <w:tcBorders>
              <w:top w:val="nil"/>
              <w:left w:val="nil"/>
              <w:bottom w:val="single" w:color="000000" w:sz="4" w:space="0"/>
              <w:right w:val="single" w:color="000000" w:sz="4" w:space="0"/>
            </w:tcBorders>
            <w:shd w:val="clear" w:color="auto" w:fill="auto"/>
            <w:noWrap/>
            <w:vAlign w:val="center"/>
          </w:tcPr>
          <w:p w14:paraId="1549D97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14:paraId="7D6EFF1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0" w:type="dxa"/>
            <w:tcBorders>
              <w:top w:val="nil"/>
              <w:left w:val="nil"/>
              <w:bottom w:val="single" w:color="000000" w:sz="4" w:space="0"/>
              <w:right w:val="single" w:color="000000" w:sz="4" w:space="0"/>
            </w:tcBorders>
            <w:shd w:val="clear" w:color="auto" w:fill="auto"/>
            <w:noWrap/>
            <w:vAlign w:val="center"/>
          </w:tcPr>
          <w:p w14:paraId="7FF2D84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64" w:type="dxa"/>
            <w:tcBorders>
              <w:top w:val="nil"/>
              <w:left w:val="nil"/>
              <w:bottom w:val="single" w:color="000000" w:sz="4" w:space="0"/>
              <w:right w:val="single" w:color="000000" w:sz="4" w:space="0"/>
            </w:tcBorders>
            <w:shd w:val="clear" w:color="auto" w:fill="auto"/>
            <w:noWrap/>
            <w:vAlign w:val="center"/>
          </w:tcPr>
          <w:p w14:paraId="02AB090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0.13</w:t>
            </w:r>
          </w:p>
        </w:tc>
      </w:tr>
      <w:tr w14:paraId="182C40A3">
        <w:tblPrEx>
          <w:tblCellMar>
            <w:top w:w="0" w:type="dxa"/>
            <w:left w:w="108" w:type="dxa"/>
            <w:bottom w:w="0" w:type="dxa"/>
            <w:right w:w="108" w:type="dxa"/>
          </w:tblCellMar>
        </w:tblPrEx>
        <w:trPr>
          <w:trHeight w:val="615" w:hRule="atLeast"/>
        </w:trPr>
        <w:tc>
          <w:tcPr>
            <w:tcW w:w="15038" w:type="dxa"/>
            <w:gridSpan w:val="12"/>
            <w:tcBorders>
              <w:top w:val="nil"/>
              <w:left w:val="nil"/>
              <w:bottom w:val="nil"/>
              <w:right w:val="nil"/>
            </w:tcBorders>
            <w:shd w:val="clear" w:color="auto" w:fill="auto"/>
            <w:vAlign w:val="center"/>
          </w:tcPr>
          <w:p w14:paraId="0EE2D486">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B2D7E78">
      <w:pPr>
        <w:pStyle w:val="9"/>
        <w:rPr>
          <w:sz w:val="72"/>
          <w:szCs w:val="72"/>
        </w:rPr>
        <w:sectPr>
          <w:pgSz w:w="16838" w:h="11906" w:orient="landscape"/>
          <w:pgMar w:top="312" w:right="720" w:bottom="227" w:left="720" w:header="851" w:footer="992" w:gutter="0"/>
          <w:cols w:space="425" w:num="1"/>
          <w:docGrid w:type="lines" w:linePitch="312" w:charSpace="0"/>
        </w:sectPr>
      </w:pPr>
    </w:p>
    <w:p w14:paraId="713FB7C6">
      <w:pPr>
        <w:pStyle w:val="9"/>
        <w:rPr>
          <w:sz w:val="72"/>
          <w:szCs w:val="72"/>
        </w:rPr>
      </w:pPr>
    </w:p>
    <w:p w14:paraId="3E3C330B">
      <w:pPr>
        <w:pStyle w:val="9"/>
        <w:rPr>
          <w:sz w:val="72"/>
          <w:szCs w:val="72"/>
        </w:rPr>
      </w:pPr>
    </w:p>
    <w:p w14:paraId="0A9B85C9">
      <w:pPr>
        <w:pStyle w:val="9"/>
        <w:rPr>
          <w:sz w:val="72"/>
          <w:szCs w:val="72"/>
        </w:rPr>
      </w:pPr>
    </w:p>
    <w:p w14:paraId="4F9A2DB4">
      <w:pPr>
        <w:pStyle w:val="9"/>
        <w:rPr>
          <w:sz w:val="72"/>
          <w:szCs w:val="72"/>
        </w:rPr>
      </w:pPr>
    </w:p>
    <w:p w14:paraId="3A13827E">
      <w:pPr>
        <w:pStyle w:val="9"/>
        <w:jc w:val="center"/>
        <w:rPr>
          <w:sz w:val="72"/>
          <w:szCs w:val="72"/>
        </w:rPr>
      </w:pPr>
    </w:p>
    <w:p w14:paraId="4FB4FFDF">
      <w:pPr>
        <w:pStyle w:val="9"/>
        <w:jc w:val="center"/>
        <w:rPr>
          <w:sz w:val="72"/>
          <w:szCs w:val="72"/>
        </w:rPr>
      </w:pPr>
    </w:p>
    <w:p w14:paraId="0AD53B5E">
      <w:pPr>
        <w:pStyle w:val="9"/>
        <w:jc w:val="center"/>
        <w:rPr>
          <w:b/>
          <w:sz w:val="72"/>
          <w:szCs w:val="72"/>
        </w:rPr>
      </w:pPr>
      <w:r>
        <w:rPr>
          <w:rFonts w:hint="eastAsia"/>
          <w:b/>
          <w:sz w:val="72"/>
          <w:szCs w:val="72"/>
        </w:rPr>
        <w:t>第三部分</w:t>
      </w:r>
    </w:p>
    <w:p w14:paraId="612F0E7D">
      <w:pPr>
        <w:pStyle w:val="9"/>
        <w:jc w:val="center"/>
        <w:rPr>
          <w:b/>
          <w:sz w:val="72"/>
          <w:szCs w:val="72"/>
        </w:rPr>
      </w:pPr>
    </w:p>
    <w:p w14:paraId="0EE163AE">
      <w:pPr>
        <w:pStyle w:val="9"/>
        <w:jc w:val="center"/>
        <w:rPr>
          <w:sz w:val="70"/>
          <w:szCs w:val="70"/>
        </w:rPr>
      </w:pPr>
      <w:r>
        <w:rPr>
          <w:b/>
          <w:sz w:val="72"/>
          <w:szCs w:val="72"/>
        </w:rPr>
        <w:t>20</w:t>
      </w:r>
      <w:r>
        <w:rPr>
          <w:rFonts w:hint="eastAsia"/>
          <w:b/>
          <w:sz w:val="72"/>
          <w:szCs w:val="72"/>
        </w:rPr>
        <w:t>23年度部门决算情况说明</w:t>
      </w:r>
    </w:p>
    <w:p w14:paraId="4887FA0E">
      <w:pPr>
        <w:widowControl/>
        <w:jc w:val="left"/>
        <w:rPr>
          <w:rFonts w:asciiTheme="minorEastAsia" w:hAnsiTheme="minorEastAsia" w:eastAsiaTheme="minorEastAsia"/>
          <w:szCs w:val="32"/>
        </w:rPr>
      </w:pPr>
      <w:r>
        <w:rPr>
          <w:sz w:val="70"/>
          <w:szCs w:val="70"/>
        </w:rPr>
        <w:br w:type="page"/>
      </w:r>
    </w:p>
    <w:p w14:paraId="75DEC8F7">
      <w:pPr>
        <w:pStyle w:val="9"/>
        <w:ind w:firstLine="627" w:firstLineChars="196"/>
        <w:rPr>
          <w:rFonts w:hAnsi="黑体"/>
          <w:sz w:val="32"/>
          <w:szCs w:val="32"/>
        </w:rPr>
      </w:pPr>
      <w:r>
        <w:rPr>
          <w:rFonts w:hint="eastAsia" w:hAnsi="黑体"/>
          <w:sz w:val="32"/>
          <w:szCs w:val="32"/>
        </w:rPr>
        <w:t>一、收入支出决算总体情况说明</w:t>
      </w:r>
    </w:p>
    <w:p w14:paraId="2F8256FD">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2023年度收、支总计143.75万元。与上年相比，减少15.06万元，下降9.48%，主要是因为人员减少，运行经费相应减少。</w:t>
      </w:r>
    </w:p>
    <w:p w14:paraId="6394B3E2">
      <w:pPr>
        <w:pStyle w:val="9"/>
        <w:ind w:firstLine="627" w:firstLineChars="196"/>
        <w:rPr>
          <w:rFonts w:hAnsi="黑体"/>
          <w:sz w:val="32"/>
          <w:szCs w:val="32"/>
        </w:rPr>
      </w:pPr>
      <w:r>
        <w:rPr>
          <w:rFonts w:hint="eastAsia" w:hAnsi="黑体"/>
          <w:sz w:val="32"/>
          <w:szCs w:val="32"/>
        </w:rPr>
        <w:t>二、收入决算情况说明</w:t>
      </w:r>
    </w:p>
    <w:p w14:paraId="2EDB19DB">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2023年度收</w:t>
      </w:r>
      <w:r>
        <w:rPr>
          <w:rFonts w:hint="eastAsia" w:ascii="仿宋_GB2312" w:eastAsia="仿宋_GB2312" w:hAnsiTheme="minorEastAsia"/>
          <w:color w:val="auto"/>
          <w:sz w:val="32"/>
          <w:szCs w:val="32"/>
        </w:rPr>
        <w:t>入合计143.75万</w:t>
      </w:r>
      <w:r>
        <w:rPr>
          <w:rFonts w:hint="eastAsia" w:ascii="仿宋_GB2312" w:eastAsia="仿宋_GB2312" w:hAnsiTheme="minorEastAsia"/>
          <w:sz w:val="32"/>
          <w:szCs w:val="32"/>
        </w:rPr>
        <w:t>元，其中：财政拨款收入143.75万元，占100%；事业收入0万元，占0%；经营收入0万元，占0%；附属单位上缴收入0万元，占0%；其他收入0万元，占0%。</w:t>
      </w:r>
    </w:p>
    <w:p w14:paraId="3ACB3BE3">
      <w:pPr>
        <w:pStyle w:val="9"/>
        <w:ind w:firstLine="627" w:firstLineChars="196"/>
        <w:rPr>
          <w:rFonts w:hAnsi="黑体"/>
          <w:sz w:val="32"/>
          <w:szCs w:val="32"/>
        </w:rPr>
      </w:pPr>
      <w:r>
        <w:rPr>
          <w:rFonts w:hint="eastAsia" w:hAnsi="黑体"/>
          <w:sz w:val="32"/>
          <w:szCs w:val="32"/>
        </w:rPr>
        <w:t>三、支出决算情况说明</w:t>
      </w:r>
    </w:p>
    <w:p w14:paraId="5B693D3F">
      <w:pPr>
        <w:ind w:firstLine="640" w:firstLineChars="200"/>
        <w:rPr>
          <w:rFonts w:ascii="仿宋_GB2312"/>
        </w:rPr>
      </w:pPr>
      <w:r>
        <w:rPr>
          <w:rFonts w:hint="eastAsia" w:ascii="仿宋_GB2312"/>
        </w:rPr>
        <w:t>2023年度支出合计143.75万元，其中：基本支出143.75万元，占100%；项目支出0万元，占0%；上缴上级支出0万元，占0%；经营支出0万元，占0%；对附属单位补助支出0万元，占0%。</w:t>
      </w:r>
    </w:p>
    <w:p w14:paraId="003BF7D6">
      <w:pPr>
        <w:pStyle w:val="9"/>
        <w:ind w:firstLine="627" w:firstLineChars="196"/>
        <w:rPr>
          <w:rFonts w:hAnsi="黑体"/>
          <w:sz w:val="32"/>
          <w:szCs w:val="32"/>
        </w:rPr>
      </w:pPr>
      <w:r>
        <w:rPr>
          <w:rFonts w:hint="eastAsia" w:hAnsi="黑体"/>
          <w:sz w:val="32"/>
          <w:szCs w:val="32"/>
        </w:rPr>
        <w:t>四、财政拨款收入支出决算总体情况说明</w:t>
      </w:r>
    </w:p>
    <w:p w14:paraId="36CDB736">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2023年度财政拨款收、支总计143.75万元，与上年相比，减少15.06万元, 下降9.48%，主要是因为人员减少，运行经费相应减少。</w:t>
      </w:r>
    </w:p>
    <w:p w14:paraId="5C9151A9">
      <w:pPr>
        <w:pStyle w:val="9"/>
        <w:ind w:firstLine="627" w:firstLineChars="196"/>
        <w:rPr>
          <w:rFonts w:hAnsi="黑体"/>
          <w:sz w:val="32"/>
          <w:szCs w:val="32"/>
        </w:rPr>
      </w:pPr>
      <w:r>
        <w:rPr>
          <w:rFonts w:hint="eastAsia" w:hAnsi="黑体"/>
          <w:sz w:val="32"/>
          <w:szCs w:val="32"/>
        </w:rPr>
        <w:t>五、一般公共预算财政拨款支出决算情况说明</w:t>
      </w:r>
    </w:p>
    <w:p w14:paraId="3B7FCF2F">
      <w:pPr>
        <w:pStyle w:val="9"/>
        <w:ind w:firstLine="640" w:firstLineChars="200"/>
        <w:rPr>
          <w:rFonts w:ascii="仿宋_GB2312" w:eastAsia="仿宋_GB2312" w:hAnsiTheme="minorEastAsia"/>
          <w:b/>
          <w:sz w:val="32"/>
          <w:szCs w:val="32"/>
        </w:rPr>
      </w:pPr>
      <w:r>
        <w:rPr>
          <w:rFonts w:hint="eastAsia" w:ascii="仿宋_GB2312" w:eastAsia="仿宋_GB2312" w:hAnsiTheme="minorEastAsia"/>
          <w:b/>
          <w:sz w:val="32"/>
          <w:szCs w:val="32"/>
        </w:rPr>
        <w:t>（一）财政拨款支出决算总体情况</w:t>
      </w:r>
    </w:p>
    <w:p w14:paraId="5E92B757">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2023年度财政拨款支出143.75万元，占本年支出合计的100%，与上年相比，财政拨款支出减少15.06万元，下降9.48%，主要是因为人员减少，运行经费相应减少。</w:t>
      </w:r>
    </w:p>
    <w:p w14:paraId="160B3CF5">
      <w:pPr>
        <w:pStyle w:val="9"/>
        <w:ind w:firstLine="480" w:firstLineChars="150"/>
        <w:rPr>
          <w:rFonts w:ascii="仿宋_GB2312" w:eastAsia="仿宋_GB2312" w:hAnsiTheme="minorEastAsia"/>
          <w:b/>
          <w:sz w:val="32"/>
          <w:szCs w:val="32"/>
        </w:rPr>
      </w:pPr>
      <w:r>
        <w:rPr>
          <w:rFonts w:hint="eastAsia" w:ascii="仿宋_GB2312" w:eastAsia="仿宋_GB2312" w:hAnsiTheme="minorEastAsia"/>
          <w:b/>
          <w:sz w:val="32"/>
          <w:szCs w:val="32"/>
        </w:rPr>
        <w:t>（二）财政拨款支出决算结构情况</w:t>
      </w:r>
    </w:p>
    <w:p w14:paraId="1C246D1C">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财政拨款支出143.75万元，主要用于以下方面：一般公共服务（类）支出108.04万元，占75.16%；社会保障和就业（类）支出12.52万元，占8.7%;商业服务业等支出2.56万元，占1.9%；卫生健康（类）支出4.93万元，占3.4%；住房保障（类）支出4.79万元，占3.3%；农林水（类）支出10.9万元，占7.6%。</w:t>
      </w:r>
    </w:p>
    <w:p w14:paraId="02F83E81">
      <w:pPr>
        <w:pStyle w:val="9"/>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（三）财政拨款支出决算具体情况</w:t>
      </w:r>
    </w:p>
    <w:p w14:paraId="23E8AC41">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2023年度财政拨款支出年初预算数为144.75万元，支出决算数为143.75万元，完成年初预算的99.08%，其中：</w:t>
      </w:r>
    </w:p>
    <w:p w14:paraId="6EC30158">
      <w:pPr>
        <w:pStyle w:val="9"/>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1、一般公共服务支出（类）民主党派及工商联事务（款）行政运行（项）</w:t>
      </w:r>
    </w:p>
    <w:p w14:paraId="10F34E02">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年初预算为144.75万元，支出决算为91.49万元，完成年初预算的63.21%，决算数小于预算数，主要原因是：财政指标下达时，科目有所调整。</w:t>
      </w:r>
    </w:p>
    <w:p w14:paraId="14D84B70">
      <w:pPr>
        <w:pStyle w:val="9"/>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2、一般公共服务支出（类）民主党派及工商联事务（款）一般行政管理事务（项）</w:t>
      </w:r>
    </w:p>
    <w:p w14:paraId="6392FF6A">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年初预算为0万元，支出决算为12.98万元，决算数大于年初预算数，主要原因是：财政指标下达时，科目有所调整。</w:t>
      </w:r>
    </w:p>
    <w:p w14:paraId="00DFFE29">
      <w:pPr>
        <w:pStyle w:val="9"/>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3、一般公共服务支出（类）群众团体事务（款）行政运行（项）</w:t>
      </w:r>
    </w:p>
    <w:p w14:paraId="2E252F07">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年初预算为0万元，支出决算为1.58万元，决算数大于年初预算数的主要原因是：财政指标下达时，科目有所调整。</w:t>
      </w:r>
    </w:p>
    <w:p w14:paraId="01EDA07D">
      <w:pPr>
        <w:pStyle w:val="9"/>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4、一般公共服务支出（类）群众团体事务（款）其他群众团体事务支出（项）</w:t>
      </w:r>
    </w:p>
    <w:p w14:paraId="4C3C0FC4">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年初预算为0万元，支出决算为2万元，决算数大于年初预算数的主要原因是：财政指标下达时，科目有所调整。</w:t>
      </w:r>
    </w:p>
    <w:p w14:paraId="4119E103">
      <w:pPr>
        <w:pStyle w:val="9"/>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5、社会保障和就业支出（类）行政单位养老支出（款）机关事业单位基本养老保险缴费支出（项）</w:t>
      </w:r>
    </w:p>
    <w:p w14:paraId="27C73C2B">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年初预算为0万元，支出决算为12.52万元，决算数大于年初预算数的主要原因是：财政指标下达时，科目有所调整。</w:t>
      </w:r>
    </w:p>
    <w:p w14:paraId="36FC3E45">
      <w:pPr>
        <w:pStyle w:val="9"/>
        <w:ind w:firstLine="800" w:firstLineChars="250"/>
        <w:rPr>
          <w:rFonts w:ascii="仿宋_GB2312" w:eastAsia="仿宋_GB2312" w:hAnsiTheme="minorEastAsia"/>
          <w:sz w:val="32"/>
          <w:szCs w:val="32"/>
        </w:rPr>
      </w:pPr>
      <w:r>
        <w:rPr>
          <w:rFonts w:hint="eastAsia" w:ascii="仿宋_GB2312" w:eastAsia="仿宋_GB2312" w:hAnsiTheme="minorEastAsia"/>
          <w:b/>
          <w:sz w:val="32"/>
          <w:szCs w:val="32"/>
        </w:rPr>
        <w:t>6、卫生健康支出（类）行政事业单位医疗（款）行政单位医疗（项）</w:t>
      </w:r>
    </w:p>
    <w:p w14:paraId="1338E870">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年初预算为0万元，支出决算为4.93万元，决算数大于年初预算数的主要原因是：财政指标下达时，科目有所调整。</w:t>
      </w:r>
    </w:p>
    <w:p w14:paraId="5C3E572C">
      <w:pPr>
        <w:pStyle w:val="9"/>
        <w:ind w:firstLine="800" w:firstLineChars="250"/>
        <w:rPr>
          <w:rFonts w:ascii="仿宋_GB2312" w:eastAsia="仿宋_GB2312" w:hAnsiTheme="minorEastAsia"/>
          <w:sz w:val="32"/>
          <w:szCs w:val="32"/>
        </w:rPr>
      </w:pPr>
      <w:r>
        <w:rPr>
          <w:rFonts w:hint="eastAsia" w:ascii="仿宋_GB2312" w:eastAsia="仿宋_GB2312" w:hAnsiTheme="minorEastAsia"/>
          <w:b/>
          <w:sz w:val="32"/>
          <w:szCs w:val="32"/>
        </w:rPr>
        <w:t>7、农林水支出（类）巩固脱贫衔接乡村振兴（款）其他巩固脱贫衔接乡村振兴支出（项）</w:t>
      </w:r>
    </w:p>
    <w:p w14:paraId="5685DB6C">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年初预算为0万元，支出决算为10.9万元，决算数大于年初预算数的主要原因是：财政指标下达时，科目有所调整。</w:t>
      </w:r>
    </w:p>
    <w:p w14:paraId="682D71C6">
      <w:pPr>
        <w:pStyle w:val="9"/>
        <w:ind w:firstLine="800" w:firstLineChars="250"/>
        <w:rPr>
          <w:rFonts w:ascii="仿宋_GB2312" w:eastAsia="仿宋_GB2312" w:hAnsiTheme="minorEastAsia"/>
          <w:b/>
          <w:sz w:val="32"/>
          <w:szCs w:val="32"/>
        </w:rPr>
      </w:pPr>
      <w:r>
        <w:rPr>
          <w:rFonts w:hint="eastAsia" w:ascii="仿宋_GB2312" w:eastAsia="仿宋_GB2312" w:hAnsiTheme="minorEastAsia"/>
          <w:b/>
          <w:sz w:val="32"/>
          <w:szCs w:val="32"/>
        </w:rPr>
        <w:t>8、商业服务业等支出（类）商业流通事务（款）行政运行（项）</w:t>
      </w:r>
    </w:p>
    <w:p w14:paraId="36E7EEEF">
      <w:pPr>
        <w:pStyle w:val="9"/>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年初预算为0万元，支出决算为2.56万元，决算数大于年初预算数的主要原因是：财政指标下达时，科目有所调整。</w:t>
      </w:r>
    </w:p>
    <w:p w14:paraId="65BFFC54">
      <w:pPr>
        <w:pStyle w:val="9"/>
        <w:ind w:firstLine="800" w:firstLineChars="250"/>
        <w:rPr>
          <w:rFonts w:ascii="仿宋_GB2312" w:eastAsia="仿宋_GB2312" w:hAnsiTheme="minorEastAsia"/>
          <w:sz w:val="32"/>
          <w:szCs w:val="32"/>
        </w:rPr>
      </w:pPr>
      <w:r>
        <w:rPr>
          <w:rFonts w:hint="eastAsia" w:ascii="仿宋_GB2312" w:eastAsia="仿宋_GB2312" w:hAnsiTheme="minorEastAsia"/>
          <w:b/>
          <w:sz w:val="32"/>
          <w:szCs w:val="32"/>
        </w:rPr>
        <w:t>9、住房保障支出（类）住房改革支出（款）住房公积金（项）</w:t>
      </w:r>
    </w:p>
    <w:p w14:paraId="30A83B1C">
      <w:pPr>
        <w:pStyle w:val="9"/>
        <w:ind w:firstLine="800" w:firstLineChars="250"/>
        <w:rPr>
          <w:rFonts w:asciiTheme="minorEastAsia" w:hAnsiTheme="minorEastAsia" w:eastAsiaTheme="minorEastAsia"/>
          <w:sz w:val="32"/>
          <w:szCs w:val="32"/>
        </w:rPr>
      </w:pPr>
      <w:r>
        <w:rPr>
          <w:rFonts w:hint="eastAsia" w:ascii="仿宋_GB2312" w:eastAsia="仿宋_GB2312" w:hAnsiTheme="minorEastAsia"/>
          <w:sz w:val="32"/>
          <w:szCs w:val="32"/>
        </w:rPr>
        <w:t>年初预算为0万元，支出决算为4.79万元，决算数大于年初预算数的主要原因是：财政指标下达时，科目有所调整。</w:t>
      </w:r>
    </w:p>
    <w:p w14:paraId="498F02A5">
      <w:pPr>
        <w:pStyle w:val="9"/>
        <w:ind w:firstLine="627" w:firstLineChars="196"/>
        <w:rPr>
          <w:rFonts w:hAnsi="黑体"/>
          <w:sz w:val="32"/>
          <w:szCs w:val="32"/>
        </w:rPr>
      </w:pPr>
      <w:r>
        <w:rPr>
          <w:rFonts w:hint="eastAsia" w:hAnsi="黑体"/>
          <w:sz w:val="32"/>
          <w:szCs w:val="32"/>
        </w:rPr>
        <w:t>六、一般公共预算财政拨款基本支出决算情况说明</w:t>
      </w:r>
    </w:p>
    <w:p w14:paraId="28DD03D1">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2023年度财政拨款基本支出143.75元，其中：</w:t>
      </w:r>
    </w:p>
    <w:p w14:paraId="545FE35C">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人员经费112.01万元，占基本支出的77.92%,主要包括基本工资40.03万元、津贴补贴26.81万元、奖金9.2万元、伙食补助费3.36万元、绩效工资3.41万元、机关事业单位养老保险12.95万元、职工基本医疗保险4.93万元、其他社会保障0.86万元、住房公积金9.67万元、对个人和家庭的补助0.78万元；</w:t>
      </w:r>
    </w:p>
    <w:p w14:paraId="04344299">
      <w:pPr>
        <w:pStyle w:val="9"/>
        <w:ind w:firstLine="640" w:firstLineChars="200"/>
        <w:rPr>
          <w:rFonts w:asciiTheme="minorEastAsia" w:hAnsiTheme="minorEastAsia" w:eastAsiaTheme="minorEastAsia"/>
          <w:i/>
          <w:color w:val="FF0000"/>
          <w:sz w:val="32"/>
          <w:szCs w:val="32"/>
        </w:rPr>
      </w:pPr>
      <w:r>
        <w:rPr>
          <w:rFonts w:hint="eastAsia" w:ascii="仿宋_GB2312" w:eastAsia="仿宋_GB2312" w:hAnsiTheme="minorEastAsia"/>
          <w:sz w:val="32"/>
          <w:szCs w:val="32"/>
        </w:rPr>
        <w:t>公用经费31.73万元，占基本支出的22.07 %，主要包括办公费4.58万元、咨询费0.6万元、电费0.39万元、差旅费6.09万元、培训费0.02万元、公务接待费0.13万元、劳务费4.05万元、工会经费2.98万元、其他交通费用3.51万元、其他商品和服务支出9.37万元。</w:t>
      </w:r>
    </w:p>
    <w:p w14:paraId="33BFB6C2">
      <w:pPr>
        <w:pStyle w:val="9"/>
        <w:ind w:firstLine="627" w:firstLineChars="196"/>
        <w:rPr>
          <w:rFonts w:hAnsi="黑体"/>
          <w:sz w:val="32"/>
          <w:szCs w:val="32"/>
        </w:rPr>
      </w:pPr>
      <w:r>
        <w:rPr>
          <w:rFonts w:hint="eastAsia" w:hAnsi="黑体"/>
          <w:sz w:val="32"/>
          <w:szCs w:val="32"/>
        </w:rPr>
        <w:t>七、一般公共预算财政拨款“三公”经费支出决算情况说明</w:t>
      </w:r>
    </w:p>
    <w:p w14:paraId="7E371CF7">
      <w:pPr>
        <w:pStyle w:val="9"/>
        <w:ind w:firstLine="627" w:firstLineChars="196"/>
        <w:rPr>
          <w:rFonts w:ascii="仿宋_GB2312" w:eastAsia="仿宋_GB2312" w:hAnsiTheme="minorEastAsia"/>
          <w:b/>
          <w:sz w:val="32"/>
          <w:szCs w:val="32"/>
        </w:rPr>
      </w:pPr>
      <w:r>
        <w:rPr>
          <w:rFonts w:hint="eastAsia" w:ascii="仿宋_GB2312" w:eastAsia="仿宋_GB2312" w:hAnsiTheme="minorEastAsia"/>
          <w:b/>
          <w:sz w:val="32"/>
          <w:szCs w:val="32"/>
        </w:rPr>
        <w:t>（一）“三公”经费财政拨款支出决算总体情况说明</w:t>
      </w:r>
    </w:p>
    <w:p w14:paraId="05C03E39">
      <w:pPr>
        <w:pStyle w:val="9"/>
        <w:ind w:firstLine="800" w:firstLineChars="250"/>
        <w:rPr>
          <w:rFonts w:hint="eastAsia" w:ascii="仿宋_GB2312" w:eastAsia="仿宋_GB2312" w:hAnsiTheme="minorEastAsia"/>
          <w:sz w:val="32"/>
          <w:szCs w:val="32"/>
        </w:rPr>
      </w:pPr>
      <w:r>
        <w:rPr>
          <w:rFonts w:hint="eastAsia" w:ascii="仿宋_GB2312" w:eastAsia="仿宋_GB2312" w:hAnsiTheme="minorEastAsia"/>
          <w:sz w:val="32"/>
          <w:szCs w:val="32"/>
        </w:rPr>
        <w:t>2023年度“三公”经费财政拨款支出预算为0.</w:t>
      </w:r>
      <w:r>
        <w:rPr>
          <w:rFonts w:hint="eastAsia" w:ascii="仿宋_GB2312" w:eastAsia="仿宋_GB2312" w:hAnsiTheme="minorEastAsia"/>
          <w:sz w:val="32"/>
          <w:szCs w:val="32"/>
          <w:lang w:val="en-US" w:eastAsia="zh-CN"/>
        </w:rPr>
        <w:t>13</w:t>
      </w:r>
      <w:r>
        <w:rPr>
          <w:rFonts w:hint="eastAsia" w:ascii="仿宋_GB2312" w:eastAsia="仿宋_GB2312" w:hAnsiTheme="minorEastAsia"/>
          <w:sz w:val="32"/>
          <w:szCs w:val="32"/>
        </w:rPr>
        <w:t>万元，支出决算为0.13万元，完成预算的</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rPr>
        <w:t>%，决算数</w:t>
      </w:r>
      <w:r>
        <w:rPr>
          <w:rFonts w:hint="eastAsia" w:ascii="仿宋_GB2312" w:eastAsia="仿宋_GB2312" w:hAnsiTheme="minorEastAsia"/>
          <w:sz w:val="32"/>
          <w:szCs w:val="32"/>
          <w:lang w:eastAsia="zh-CN"/>
        </w:rPr>
        <w:t>等于</w:t>
      </w:r>
      <w:r>
        <w:rPr>
          <w:rFonts w:hint="eastAsia" w:ascii="仿宋_GB2312" w:eastAsia="仿宋_GB2312" w:hAnsiTheme="minorEastAsia"/>
          <w:sz w:val="32"/>
          <w:szCs w:val="32"/>
        </w:rPr>
        <w:t>预算数</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与上年相比减少0.43万元，下降76.79%,主要原因是贯彻厉行节约政策，缩减开支。其中：</w:t>
      </w:r>
    </w:p>
    <w:p w14:paraId="3DC97CD5">
      <w:pPr>
        <w:pStyle w:val="9"/>
        <w:ind w:firstLine="800" w:firstLineChars="250"/>
        <w:rPr>
          <w:rFonts w:hint="eastAsia" w:ascii="仿宋_GB2312" w:eastAsia="仿宋_GB2312" w:hAnsiTheme="minorEastAsia"/>
          <w:sz w:val="32"/>
          <w:szCs w:val="32"/>
        </w:rPr>
      </w:pPr>
      <w:r>
        <w:rPr>
          <w:rFonts w:hint="eastAsia" w:ascii="仿宋_GB2312" w:eastAsia="仿宋_GB2312" w:hAnsiTheme="minorEastAsia"/>
          <w:sz w:val="32"/>
          <w:szCs w:val="32"/>
        </w:rPr>
        <w:t>因公出国（境）费支出预算为0万元，支出决算为0万元，</w:t>
      </w:r>
      <w:bookmarkStart w:id="0" w:name="OLE_LINK78"/>
      <w:bookmarkStart w:id="1" w:name="OLE_LINK120"/>
      <w:bookmarkStart w:id="2" w:name="OLE_LINK72"/>
      <w:bookmarkStart w:id="3" w:name="OLE_LINK2"/>
      <w:r>
        <w:rPr>
          <w:rFonts w:hint="eastAsia" w:ascii="仿宋_GB2312" w:eastAsia="仿宋_GB2312" w:hAnsiTheme="minorEastAsia"/>
          <w:sz w:val="32"/>
          <w:szCs w:val="32"/>
          <w:lang w:eastAsia="zh-CN"/>
        </w:rPr>
        <w:t>由于预算数为</w:t>
      </w:r>
      <w:r>
        <w:rPr>
          <w:rFonts w:hint="eastAsia" w:ascii="仿宋_GB2312" w:eastAsia="仿宋_GB2312" w:hAnsiTheme="minorEastAsia"/>
          <w:sz w:val="32"/>
          <w:szCs w:val="32"/>
          <w:lang w:val="en-US" w:eastAsia="zh-CN"/>
        </w:rPr>
        <w:t>0，无法计算百分比</w:t>
      </w:r>
      <w:bookmarkEnd w:id="0"/>
      <w:r>
        <w:rPr>
          <w:rFonts w:hint="eastAsia" w:ascii="仿宋_GB2312" w:eastAsia="仿宋_GB2312" w:hAnsiTheme="minorEastAsia"/>
          <w:sz w:val="32"/>
          <w:szCs w:val="32"/>
        </w:rPr>
        <w:t>，</w:t>
      </w:r>
      <w:bookmarkStart w:id="4" w:name="OLE_LINK71"/>
      <w:r>
        <w:rPr>
          <w:rFonts w:hint="eastAsia" w:ascii="仿宋_GB2312" w:eastAsia="仿宋_GB2312" w:hAnsiTheme="minorEastAsia"/>
          <w:sz w:val="32"/>
          <w:szCs w:val="32"/>
        </w:rPr>
        <w:t>决算数</w:t>
      </w:r>
      <w:r>
        <w:rPr>
          <w:rFonts w:hint="eastAsia" w:ascii="仿宋_GB2312" w:eastAsia="仿宋_GB2312" w:hAnsiTheme="minorEastAsia"/>
          <w:sz w:val="32"/>
          <w:szCs w:val="32"/>
          <w:lang w:eastAsia="zh-CN"/>
        </w:rPr>
        <w:t>等于</w:t>
      </w:r>
      <w:r>
        <w:rPr>
          <w:rFonts w:hint="eastAsia" w:ascii="仿宋_GB2312" w:eastAsia="仿宋_GB2312" w:hAnsiTheme="minorEastAsia"/>
          <w:sz w:val="32"/>
          <w:szCs w:val="32"/>
        </w:rPr>
        <w:t>预算数</w:t>
      </w:r>
      <w:bookmarkEnd w:id="1"/>
      <w:bookmarkEnd w:id="4"/>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与上年相比</w:t>
      </w:r>
      <w:r>
        <w:rPr>
          <w:rFonts w:hint="eastAsia" w:ascii="仿宋_GB2312" w:eastAsia="仿宋_GB2312" w:hAnsiTheme="minorEastAsia"/>
          <w:sz w:val="32"/>
          <w:szCs w:val="32"/>
          <w:lang w:eastAsia="zh-CN"/>
        </w:rPr>
        <w:t>一致</w:t>
      </w:r>
      <w:bookmarkEnd w:id="2"/>
      <w:r>
        <w:rPr>
          <w:rFonts w:hint="eastAsia" w:ascii="仿宋_GB2312" w:eastAsia="仿宋_GB2312" w:hAnsiTheme="minorEastAsia"/>
          <w:sz w:val="32"/>
          <w:szCs w:val="32"/>
        </w:rPr>
        <w:t>。</w:t>
      </w:r>
      <w:bookmarkEnd w:id="3"/>
    </w:p>
    <w:p w14:paraId="785840B2">
      <w:pPr>
        <w:pStyle w:val="9"/>
        <w:ind w:firstLine="800" w:firstLineChars="250"/>
        <w:rPr>
          <w:rFonts w:hint="eastAsia" w:ascii="仿宋_GB2312" w:eastAsia="仿宋_GB2312" w:hAnsiTheme="minorEastAsia"/>
          <w:sz w:val="32"/>
          <w:szCs w:val="32"/>
        </w:rPr>
      </w:pPr>
      <w:r>
        <w:rPr>
          <w:rFonts w:hint="eastAsia" w:ascii="仿宋_GB2312" w:eastAsia="仿宋_GB2312" w:hAnsiTheme="minorEastAsia"/>
          <w:sz w:val="32"/>
          <w:szCs w:val="32"/>
        </w:rPr>
        <w:t>公务接待费支出预算为</w:t>
      </w:r>
      <w:r>
        <w:rPr>
          <w:rFonts w:hint="eastAsia" w:ascii="仿宋_GB2312" w:eastAsia="仿宋_GB2312" w:hAnsiTheme="minorEastAsia"/>
          <w:sz w:val="32"/>
          <w:szCs w:val="32"/>
          <w:lang w:val="en-US" w:eastAsia="zh-CN"/>
        </w:rPr>
        <w:t>0.13</w:t>
      </w:r>
      <w:r>
        <w:rPr>
          <w:rFonts w:hint="eastAsia" w:ascii="仿宋_GB2312" w:eastAsia="仿宋_GB2312" w:hAnsiTheme="minorEastAsia"/>
          <w:sz w:val="32"/>
          <w:szCs w:val="32"/>
        </w:rPr>
        <w:t>万元，支出决算为0.13万元，完成预算的</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rPr>
        <w:t>%，决算数</w:t>
      </w:r>
      <w:r>
        <w:rPr>
          <w:rFonts w:hint="eastAsia" w:ascii="仿宋_GB2312" w:eastAsia="仿宋_GB2312" w:hAnsiTheme="minorEastAsia"/>
          <w:sz w:val="32"/>
          <w:szCs w:val="32"/>
          <w:lang w:eastAsia="zh-CN"/>
        </w:rPr>
        <w:t>等于</w:t>
      </w:r>
      <w:r>
        <w:rPr>
          <w:rFonts w:hint="eastAsia" w:ascii="仿宋_GB2312" w:eastAsia="仿宋_GB2312" w:hAnsiTheme="minorEastAsia"/>
          <w:sz w:val="32"/>
          <w:szCs w:val="32"/>
        </w:rPr>
        <w:t>预算数。</w:t>
      </w:r>
      <w:bookmarkStart w:id="5" w:name="OLE_LINK1"/>
      <w:r>
        <w:rPr>
          <w:rFonts w:hint="eastAsia" w:ascii="仿宋_GB2312" w:eastAsia="仿宋_GB2312" w:hAnsiTheme="minorEastAsia"/>
          <w:sz w:val="32"/>
          <w:szCs w:val="32"/>
        </w:rPr>
        <w:t>与上年相比减少0.43万元，下降76.79%,主要原因是贯彻厉行节约政策，缩减开支。</w:t>
      </w:r>
      <w:bookmarkEnd w:id="5"/>
    </w:p>
    <w:p w14:paraId="62BB3636">
      <w:pPr>
        <w:pStyle w:val="9"/>
        <w:ind w:firstLine="800" w:firstLineChars="250"/>
        <w:rPr>
          <w:rFonts w:hint="eastAsia" w:ascii="仿宋_GB2312" w:eastAsia="仿宋_GB2312" w:hAnsiTheme="minorEastAsia"/>
          <w:sz w:val="32"/>
          <w:szCs w:val="32"/>
        </w:rPr>
      </w:pPr>
      <w:r>
        <w:rPr>
          <w:rFonts w:hint="eastAsia" w:ascii="仿宋_GB2312" w:eastAsia="仿宋_GB2312" w:hAnsiTheme="minorEastAsia"/>
          <w:sz w:val="32"/>
          <w:szCs w:val="32"/>
        </w:rPr>
        <w:t>公务用车购置费支出预算为0万元，支出决算为0万元，</w:t>
      </w:r>
      <w:r>
        <w:rPr>
          <w:rFonts w:hint="eastAsia" w:ascii="仿宋_GB2312" w:eastAsia="仿宋_GB2312" w:hAnsiTheme="minorEastAsia"/>
          <w:sz w:val="32"/>
          <w:szCs w:val="32"/>
          <w:lang w:eastAsia="zh-CN"/>
        </w:rPr>
        <w:t>由于预算数为</w:t>
      </w:r>
      <w:r>
        <w:rPr>
          <w:rFonts w:hint="eastAsia" w:ascii="仿宋_GB2312" w:eastAsia="仿宋_GB2312" w:hAnsiTheme="minorEastAsia"/>
          <w:sz w:val="32"/>
          <w:szCs w:val="32"/>
          <w:lang w:val="en-US" w:eastAsia="zh-CN"/>
        </w:rPr>
        <w:t>0，无法计算百分比</w:t>
      </w:r>
      <w:r>
        <w:rPr>
          <w:rFonts w:hint="eastAsia" w:ascii="仿宋_GB2312" w:eastAsia="仿宋_GB2312" w:hAnsiTheme="minorEastAsia"/>
          <w:sz w:val="32"/>
          <w:szCs w:val="32"/>
        </w:rPr>
        <w:t>，决算数</w:t>
      </w:r>
      <w:r>
        <w:rPr>
          <w:rFonts w:hint="eastAsia" w:ascii="仿宋_GB2312" w:eastAsia="仿宋_GB2312" w:hAnsiTheme="minorEastAsia"/>
          <w:sz w:val="32"/>
          <w:szCs w:val="32"/>
          <w:lang w:eastAsia="zh-CN"/>
        </w:rPr>
        <w:t>等于</w:t>
      </w:r>
      <w:r>
        <w:rPr>
          <w:rFonts w:hint="eastAsia" w:ascii="仿宋_GB2312" w:eastAsia="仿宋_GB2312" w:hAnsiTheme="minorEastAsia"/>
          <w:sz w:val="32"/>
          <w:szCs w:val="32"/>
        </w:rPr>
        <w:t>预算数</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与上年相比</w:t>
      </w:r>
      <w:r>
        <w:rPr>
          <w:rFonts w:hint="eastAsia" w:ascii="仿宋_GB2312" w:eastAsia="仿宋_GB2312" w:hAnsiTheme="minorEastAsia"/>
          <w:sz w:val="32"/>
          <w:szCs w:val="32"/>
          <w:lang w:eastAsia="zh-CN"/>
        </w:rPr>
        <w:t>一致</w:t>
      </w:r>
      <w:r>
        <w:rPr>
          <w:rFonts w:hint="eastAsia" w:ascii="仿宋_GB2312" w:eastAsia="仿宋_GB2312" w:hAnsiTheme="minorEastAsia"/>
          <w:sz w:val="32"/>
          <w:szCs w:val="32"/>
        </w:rPr>
        <w:t>。</w:t>
      </w:r>
    </w:p>
    <w:p w14:paraId="1F0B9051">
      <w:pPr>
        <w:pStyle w:val="9"/>
        <w:ind w:firstLine="800" w:firstLineChars="250"/>
        <w:rPr>
          <w:rFonts w:asciiTheme="minorEastAsia" w:hAnsiTheme="minorEastAsia" w:eastAsiaTheme="minorEastAsia"/>
          <w:sz w:val="32"/>
          <w:szCs w:val="32"/>
        </w:rPr>
      </w:pPr>
      <w:r>
        <w:rPr>
          <w:rFonts w:hint="eastAsia" w:ascii="仿宋_GB2312" w:eastAsia="仿宋_GB2312" w:hAnsiTheme="minorEastAsia"/>
          <w:sz w:val="32"/>
          <w:szCs w:val="32"/>
        </w:rPr>
        <w:t>公务用车运行维护费支出预算为0万元，支出决算为0万元，</w:t>
      </w:r>
      <w:r>
        <w:rPr>
          <w:rFonts w:hint="eastAsia" w:ascii="仿宋_GB2312" w:eastAsia="仿宋_GB2312" w:hAnsiTheme="minorEastAsia"/>
          <w:sz w:val="32"/>
          <w:szCs w:val="32"/>
          <w:lang w:eastAsia="zh-CN"/>
        </w:rPr>
        <w:t>由于预算数为</w:t>
      </w:r>
      <w:r>
        <w:rPr>
          <w:rFonts w:hint="eastAsia" w:ascii="仿宋_GB2312" w:eastAsia="仿宋_GB2312" w:hAnsiTheme="minorEastAsia"/>
          <w:sz w:val="32"/>
          <w:szCs w:val="32"/>
          <w:lang w:val="en-US" w:eastAsia="zh-CN"/>
        </w:rPr>
        <w:t>0，无法计算百分比</w:t>
      </w:r>
      <w:r>
        <w:rPr>
          <w:rFonts w:hint="eastAsia" w:ascii="仿宋_GB2312" w:eastAsia="仿宋_GB2312" w:hAnsiTheme="minorEastAsia"/>
          <w:sz w:val="32"/>
          <w:szCs w:val="32"/>
        </w:rPr>
        <w:t>，决算数</w:t>
      </w:r>
      <w:r>
        <w:rPr>
          <w:rFonts w:hint="eastAsia" w:ascii="仿宋_GB2312" w:eastAsia="仿宋_GB2312" w:hAnsiTheme="minorEastAsia"/>
          <w:sz w:val="32"/>
          <w:szCs w:val="32"/>
          <w:lang w:eastAsia="zh-CN"/>
        </w:rPr>
        <w:t>等于</w:t>
      </w:r>
      <w:r>
        <w:rPr>
          <w:rFonts w:hint="eastAsia" w:ascii="仿宋_GB2312" w:eastAsia="仿宋_GB2312" w:hAnsiTheme="minorEastAsia"/>
          <w:sz w:val="32"/>
          <w:szCs w:val="32"/>
        </w:rPr>
        <w:t>预算数</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与上年相比</w:t>
      </w:r>
      <w:r>
        <w:rPr>
          <w:rFonts w:hint="eastAsia" w:ascii="仿宋_GB2312" w:eastAsia="仿宋_GB2312" w:hAnsiTheme="minorEastAsia"/>
          <w:sz w:val="32"/>
          <w:szCs w:val="32"/>
          <w:lang w:eastAsia="zh-CN"/>
        </w:rPr>
        <w:t>一致</w:t>
      </w:r>
      <w:r>
        <w:rPr>
          <w:rFonts w:hint="eastAsia" w:ascii="仿宋_GB2312" w:eastAsia="仿宋_GB2312" w:hAnsiTheme="minorEastAsia"/>
          <w:sz w:val="32"/>
          <w:szCs w:val="32"/>
        </w:rPr>
        <w:t>。</w:t>
      </w:r>
    </w:p>
    <w:p w14:paraId="42749D41">
      <w:pPr>
        <w:pStyle w:val="9"/>
        <w:ind w:firstLine="627" w:firstLineChars="196"/>
        <w:rPr>
          <w:rFonts w:ascii="仿宋_GB2312" w:eastAsia="仿宋_GB2312" w:hAnsiTheme="minorEastAsia"/>
          <w:b/>
          <w:sz w:val="32"/>
          <w:szCs w:val="32"/>
        </w:rPr>
      </w:pPr>
      <w:r>
        <w:rPr>
          <w:rFonts w:hint="eastAsia" w:ascii="仿宋_GB2312" w:eastAsia="仿宋_GB2312" w:hAnsiTheme="minorEastAsia"/>
          <w:b/>
          <w:sz w:val="32"/>
          <w:szCs w:val="32"/>
        </w:rPr>
        <w:t>（二）“三公”经费财政拨款支出决算具体情况说明</w:t>
      </w:r>
    </w:p>
    <w:p w14:paraId="7502D483">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2022年度“三公”经费财政拨款支出决算中，公务接待费支出决算0.</w:t>
      </w:r>
      <w:r>
        <w:rPr>
          <w:rFonts w:hint="eastAsia" w:ascii="仿宋_GB2312" w:eastAsia="仿宋_GB2312" w:hAnsiTheme="minorEastAsia"/>
          <w:sz w:val="32"/>
          <w:szCs w:val="32"/>
          <w:lang w:val="en-US" w:eastAsia="zh-CN"/>
        </w:rPr>
        <w:t>13</w:t>
      </w:r>
      <w:r>
        <w:rPr>
          <w:rFonts w:hint="eastAsia" w:ascii="仿宋_GB2312" w:eastAsia="仿宋_GB2312" w:hAnsiTheme="minorEastAsia"/>
          <w:sz w:val="32"/>
          <w:szCs w:val="32"/>
        </w:rPr>
        <w:t>万元，占100%,因公出国（境）费支出决算0万元，占0%,公务用车购置费及运行维护费支出决算0万元，占0%。其中：</w:t>
      </w:r>
    </w:p>
    <w:p w14:paraId="5CB10F13">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1、因公出国（境）费支出决算为0万元，全年安排因公出国（境）团组0个，累计0人次。</w:t>
      </w:r>
    </w:p>
    <w:p w14:paraId="1164C329">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2、公务接待费支出决算为0.13万元，全年共接待来访团组4个、来宾100人次，主要是异地商会发生的接待支出。</w:t>
      </w:r>
    </w:p>
    <w:p w14:paraId="3B4C7B33">
      <w:pPr>
        <w:ind w:firstLine="640" w:firstLineChars="200"/>
        <w:rPr>
          <w:rFonts w:cs="黑体" w:asciiTheme="minorEastAsia" w:hAnsiTheme="minorEastAsia"/>
          <w:color w:val="000000"/>
          <w:kern w:val="0"/>
          <w:szCs w:val="32"/>
        </w:rPr>
      </w:pPr>
      <w:r>
        <w:rPr>
          <w:rFonts w:hint="eastAsia" w:ascii="仿宋_GB2312" w:hAnsiTheme="minorEastAsia"/>
          <w:szCs w:val="32"/>
        </w:rPr>
        <w:t>3、公务用车购置费及运行维护费支出决算为0万元，其中：公务用车购置费0万元，溆浦县工商业联合会本级更新公务用车0辆</w:t>
      </w:r>
      <w:r>
        <w:rPr>
          <w:rFonts w:hint="eastAsia" w:ascii="仿宋_GB2312" w:hAnsiTheme="minorEastAsia"/>
          <w:color w:val="000000" w:themeColor="text1"/>
          <w:szCs w:val="32"/>
        </w:rPr>
        <w:t>。</w:t>
      </w:r>
      <w:r>
        <w:rPr>
          <w:rFonts w:hint="eastAsia" w:ascii="仿宋_GB2312" w:hAnsiTheme="minorEastAsia"/>
          <w:szCs w:val="32"/>
        </w:rPr>
        <w:t>公务用车运行维护费0万元，截止2023年12月31日，我单位开支财政拨款的公务用车保有量为0辆。</w:t>
      </w:r>
    </w:p>
    <w:p w14:paraId="26C1A9DA">
      <w:pPr>
        <w:pStyle w:val="9"/>
        <w:ind w:firstLine="627" w:firstLineChars="196"/>
        <w:rPr>
          <w:rFonts w:hAnsi="黑体"/>
          <w:sz w:val="32"/>
          <w:szCs w:val="32"/>
        </w:rPr>
      </w:pPr>
      <w:r>
        <w:rPr>
          <w:rFonts w:hint="eastAsia" w:hAnsi="黑体"/>
          <w:sz w:val="32"/>
          <w:szCs w:val="32"/>
        </w:rPr>
        <w:t>八、政府性基金预算收入支出决算情况</w:t>
      </w:r>
    </w:p>
    <w:p w14:paraId="27E88CB0">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 2023年度本单</w:t>
      </w:r>
      <w:bookmarkStart w:id="33" w:name="_GoBack"/>
      <w:bookmarkEnd w:id="33"/>
      <w:r>
        <w:rPr>
          <w:rFonts w:hint="eastAsia" w:ascii="仿宋_GB2312" w:eastAsia="仿宋_GB2312" w:hAnsiTheme="minorEastAsia"/>
          <w:sz w:val="32"/>
          <w:szCs w:val="32"/>
        </w:rPr>
        <w:t>位无政府性基金收支。</w:t>
      </w:r>
    </w:p>
    <w:p w14:paraId="324EF009">
      <w:pPr>
        <w:pStyle w:val="9"/>
        <w:ind w:firstLine="627" w:firstLineChars="196"/>
        <w:rPr>
          <w:rFonts w:hAnsi="黑体"/>
          <w:sz w:val="32"/>
          <w:szCs w:val="32"/>
        </w:rPr>
      </w:pPr>
      <w:r>
        <w:rPr>
          <w:rFonts w:hint="eastAsia" w:hAnsi="黑体"/>
          <w:sz w:val="32"/>
          <w:szCs w:val="32"/>
        </w:rPr>
        <w:t>九、机关运行经费支出说明</w:t>
      </w:r>
    </w:p>
    <w:p w14:paraId="1A06DFA3">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本部门2023年度机关运行经费支出31.73万元，比上年决算数28.82万元增加2.91万元，增加10.09%。主要原因是：上年度欠账在本年度完成。</w:t>
      </w:r>
    </w:p>
    <w:p w14:paraId="11922591">
      <w:pPr>
        <w:pStyle w:val="9"/>
        <w:ind w:firstLine="627" w:firstLineChars="196"/>
        <w:rPr>
          <w:rFonts w:hAnsi="黑体"/>
          <w:sz w:val="32"/>
          <w:szCs w:val="32"/>
        </w:rPr>
      </w:pPr>
      <w:r>
        <w:rPr>
          <w:rFonts w:hint="eastAsia" w:hAnsi="黑体"/>
          <w:sz w:val="32"/>
          <w:szCs w:val="32"/>
        </w:rPr>
        <w:t>十、一般性支出情况说明</w:t>
      </w:r>
    </w:p>
    <w:p w14:paraId="701BA262">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rPr>
      </w:pPr>
      <w:bookmarkStart w:id="6" w:name="OLE_LINK57"/>
      <w:bookmarkStart w:id="7" w:name="OLE_LINK101"/>
      <w:bookmarkStart w:id="8" w:name="OLE_LINK39"/>
      <w:bookmarkStart w:id="9" w:name="OLE_LINK29"/>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年本部门开支会</w:t>
      </w:r>
      <w:r>
        <w:rPr>
          <w:rFonts w:hint="eastAsia" w:ascii="Times New Roman" w:hAnsi="Times New Roman" w:eastAsia="仿宋_GB2312"/>
          <w:color w:val="auto"/>
          <w:sz w:val="32"/>
          <w:szCs w:val="32"/>
          <w:highlight w:val="none"/>
        </w:rPr>
        <w:t>议费</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rPr>
        <w:t>，</w:t>
      </w:r>
      <w:bookmarkStart w:id="10" w:name="OLE_LINK81"/>
      <w:r>
        <w:rPr>
          <w:rFonts w:hint="eastAsia" w:ascii="Times New Roman" w:hAnsi="Times New Roman" w:eastAsia="仿宋_GB2312"/>
          <w:color w:val="auto"/>
          <w:sz w:val="32"/>
          <w:szCs w:val="32"/>
          <w:highlight w:val="none"/>
        </w:rPr>
        <w:t>用于召开</w:t>
      </w:r>
      <w:r>
        <w:rPr>
          <w:rFonts w:hint="eastAsia" w:ascii="Times New Roman" w:hAnsi="Times New Roman" w:eastAsia="仿宋_GB2312"/>
          <w:color w:val="auto"/>
          <w:sz w:val="32"/>
          <w:szCs w:val="32"/>
          <w:highlight w:val="none"/>
          <w:lang w:val="en-US" w:eastAsia="zh-CN"/>
        </w:rPr>
        <w:t>0次</w:t>
      </w:r>
      <w:r>
        <w:rPr>
          <w:rFonts w:hint="eastAsia" w:ascii="Times New Roman" w:hAnsi="Times New Roman" w:eastAsia="仿宋_GB2312"/>
          <w:color w:val="auto"/>
          <w:sz w:val="32"/>
          <w:szCs w:val="32"/>
          <w:highlight w:val="none"/>
        </w:rPr>
        <w:t>会议，人数</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人</w:t>
      </w:r>
      <w:bookmarkEnd w:id="6"/>
      <w:r>
        <w:rPr>
          <w:rFonts w:hint="eastAsia" w:ascii="Times New Roman" w:hAnsi="Times New Roman" w:eastAsia="仿宋_GB2312"/>
          <w:color w:val="auto"/>
          <w:sz w:val="32"/>
          <w:szCs w:val="32"/>
          <w:highlight w:val="none"/>
        </w:rPr>
        <w:t>；</w:t>
      </w:r>
      <w:bookmarkEnd w:id="10"/>
    </w:p>
    <w:bookmarkEnd w:id="7"/>
    <w:p w14:paraId="3E4F2291">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rPr>
      </w:pPr>
      <w:bookmarkStart w:id="11" w:name="OLE_LINK49"/>
      <w:bookmarkStart w:id="12" w:name="OLE_LINK113"/>
      <w:bookmarkStart w:id="13" w:name="OLE_LINK54"/>
      <w:bookmarkStart w:id="14" w:name="OLE_LINK93"/>
      <w:r>
        <w:rPr>
          <w:rFonts w:hint="eastAsia" w:ascii="Times New Roman" w:hAnsi="Times New Roman" w:eastAsia="仿宋_GB2312"/>
          <w:color w:val="auto"/>
          <w:sz w:val="32"/>
          <w:szCs w:val="32"/>
          <w:highlight w:val="none"/>
        </w:rPr>
        <w:t>开支培训费</w:t>
      </w:r>
      <w:r>
        <w:rPr>
          <w:rFonts w:hint="eastAsia" w:ascii="Times New Roman" w:hAnsi="Times New Roman" w:eastAsia="仿宋_GB2312"/>
          <w:color w:val="auto"/>
          <w:sz w:val="32"/>
          <w:szCs w:val="32"/>
          <w:highlight w:val="none"/>
          <w:lang w:val="en-US" w:eastAsia="zh-CN"/>
        </w:rPr>
        <w:t>0.02</w:t>
      </w:r>
      <w:r>
        <w:rPr>
          <w:rFonts w:hint="eastAsia" w:ascii="Times New Roman" w:hAnsi="Times New Roman" w:eastAsia="仿宋_GB2312"/>
          <w:color w:val="auto"/>
          <w:sz w:val="32"/>
          <w:szCs w:val="32"/>
          <w:highlight w:val="none"/>
        </w:rPr>
        <w:t>万元</w:t>
      </w:r>
      <w:bookmarkEnd w:id="11"/>
      <w:r>
        <w:rPr>
          <w:rFonts w:hint="eastAsia" w:ascii="Times New Roman" w:hAnsi="Times New Roman" w:eastAsia="仿宋_GB2312"/>
          <w:color w:val="auto"/>
          <w:sz w:val="32"/>
          <w:szCs w:val="32"/>
          <w:highlight w:val="none"/>
        </w:rPr>
        <w:t>，用于开展</w:t>
      </w:r>
      <w:r>
        <w:rPr>
          <w:rFonts w:hint="eastAsia" w:ascii="Times New Roman" w:hAnsi="Times New Roman" w:eastAsia="仿宋_GB2312"/>
          <w:color w:val="auto"/>
          <w:sz w:val="32"/>
          <w:szCs w:val="32"/>
          <w:highlight w:val="none"/>
          <w:lang w:eastAsia="zh-CN"/>
        </w:rPr>
        <w:t>湖南省事业单位工作人员</w:t>
      </w:r>
      <w:r>
        <w:rPr>
          <w:rFonts w:hint="eastAsia" w:ascii="Times New Roman" w:hAnsi="Times New Roman" w:eastAsia="仿宋_GB2312"/>
          <w:color w:val="auto"/>
          <w:sz w:val="32"/>
          <w:szCs w:val="32"/>
          <w:highlight w:val="none"/>
        </w:rPr>
        <w:t>培训，人数</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人，</w:t>
      </w:r>
      <w:bookmarkStart w:id="15" w:name="OLE_LINK48"/>
      <w:r>
        <w:rPr>
          <w:rFonts w:hint="eastAsia" w:ascii="Times New Roman" w:hAnsi="Times New Roman" w:eastAsia="仿宋_GB2312"/>
          <w:color w:val="auto"/>
          <w:sz w:val="32"/>
          <w:szCs w:val="32"/>
          <w:highlight w:val="none"/>
        </w:rPr>
        <w:t>内容为</w:t>
      </w:r>
      <w:bookmarkEnd w:id="15"/>
      <w:r>
        <w:rPr>
          <w:rFonts w:hint="eastAsia" w:ascii="Times New Roman" w:hAnsi="Times New Roman" w:eastAsia="仿宋_GB2312"/>
          <w:color w:val="auto"/>
          <w:sz w:val="32"/>
          <w:szCs w:val="32"/>
          <w:highlight w:val="none"/>
          <w:lang w:eastAsia="zh-CN"/>
        </w:rPr>
        <w:t>公共基础知识，专业知识</w:t>
      </w:r>
      <w:r>
        <w:rPr>
          <w:rFonts w:hint="eastAsia" w:ascii="Times New Roman" w:hAnsi="Times New Roman" w:eastAsia="仿宋_GB2312"/>
          <w:color w:val="auto"/>
          <w:sz w:val="32"/>
          <w:szCs w:val="32"/>
          <w:highlight w:val="none"/>
        </w:rPr>
        <w:t>；</w:t>
      </w:r>
    </w:p>
    <w:p w14:paraId="2D34F264">
      <w:pPr>
        <w:pStyle w:val="9"/>
        <w:ind w:firstLine="640" w:firstLineChars="200"/>
        <w:rPr>
          <w:rFonts w:ascii="仿宋_GB2312" w:eastAsia="仿宋_GB2312" w:hAnsiTheme="minorEastAsia"/>
          <w:color w:val="auto"/>
          <w:sz w:val="32"/>
          <w:szCs w:val="32"/>
        </w:rPr>
      </w:pPr>
      <w:r>
        <w:rPr>
          <w:rFonts w:hint="eastAsia" w:ascii="Times New Roman" w:hAnsi="Times New Roman" w:eastAsia="仿宋_GB2312"/>
          <w:color w:val="auto"/>
          <w:sz w:val="32"/>
          <w:szCs w:val="32"/>
        </w:rPr>
        <w:t>举办</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节庆、晚会、论坛、赛事活动，</w:t>
      </w:r>
      <w:bookmarkStart w:id="16" w:name="OLE_LINK59"/>
      <w:r>
        <w:rPr>
          <w:rFonts w:hint="eastAsia" w:ascii="Times New Roman" w:hAnsi="Times New Roman" w:eastAsia="仿宋_GB2312"/>
          <w:color w:val="auto"/>
          <w:sz w:val="32"/>
          <w:szCs w:val="32"/>
        </w:rPr>
        <w:t>开支</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End w:id="8"/>
      <w:bookmarkEnd w:id="12"/>
      <w:bookmarkEnd w:id="13"/>
      <w:bookmarkEnd w:id="16"/>
      <w:r>
        <w:rPr>
          <w:rFonts w:hint="eastAsia" w:ascii="Times New Roman" w:hAnsi="Times New Roman" w:eastAsia="仿宋_GB2312"/>
          <w:color w:val="auto"/>
          <w:sz w:val="32"/>
          <w:szCs w:val="32"/>
        </w:rPr>
        <w:t>。</w:t>
      </w:r>
      <w:bookmarkEnd w:id="9"/>
      <w:bookmarkEnd w:id="14"/>
    </w:p>
    <w:p w14:paraId="4EA26903">
      <w:pPr>
        <w:pStyle w:val="9"/>
        <w:ind w:firstLine="627" w:firstLineChars="196"/>
        <w:rPr>
          <w:rFonts w:hAnsi="黑体"/>
          <w:sz w:val="32"/>
          <w:szCs w:val="32"/>
        </w:rPr>
      </w:pPr>
      <w:r>
        <w:rPr>
          <w:rFonts w:hint="eastAsia" w:hAnsi="黑体"/>
          <w:sz w:val="32"/>
          <w:szCs w:val="32"/>
        </w:rPr>
        <w:t>十一、政府采购支出说明</w:t>
      </w:r>
    </w:p>
    <w:p w14:paraId="5D9D7BFB">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本部门2023年度政府采购支出总额0万元，其中：政府采购货物支出0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373B4F9B">
      <w:pPr>
        <w:pStyle w:val="9"/>
        <w:ind w:firstLine="627" w:firstLineChars="196"/>
        <w:rPr>
          <w:rFonts w:hAnsi="黑体"/>
          <w:sz w:val="32"/>
          <w:szCs w:val="32"/>
        </w:rPr>
      </w:pPr>
      <w:r>
        <w:rPr>
          <w:rFonts w:hint="eastAsia" w:hAnsi="黑体"/>
          <w:sz w:val="32"/>
          <w:szCs w:val="32"/>
        </w:rPr>
        <w:t>十二、国有资产占用情况说明</w:t>
      </w:r>
    </w:p>
    <w:p w14:paraId="2351025B">
      <w:pPr>
        <w:pStyle w:val="9"/>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截至2022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14:paraId="1C223335">
      <w:pPr>
        <w:pStyle w:val="9"/>
        <w:ind w:firstLine="627" w:firstLineChars="196"/>
        <w:rPr>
          <w:rFonts w:hAnsi="黑体"/>
          <w:sz w:val="32"/>
          <w:szCs w:val="32"/>
        </w:rPr>
      </w:pPr>
      <w:r>
        <w:rPr>
          <w:rFonts w:hint="eastAsia" w:hAnsi="黑体"/>
          <w:sz w:val="32"/>
          <w:szCs w:val="32"/>
        </w:rPr>
        <w:t>十三、2023年度预算绩效情况说明</w:t>
      </w:r>
    </w:p>
    <w:p w14:paraId="6095A23D">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17" w:name="OLE_LINK13"/>
      <w:bookmarkStart w:id="18" w:name="OLE_LINK50"/>
      <w:bookmarkStart w:id="19" w:name="OLE_LINK102"/>
      <w:bookmarkStart w:id="20" w:name="OLE_LINK45"/>
      <w:bookmarkStart w:id="21" w:name="OLE_LINK108"/>
      <w:bookmarkStart w:id="22" w:name="OLE_LINK97"/>
      <w:r>
        <w:rPr>
          <w:rFonts w:hint="eastAsia" w:ascii="楷体" w:hAnsi="楷体" w:eastAsia="楷体" w:cs="楷体"/>
          <w:b/>
          <w:bCs/>
          <w:sz w:val="32"/>
          <w:szCs w:val="32"/>
          <w:lang w:eastAsia="zh-CN"/>
        </w:rPr>
        <w:t>（一）</w:t>
      </w:r>
      <w:bookmarkStart w:id="23" w:name="OLE_LINK5"/>
      <w:r>
        <w:rPr>
          <w:rFonts w:hint="eastAsia" w:ascii="楷体" w:hAnsi="楷体" w:eastAsia="楷体" w:cs="楷体"/>
          <w:b/>
          <w:bCs/>
          <w:sz w:val="32"/>
          <w:szCs w:val="32"/>
          <w:lang w:eastAsia="zh-CN"/>
        </w:rPr>
        <w:t>绩效管理工作开展情况</w:t>
      </w:r>
      <w:bookmarkEnd w:id="17"/>
      <w:bookmarkEnd w:id="23"/>
    </w:p>
    <w:p w14:paraId="33221484">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bookmarkStart w:id="24" w:name="OLE_LINK55"/>
      <w:bookmarkStart w:id="25" w:name="OLE_LINK40"/>
      <w:r>
        <w:rPr>
          <w:rFonts w:hint="eastAsia" w:ascii="Times New Roman" w:hAnsi="Times New Roman" w:eastAsia="仿宋_GB2312"/>
          <w:color w:val="auto"/>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18"/>
      <w:bookmarkEnd w:id="24"/>
      <w:r>
        <w:rPr>
          <w:rFonts w:hint="eastAsia" w:ascii="Times New Roman" w:hAnsi="Times New Roman" w:eastAsia="仿宋_GB2312"/>
          <w:color w:val="auto"/>
          <w:sz w:val="32"/>
          <w:szCs w:val="32"/>
          <w:lang w:eastAsia="zh-CN"/>
        </w:rPr>
        <w:t>。</w:t>
      </w:r>
      <w:bookmarkEnd w:id="19"/>
      <w:bookmarkEnd w:id="25"/>
    </w:p>
    <w:bookmarkEnd w:id="20"/>
    <w:p w14:paraId="353E2F76">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26" w:name="OLE_LINK46"/>
      <w:r>
        <w:rPr>
          <w:rFonts w:hint="eastAsia" w:ascii="楷体" w:hAnsi="楷体" w:eastAsia="楷体" w:cs="楷体"/>
          <w:b/>
          <w:bCs/>
          <w:sz w:val="32"/>
          <w:szCs w:val="32"/>
          <w:lang w:eastAsia="zh-CN"/>
        </w:rPr>
        <w:t>（二）</w:t>
      </w:r>
      <w:bookmarkStart w:id="27" w:name="OLE_LINK6"/>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bookmarkEnd w:id="27"/>
    </w:p>
    <w:bookmarkEnd w:id="21"/>
    <w:bookmarkEnd w:id="26"/>
    <w:p w14:paraId="12D413B7">
      <w:pPr>
        <w:shd w:val="clear"/>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2023年，根据年初计划的重点工作，本单位通过对财政资金的使用，取得如下绩效：</w:t>
      </w:r>
    </w:p>
    <w:p w14:paraId="6FEE6770">
      <w:pPr>
        <w:shd w:val="clear"/>
        <w:ind w:firstLine="627" w:firstLineChars="196"/>
        <w:rPr>
          <w:rFonts w:hint="eastAsia" w:ascii="Times New Roman" w:hAnsi="Times New Roman" w:eastAsia="仿宋_GB2312"/>
          <w:sz w:val="32"/>
          <w:szCs w:val="32"/>
        </w:rPr>
      </w:pPr>
      <w:r>
        <w:rPr>
          <w:rFonts w:hint="eastAsia" w:ascii="仿宋_GB2312" w:hAnsi="仿宋" w:cs="宋体"/>
          <w:color w:val="000000"/>
          <w:kern w:val="0"/>
          <w:szCs w:val="32"/>
        </w:rPr>
        <w:t xml:space="preserve"> （一）积极履行政治领导责任。狠抓理论学习，强化思想建设。（二）认真落实党建工作责任</w:t>
      </w:r>
      <w:r>
        <w:rPr>
          <w:rFonts w:hint="eastAsia" w:ascii="仿宋_GB2312" w:hAnsi="仿宋" w:cs="宋体"/>
          <w:color w:val="000000"/>
          <w:kern w:val="0"/>
          <w:szCs w:val="32"/>
          <w:lang w:eastAsia="zh-CN"/>
        </w:rPr>
        <w:t>。</w:t>
      </w:r>
      <w:r>
        <w:rPr>
          <w:rFonts w:hint="eastAsia" w:ascii="仿宋_GB2312" w:hAnsi="仿宋" w:cs="宋体"/>
          <w:color w:val="000000"/>
          <w:kern w:val="0"/>
          <w:szCs w:val="32"/>
        </w:rPr>
        <w:t>按照党史学习教育活动安排，党组班子成员积极参加学习教育，撰写调研专题材料，剖析自身存在的问题和不足，抓好问题整改落实到位</w:t>
      </w:r>
      <w:r>
        <w:rPr>
          <w:rFonts w:hint="eastAsia" w:ascii="仿宋_GB2312" w:hAnsi="仿宋" w:cs="宋体"/>
          <w:color w:val="000000"/>
          <w:kern w:val="0"/>
          <w:szCs w:val="32"/>
          <w:lang w:eastAsia="zh-CN"/>
        </w:rPr>
        <w:t>。</w:t>
      </w:r>
      <w:r>
        <w:rPr>
          <w:rFonts w:hint="eastAsia" w:ascii="仿宋_GB2312" w:hAnsi="仿宋" w:cs="宋体"/>
          <w:color w:val="000000"/>
          <w:kern w:val="0"/>
          <w:szCs w:val="32"/>
        </w:rPr>
        <w:t>（三）严格履行党风廉政建设主体责任。组织全体党员、干部职工认真学习和贯彻《中国共产党党内监督条例》和《中国共产党纪律处分条例》等有关文件及会议精神，提高党员、干部职工对反腐败斗争的认识，从而形成了以廉政促工作、促发展、促稳定的良好氛围。（四）认真履行意识形态工作主体责任。明确领导班子抓意识形态工作的具体职责。党组班子成员先后12次参加理论中心组学习，集中深入学习习近平总书记在中共中央政治局民主生活会讲话精神、习近平总书记等中央领导对湖南脱贫攻坚重要批示精神以及在重庆考察时的重要讲话精神、习近平关于扫黑除恶的有关讲话精神、全国“两会”精神、全国宣传思想工作会议精神。（五）大力抓好非公组织党建。中共溆浦县工商联直属会员单位行业委员会，负责县级在溆异地商会和县工商联直属行业协会商会党建工作，指导工商联系统会员企业和商会党的建设工作</w:t>
      </w:r>
      <w:r>
        <w:rPr>
          <w:rFonts w:hint="eastAsia" w:ascii="仿宋_GB2312" w:hAnsi="仿宋" w:cs="宋体"/>
          <w:color w:val="000000"/>
          <w:kern w:val="0"/>
          <w:szCs w:val="32"/>
          <w:lang w:eastAsia="zh-CN"/>
        </w:rPr>
        <w:t>。</w:t>
      </w:r>
      <w:r>
        <w:rPr>
          <w:rFonts w:hint="eastAsia" w:ascii="仿宋_GB2312" w:hAnsi="仿宋" w:cs="宋体"/>
          <w:color w:val="000000"/>
          <w:kern w:val="0"/>
          <w:szCs w:val="32"/>
        </w:rPr>
        <w:t>（六）积极推进工商联组织建设。按照《中华全国工商联章程规定》和省市工作安排，开展工商联组织建设工作。（七）认真开展作风建设专项行动</w:t>
      </w:r>
      <w:r>
        <w:rPr>
          <w:rFonts w:hint="eastAsia" w:ascii="仿宋_GB2312" w:hAnsi="仿宋" w:cs="宋体"/>
          <w:color w:val="000000"/>
          <w:kern w:val="0"/>
          <w:szCs w:val="32"/>
          <w:lang w:eastAsia="zh-CN"/>
        </w:rPr>
        <w:t>。</w:t>
      </w:r>
      <w:r>
        <w:rPr>
          <w:rFonts w:hint="eastAsia" w:ascii="仿宋_GB2312" w:hAnsi="仿宋" w:cs="宋体"/>
          <w:color w:val="000000"/>
          <w:kern w:val="0"/>
          <w:szCs w:val="32"/>
        </w:rPr>
        <w:t xml:space="preserve"> 按照文件要求，县工商联扎实开展干部作风建设专项活动， 全体干部职工围绕深入学习贯彻习近平总书记关于加强作风建设重要论述的基础上，查找个人在“三整顿两提升，激励担当作为”存在的差距和不足；紧紧围绕</w:t>
      </w:r>
      <w:r>
        <w:rPr>
          <w:rFonts w:hint="eastAsia" w:ascii="仿宋_GB2312" w:hAnsi="仿宋" w:cs="宋体"/>
          <w:color w:val="000000"/>
          <w:kern w:val="0"/>
          <w:szCs w:val="32"/>
          <w:lang w:val="zh-CN"/>
        </w:rPr>
        <w:t>贯彻落实市委六届三次全会</w:t>
      </w:r>
      <w:r>
        <w:rPr>
          <w:rFonts w:hint="eastAsia" w:ascii="仿宋_GB2312" w:hAnsi="仿宋" w:cs="宋体"/>
          <w:color w:val="000000"/>
          <w:kern w:val="0"/>
          <w:szCs w:val="32"/>
        </w:rPr>
        <w:t>和县委十三届四次全会</w:t>
      </w:r>
      <w:r>
        <w:rPr>
          <w:rFonts w:hint="eastAsia" w:ascii="仿宋_GB2312" w:hAnsi="仿宋" w:cs="宋体"/>
          <w:color w:val="000000"/>
          <w:kern w:val="0"/>
          <w:szCs w:val="32"/>
          <w:lang w:val="zh-CN"/>
        </w:rPr>
        <w:t>精神</w:t>
      </w:r>
      <w:r>
        <w:rPr>
          <w:rFonts w:hint="eastAsia" w:ascii="仿宋_GB2312" w:hAnsi="仿宋" w:cs="宋体"/>
          <w:color w:val="000000"/>
          <w:kern w:val="0"/>
          <w:szCs w:val="32"/>
        </w:rPr>
        <w:t>，为“奋起二次创业，工商联怎么办”主题开展大讨论准备讨论发言材料。（八）扎实开展乡村振兴联系帮扶工作。按照县委安排，工商联机关联系三江镇乐园村开展乡村振兴工作，按照要求全面完成联系村帮扶资金任务，机关全体党员干部职工深入三江镇乐园村开展走访联系脱贫户，召开民情恳会会议，围绕“两不愁三保障”及饮水安全开展工作。（九）“万企兴万村”乡村振兴取得初步成效。按照全国、省、市工商联工作部署，组织民营企业参与乡村振兴工作。（十）统筹推进其他工作。加强社会治安综合治理，落实工作责任，健全工作机制，形成“一把手负总责、分管领导亲自抓”的工作格局，明确专人专抓，工商联全体干部职工每人联系10位非公经济人士，广泛开展综治工作围绕我县中心工作目标，着力提升城市品质，在工商联机关干部职工和非公有制企业家范围内，营造出绿色、文明、环保、和谐的理念，彻底革除陋习。按照部署安排，加强招商引资工作，“引老乡、回故乡、建家乡”，恒辉地产成功与万达集团签约筹建溆浦万达广场。积极开展抗灾工作，组织开展全县非公经济人士募集灾后重建资金50余万元；结合开展当标兵、做示范、走前列活动，开展当前工作。（十一）与县直相关单位密切配合，成功举办了全省“万企兴万村”以及“民企兴县”活动</w:t>
      </w:r>
      <w:r>
        <w:rPr>
          <w:rFonts w:hint="eastAsia" w:ascii="仿宋" w:hAnsi="仿宋" w:eastAsia="仿宋" w:cs="仿宋"/>
          <w:color w:val="222222"/>
          <w:szCs w:val="32"/>
        </w:rPr>
        <w:t>。</w:t>
      </w:r>
    </w:p>
    <w:p w14:paraId="01D4DDE7">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28" w:name="OLE_LINK103"/>
      <w:bookmarkStart w:id="29" w:name="OLE_LINK7"/>
      <w:bookmarkStart w:id="30" w:name="OLE_LINK56"/>
      <w:r>
        <w:rPr>
          <w:rFonts w:hint="eastAsia" w:ascii="楷体" w:hAnsi="楷体" w:eastAsia="楷体" w:cs="楷体"/>
          <w:b/>
          <w:bCs/>
          <w:sz w:val="32"/>
          <w:szCs w:val="32"/>
          <w:lang w:eastAsia="zh-CN"/>
        </w:rPr>
        <w:t>（三）</w:t>
      </w:r>
      <w:bookmarkEnd w:id="28"/>
      <w:r>
        <w:rPr>
          <w:rFonts w:hint="eastAsia" w:ascii="楷体" w:hAnsi="楷体" w:eastAsia="楷体" w:cs="楷体"/>
          <w:b/>
          <w:bCs/>
          <w:sz w:val="32"/>
          <w:szCs w:val="32"/>
        </w:rPr>
        <w:t>存在的问题及原因分析</w:t>
      </w:r>
      <w:bookmarkEnd w:id="29"/>
    </w:p>
    <w:p w14:paraId="2D513249">
      <w:pPr>
        <w:shd w:val="clear"/>
        <w:ind w:firstLine="640" w:firstLineChars="200"/>
        <w:rPr>
          <w:rFonts w:ascii="仿宋_GB2312" w:hAnsi="仿宋"/>
          <w:szCs w:val="32"/>
        </w:rPr>
      </w:pPr>
      <w:r>
        <w:rPr>
          <w:rFonts w:hint="eastAsia" w:ascii="仿宋_GB2312" w:hAnsi="仿宋"/>
          <w:szCs w:val="32"/>
        </w:rPr>
        <w:t>在充分肯定2023年工作成绩的同时，我们也要清醒地认识到工作中还存在着一些不足。主要表现在：</w:t>
      </w:r>
    </w:p>
    <w:p w14:paraId="6A5F8EB8">
      <w:pPr>
        <w:shd w:val="clear"/>
        <w:ind w:firstLine="640" w:firstLineChars="200"/>
        <w:rPr>
          <w:rFonts w:ascii="仿宋_GB2312" w:hAnsi="仿宋"/>
          <w:szCs w:val="32"/>
        </w:rPr>
      </w:pPr>
      <w:r>
        <w:rPr>
          <w:rFonts w:hint="eastAsia" w:ascii="仿宋_GB2312" w:hAnsi="仿宋"/>
          <w:szCs w:val="32"/>
        </w:rPr>
        <w:t>一是思想还不够解放，对当前民营经济发展的新形势、对商会工作面临的新任务认识不足，研究不够，缺少科学应对的新思路、新办法。</w:t>
      </w:r>
    </w:p>
    <w:p w14:paraId="4CED712C">
      <w:pPr>
        <w:shd w:val="clear"/>
        <w:ind w:firstLine="640" w:firstLineChars="200"/>
        <w:rPr>
          <w:rFonts w:hint="eastAsia" w:ascii="仿宋_GB2312" w:hAnsi="仿宋"/>
          <w:szCs w:val="32"/>
        </w:rPr>
      </w:pPr>
      <w:r>
        <w:rPr>
          <w:rFonts w:hint="eastAsia" w:ascii="仿宋_GB2312" w:hAnsi="仿宋"/>
          <w:szCs w:val="32"/>
        </w:rPr>
        <w:t>二是乡镇商会组织活动不够经常，管理不够规范的问题没有得到很好的解决，乡镇商会应有的作用没有得到充分发挥。</w:t>
      </w:r>
    </w:p>
    <w:p w14:paraId="6223962B">
      <w:pPr>
        <w:shd w:val="clear"/>
        <w:ind w:firstLine="640" w:firstLineChars="200"/>
        <w:rPr>
          <w:rFonts w:ascii="仿宋_GB2312" w:hAnsi="仿宋"/>
          <w:szCs w:val="32"/>
        </w:rPr>
      </w:pPr>
      <w:r>
        <w:rPr>
          <w:rFonts w:hint="eastAsia" w:ascii="仿宋_GB2312" w:hAnsi="仿宋"/>
          <w:szCs w:val="32"/>
        </w:rPr>
        <w:t>三是与异地商会的走访对接工作有待进一步加强。</w:t>
      </w:r>
    </w:p>
    <w:bookmarkEnd w:id="22"/>
    <w:bookmarkEnd w:id="30"/>
    <w:p w14:paraId="71243023">
      <w:pPr>
        <w:pStyle w:val="9"/>
        <w:jc w:val="center"/>
        <w:rPr>
          <w:sz w:val="72"/>
          <w:szCs w:val="72"/>
        </w:rPr>
      </w:pPr>
    </w:p>
    <w:p w14:paraId="2353A185">
      <w:pPr>
        <w:pStyle w:val="9"/>
        <w:jc w:val="center"/>
        <w:rPr>
          <w:b/>
          <w:sz w:val="72"/>
          <w:szCs w:val="72"/>
        </w:rPr>
      </w:pPr>
    </w:p>
    <w:p w14:paraId="69A94318">
      <w:pPr>
        <w:pStyle w:val="9"/>
        <w:jc w:val="center"/>
        <w:rPr>
          <w:b/>
          <w:sz w:val="72"/>
          <w:szCs w:val="72"/>
        </w:rPr>
      </w:pPr>
    </w:p>
    <w:p w14:paraId="6AB204BE">
      <w:pPr>
        <w:pStyle w:val="9"/>
        <w:jc w:val="center"/>
        <w:rPr>
          <w:b/>
          <w:sz w:val="72"/>
          <w:szCs w:val="72"/>
        </w:rPr>
      </w:pPr>
    </w:p>
    <w:p w14:paraId="1C6D72E5">
      <w:pPr>
        <w:pStyle w:val="9"/>
        <w:jc w:val="center"/>
        <w:rPr>
          <w:b/>
          <w:sz w:val="72"/>
          <w:szCs w:val="72"/>
        </w:rPr>
      </w:pPr>
    </w:p>
    <w:p w14:paraId="5D9F4437">
      <w:pPr>
        <w:pStyle w:val="9"/>
        <w:jc w:val="center"/>
        <w:rPr>
          <w:b/>
          <w:sz w:val="72"/>
          <w:szCs w:val="72"/>
        </w:rPr>
      </w:pPr>
      <w:r>
        <w:rPr>
          <w:rFonts w:hint="eastAsia"/>
          <w:b/>
          <w:sz w:val="72"/>
          <w:szCs w:val="72"/>
        </w:rPr>
        <w:t>第四部分</w:t>
      </w:r>
    </w:p>
    <w:p w14:paraId="3FFDCAEF">
      <w:pPr>
        <w:jc w:val="center"/>
        <w:rPr>
          <w:rFonts w:ascii="黑体" w:eastAsia="黑体" w:cs="黑体"/>
          <w:b/>
          <w:color w:val="000000"/>
          <w:kern w:val="0"/>
          <w:sz w:val="72"/>
          <w:szCs w:val="72"/>
        </w:rPr>
      </w:pPr>
    </w:p>
    <w:p w14:paraId="79597390">
      <w:pPr>
        <w:jc w:val="center"/>
        <w:rPr>
          <w:rFonts w:ascii="黑体" w:eastAsia="黑体" w:cs="黑体"/>
          <w:color w:val="000000"/>
          <w:kern w:val="0"/>
          <w:sz w:val="70"/>
          <w:szCs w:val="70"/>
        </w:rPr>
      </w:pPr>
      <w:r>
        <w:rPr>
          <w:rFonts w:hint="eastAsia" w:ascii="黑体" w:eastAsia="黑体" w:cs="黑体"/>
          <w:b/>
          <w:color w:val="000000"/>
          <w:kern w:val="0"/>
          <w:sz w:val="72"/>
          <w:szCs w:val="72"/>
        </w:rPr>
        <w:t>名词解释</w:t>
      </w:r>
    </w:p>
    <w:p w14:paraId="410DCBFA">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431AF0EE">
      <w:pPr>
        <w:widowControl/>
        <w:ind w:firstLine="640" w:firstLineChars="200"/>
        <w:jc w:val="left"/>
        <w:rPr>
          <w:rFonts w:ascii="仿宋_GB2312" w:cs="黑体"/>
          <w:color w:val="000000"/>
          <w:kern w:val="0"/>
          <w:sz w:val="70"/>
          <w:szCs w:val="70"/>
        </w:rPr>
      </w:pPr>
      <w:r>
        <w:rPr>
          <w:rFonts w:hint="eastAsia" w:ascii="仿宋_GB2312" w:cs="黑体" w:hAnsiTheme="minorEastAsia"/>
          <w:b/>
          <w:color w:val="000000"/>
          <w:kern w:val="0"/>
          <w:szCs w:val="32"/>
        </w:rPr>
        <w:t>一、</w:t>
      </w:r>
      <w:r>
        <w:rPr>
          <w:rFonts w:hint="eastAsia" w:ascii="仿宋_GB2312" w:hAnsiTheme="minorEastAsia"/>
          <w:b/>
          <w:szCs w:val="32"/>
        </w:rPr>
        <w:t>财政拨款收入：</w:t>
      </w:r>
      <w:r>
        <w:rPr>
          <w:rFonts w:hint="eastAsia" w:ascii="仿宋_GB2312" w:hAnsiTheme="minorEastAsia"/>
          <w:szCs w:val="32"/>
        </w:rPr>
        <w:t>指县财政当年拨付的资金。</w:t>
      </w:r>
    </w:p>
    <w:p w14:paraId="5F3DB405">
      <w:pPr>
        <w:pStyle w:val="9"/>
        <w:ind w:firstLine="640" w:firstLineChars="200"/>
        <w:rPr>
          <w:rFonts w:ascii="仿宋_GB2312" w:eastAsia="仿宋_GB2312" w:hAnsiTheme="minorEastAsia"/>
          <w:sz w:val="32"/>
          <w:szCs w:val="32"/>
        </w:rPr>
      </w:pPr>
      <w:r>
        <w:rPr>
          <w:rFonts w:hint="eastAsia" w:ascii="仿宋_GB2312" w:eastAsia="仿宋_GB2312" w:hAnsiTheme="minorEastAsia"/>
          <w:b/>
          <w:sz w:val="32"/>
          <w:szCs w:val="32"/>
        </w:rPr>
        <w:t>二、基本支出：</w:t>
      </w:r>
      <w:r>
        <w:rPr>
          <w:rFonts w:hint="eastAsia" w:ascii="仿宋_GB2312" w:eastAsia="仿宋_GB2312" w:hAnsiTheme="minorEastAsia"/>
          <w:sz w:val="32"/>
          <w:szCs w:val="32"/>
        </w:rPr>
        <w:t>指部门为保障其机构正常运转、完成日常工作任务的年度基本支出，包括人员经费和公用经费两部分。</w:t>
      </w:r>
    </w:p>
    <w:p w14:paraId="7D31BCD8">
      <w:pPr>
        <w:pStyle w:val="9"/>
        <w:ind w:firstLine="640" w:firstLineChars="200"/>
        <w:rPr>
          <w:rFonts w:ascii="仿宋_GB2312" w:eastAsia="仿宋_GB2312" w:hAnsiTheme="minorEastAsia"/>
          <w:sz w:val="32"/>
          <w:szCs w:val="32"/>
        </w:rPr>
      </w:pPr>
      <w:r>
        <w:rPr>
          <w:rFonts w:hint="eastAsia" w:ascii="仿宋_GB2312" w:eastAsia="仿宋_GB2312" w:hAnsiTheme="minorEastAsia"/>
          <w:b/>
          <w:sz w:val="32"/>
          <w:szCs w:val="32"/>
        </w:rPr>
        <w:t>三、“三公”经费:</w:t>
      </w:r>
      <w:r>
        <w:rPr>
          <w:rFonts w:hint="eastAsia" w:ascii="仿宋_GB2312" w:eastAsia="仿宋_GB2312" w:hAnsiTheme="minorEastAsia"/>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1F994D0D">
      <w:pPr>
        <w:pStyle w:val="9"/>
        <w:ind w:firstLine="640" w:firstLineChars="200"/>
        <w:rPr>
          <w:rFonts w:asciiTheme="minorEastAsia" w:hAnsiTheme="minorEastAsia"/>
          <w:sz w:val="32"/>
          <w:szCs w:val="32"/>
        </w:rPr>
      </w:pPr>
      <w:r>
        <w:rPr>
          <w:rFonts w:hint="eastAsia" w:ascii="仿宋_GB2312" w:eastAsia="仿宋_GB2312" w:hAnsiTheme="minorEastAsia"/>
          <w:b/>
          <w:sz w:val="32"/>
          <w:szCs w:val="32"/>
        </w:rPr>
        <w:t>四、机关运行经费：</w:t>
      </w:r>
      <w:r>
        <w:rPr>
          <w:rFonts w:hint="eastAsia" w:ascii="仿宋_GB2312" w:eastAsia="仿宋_GB2312" w:hAnsi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2D3700">
      <w:pPr>
        <w:widowControl/>
        <w:jc w:val="left"/>
        <w:rPr>
          <w:rFonts w:eastAsia="黑体" w:cs="黑体" w:asciiTheme="minorEastAsia" w:hAnsiTheme="minorEastAsia"/>
          <w:color w:val="000000"/>
          <w:kern w:val="0"/>
          <w:sz w:val="28"/>
          <w:szCs w:val="32"/>
        </w:rPr>
      </w:pPr>
    </w:p>
    <w:p w14:paraId="42A21A6D">
      <w:pPr>
        <w:pStyle w:val="9"/>
        <w:jc w:val="center"/>
        <w:rPr>
          <w:sz w:val="72"/>
          <w:szCs w:val="72"/>
        </w:rPr>
      </w:pPr>
    </w:p>
    <w:p w14:paraId="5ED0A8C0">
      <w:pPr>
        <w:pStyle w:val="9"/>
        <w:jc w:val="center"/>
        <w:rPr>
          <w:sz w:val="72"/>
          <w:szCs w:val="72"/>
        </w:rPr>
      </w:pPr>
    </w:p>
    <w:p w14:paraId="0AD07B0D">
      <w:pPr>
        <w:pStyle w:val="9"/>
        <w:jc w:val="center"/>
        <w:rPr>
          <w:sz w:val="72"/>
          <w:szCs w:val="72"/>
        </w:rPr>
      </w:pPr>
    </w:p>
    <w:p w14:paraId="44F073E7">
      <w:pPr>
        <w:pStyle w:val="9"/>
        <w:jc w:val="center"/>
        <w:rPr>
          <w:sz w:val="72"/>
          <w:szCs w:val="72"/>
        </w:rPr>
      </w:pPr>
    </w:p>
    <w:p w14:paraId="2F73A1E4">
      <w:pPr>
        <w:pStyle w:val="9"/>
        <w:jc w:val="center"/>
        <w:rPr>
          <w:sz w:val="72"/>
          <w:szCs w:val="72"/>
        </w:rPr>
      </w:pPr>
    </w:p>
    <w:p w14:paraId="768DF3F8">
      <w:pPr>
        <w:pStyle w:val="9"/>
        <w:jc w:val="center"/>
        <w:rPr>
          <w:sz w:val="72"/>
          <w:szCs w:val="72"/>
        </w:rPr>
      </w:pPr>
    </w:p>
    <w:p w14:paraId="3E40E23A">
      <w:pPr>
        <w:pStyle w:val="9"/>
        <w:jc w:val="center"/>
        <w:rPr>
          <w:sz w:val="72"/>
          <w:szCs w:val="72"/>
        </w:rPr>
      </w:pPr>
    </w:p>
    <w:p w14:paraId="43A9F92A">
      <w:pPr>
        <w:pStyle w:val="9"/>
        <w:jc w:val="center"/>
        <w:rPr>
          <w:sz w:val="72"/>
          <w:szCs w:val="72"/>
        </w:rPr>
      </w:pPr>
    </w:p>
    <w:p w14:paraId="5825E622">
      <w:pPr>
        <w:pStyle w:val="9"/>
        <w:jc w:val="center"/>
        <w:rPr>
          <w:sz w:val="72"/>
          <w:szCs w:val="72"/>
        </w:rPr>
      </w:pPr>
    </w:p>
    <w:p w14:paraId="36B60C0F">
      <w:pPr>
        <w:pStyle w:val="9"/>
        <w:jc w:val="center"/>
        <w:rPr>
          <w:sz w:val="72"/>
          <w:szCs w:val="72"/>
        </w:rPr>
      </w:pPr>
    </w:p>
    <w:p w14:paraId="38140D16">
      <w:pPr>
        <w:pStyle w:val="9"/>
        <w:jc w:val="center"/>
        <w:rPr>
          <w:sz w:val="72"/>
          <w:szCs w:val="72"/>
        </w:rPr>
      </w:pPr>
    </w:p>
    <w:p w14:paraId="04589233">
      <w:pPr>
        <w:pStyle w:val="9"/>
        <w:jc w:val="center"/>
        <w:rPr>
          <w:sz w:val="72"/>
          <w:szCs w:val="72"/>
        </w:rPr>
      </w:pPr>
    </w:p>
    <w:p w14:paraId="659873C3">
      <w:pPr>
        <w:pStyle w:val="9"/>
        <w:jc w:val="center"/>
        <w:rPr>
          <w:b/>
          <w:sz w:val="72"/>
          <w:szCs w:val="72"/>
        </w:rPr>
      </w:pPr>
      <w:r>
        <w:rPr>
          <w:rFonts w:hint="eastAsia"/>
          <w:b/>
          <w:sz w:val="72"/>
          <w:szCs w:val="72"/>
        </w:rPr>
        <w:t>第五部分</w:t>
      </w:r>
    </w:p>
    <w:p w14:paraId="095D3975">
      <w:pPr>
        <w:jc w:val="center"/>
        <w:rPr>
          <w:rFonts w:ascii="黑体" w:eastAsia="黑体" w:cs="黑体"/>
          <w:b/>
          <w:color w:val="000000"/>
          <w:kern w:val="0"/>
          <w:sz w:val="72"/>
          <w:szCs w:val="72"/>
        </w:rPr>
      </w:pPr>
    </w:p>
    <w:p w14:paraId="46D4621F">
      <w:pPr>
        <w:jc w:val="center"/>
        <w:rPr>
          <w:rFonts w:ascii="黑体" w:eastAsia="黑体" w:cs="黑体"/>
          <w:color w:val="000000"/>
          <w:kern w:val="0"/>
          <w:sz w:val="70"/>
          <w:szCs w:val="70"/>
        </w:rPr>
      </w:pPr>
      <w:r>
        <w:rPr>
          <w:rFonts w:hint="eastAsia" w:ascii="黑体" w:eastAsia="黑体" w:cs="黑体"/>
          <w:b/>
          <w:color w:val="000000"/>
          <w:kern w:val="0"/>
          <w:sz w:val="72"/>
          <w:szCs w:val="72"/>
        </w:rPr>
        <w:t>附件</w:t>
      </w:r>
    </w:p>
    <w:p w14:paraId="6CE76FC0">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27E73120">
      <w:pPr>
        <w:spacing w:line="640" w:lineRule="exact"/>
        <w:jc w:val="center"/>
        <w:rPr>
          <w:rFonts w:ascii="仿宋_GB2312"/>
          <w:b/>
          <w:sz w:val="44"/>
          <w:szCs w:val="44"/>
        </w:rPr>
      </w:pPr>
      <w:r>
        <w:rPr>
          <w:rFonts w:hint="eastAsia" w:ascii="仿宋_GB2312"/>
          <w:b/>
          <w:sz w:val="44"/>
          <w:szCs w:val="44"/>
        </w:rPr>
        <w:t>溆浦县工商联2023年部门整体支出绩效</w:t>
      </w:r>
    </w:p>
    <w:p w14:paraId="4372E640">
      <w:pPr>
        <w:spacing w:line="640" w:lineRule="exact"/>
        <w:jc w:val="center"/>
        <w:rPr>
          <w:rFonts w:ascii="仿宋_GB2312"/>
          <w:sz w:val="44"/>
          <w:szCs w:val="44"/>
        </w:rPr>
      </w:pPr>
      <w:r>
        <w:rPr>
          <w:rFonts w:hint="eastAsia" w:ascii="仿宋_GB2312"/>
          <w:b/>
          <w:sz w:val="44"/>
          <w:szCs w:val="44"/>
        </w:rPr>
        <w:t>自评报告</w:t>
      </w:r>
    </w:p>
    <w:p w14:paraId="0E7E7EE8">
      <w:pPr>
        <w:spacing w:line="580" w:lineRule="exact"/>
        <w:ind w:firstLine="640" w:firstLineChars="200"/>
        <w:rPr>
          <w:rFonts w:ascii="仿宋_GB2312"/>
          <w:szCs w:val="32"/>
        </w:rPr>
      </w:pPr>
    </w:p>
    <w:p w14:paraId="5418D1A6">
      <w:pPr>
        <w:spacing w:line="580" w:lineRule="exact"/>
        <w:ind w:firstLine="640" w:firstLineChars="200"/>
        <w:rPr>
          <w:rFonts w:ascii="仿宋_GB2312" w:hAnsi="仿宋"/>
          <w:szCs w:val="32"/>
        </w:rPr>
      </w:pPr>
      <w:r>
        <w:rPr>
          <w:rFonts w:hint="eastAsia" w:ascii="仿宋_GB2312" w:hAnsi="仿宋"/>
          <w:szCs w:val="32"/>
        </w:rPr>
        <w:t>为确实做好2023年度部门整体支出绩效自评工作，提高财政资金使用效率，结合实际，对单位2023年度部门整体支出进行了绩效评价，本次评价遵循了“科学规范、公正公开、分类管理、绩效相关”的原则。现将有关情况汇报如下：</w:t>
      </w:r>
    </w:p>
    <w:p w14:paraId="7642669D">
      <w:pPr>
        <w:spacing w:line="580" w:lineRule="exact"/>
        <w:ind w:firstLine="640" w:firstLineChars="200"/>
        <w:rPr>
          <w:rFonts w:ascii="仿宋_GB2312" w:hAnsi="仿宋"/>
          <w:b/>
          <w:szCs w:val="32"/>
        </w:rPr>
      </w:pPr>
      <w:r>
        <w:rPr>
          <w:rFonts w:hint="eastAsia" w:ascii="仿宋_GB2312" w:hAnsi="仿宋"/>
          <w:b/>
          <w:szCs w:val="32"/>
        </w:rPr>
        <w:t>一、部门概况</w:t>
      </w:r>
    </w:p>
    <w:p w14:paraId="59FE8145">
      <w:pPr>
        <w:spacing w:line="580" w:lineRule="exact"/>
        <w:ind w:firstLine="640" w:firstLineChars="200"/>
        <w:rPr>
          <w:rFonts w:ascii="仿宋_GB2312" w:hAnsi="仿宋"/>
          <w:b/>
          <w:szCs w:val="32"/>
        </w:rPr>
      </w:pPr>
      <w:r>
        <w:rPr>
          <w:rFonts w:hint="eastAsia" w:ascii="仿宋_GB2312" w:hAnsi="仿宋"/>
          <w:b/>
          <w:szCs w:val="32"/>
        </w:rPr>
        <w:t>（一）部门基本情况</w:t>
      </w:r>
    </w:p>
    <w:p w14:paraId="2BB3684D">
      <w:pPr>
        <w:spacing w:line="580" w:lineRule="exact"/>
        <w:ind w:firstLine="640" w:firstLineChars="200"/>
        <w:rPr>
          <w:rFonts w:ascii="仿宋_GB2312" w:hAnsi="仿宋" w:cs="宋体"/>
          <w:color w:val="000000"/>
          <w:kern w:val="0"/>
          <w:szCs w:val="32"/>
        </w:rPr>
      </w:pPr>
      <w:r>
        <w:rPr>
          <w:rFonts w:hint="eastAsia" w:ascii="仿宋_GB2312" w:hAnsi="仿宋"/>
          <w:szCs w:val="32"/>
        </w:rPr>
        <w:t>本单位是行政机关单位，单位核定编制8人，实有在职人员9人，其中行政人员5人，工勤人员1人，事业编人员3人。</w:t>
      </w:r>
      <w:r>
        <w:rPr>
          <w:rFonts w:hint="eastAsia" w:ascii="仿宋_GB2312" w:hAnsi="仿宋" w:cs="宋体"/>
          <w:color w:val="000000"/>
          <w:kern w:val="0"/>
          <w:szCs w:val="32"/>
        </w:rPr>
        <w:t>工商联是中国共产党领导的工商界组成的人民团体和民间商会，是人民政协的组成部门，具有统战性、经济性和民间性，是党联系非公有制经济的桥梁和纽带，是政府管理非公有制经济的助手。</w:t>
      </w:r>
    </w:p>
    <w:p w14:paraId="4E364ED0">
      <w:pPr>
        <w:ind w:firstLine="640" w:firstLineChars="200"/>
        <w:jc w:val="left"/>
        <w:rPr>
          <w:rFonts w:asciiTheme="minorEastAsia" w:hAnsiTheme="minorEastAsia"/>
          <w:szCs w:val="32"/>
        </w:rPr>
      </w:pPr>
      <w:r>
        <w:rPr>
          <w:rFonts w:hint="eastAsia" w:ascii="仿宋_GB2312" w:hAnsi="仿宋" w:cs="宋体"/>
          <w:b/>
          <w:color w:val="000000"/>
          <w:kern w:val="0"/>
          <w:szCs w:val="32"/>
        </w:rPr>
        <w:t>主要职能:</w:t>
      </w:r>
      <w:r>
        <w:rPr>
          <w:rFonts w:hint="eastAsia" w:ascii="仿宋_GB2312" w:hAnsi="仿宋" w:cs="宋体"/>
          <w:color w:val="000000"/>
          <w:kern w:val="0"/>
          <w:szCs w:val="32"/>
        </w:rPr>
        <w:t>1.参与全县政治、经济和社会生活中的重要问题的政治协商，发挥民主监督作用，积极参政议政； 2.做好工商业界代表人士政治安排的推荐工作；3.宣传、贯彻党和国家的路线、方针和政策，推动企业文化建设；4.维护会员企业和非公有制企业的合法权益，反映会员的意见、建议和要求；5.引导和带领非公有制经济人士参与光彩事业和社会公益事业活动；6.为非公有制企业提供信息、科技、管理、法律、会计、审计、融资、咨询等服务；7.开展非公经济人士培训，帮助非公有制企业改进经营管理，完善财会管理，提高生产技术 和产品质量；8.组织非公有制企业举办和参加各种对内对外展销会、交易会，考察交流活动，帮助企业开拓市场；9.增进与异地商会及非公经济人士的联系和联络，促进经济、技术和贸易合作，协助引进资金、技术、人才；10.承担民营企业发展相关政策研究、沟通联络、企业投诉、维权服务，开展受理、登记、呈报、转办、和处理结果反馈等事务工作；11.参与县中心工作。</w:t>
      </w:r>
    </w:p>
    <w:p w14:paraId="28F1FBA6">
      <w:pPr>
        <w:spacing w:line="580" w:lineRule="exact"/>
        <w:ind w:firstLine="640" w:firstLineChars="200"/>
        <w:rPr>
          <w:rFonts w:ascii="仿宋_GB2312" w:hAnsi="仿宋" w:cs="宋体"/>
          <w:color w:val="000000"/>
          <w:kern w:val="0"/>
          <w:szCs w:val="32"/>
        </w:rPr>
      </w:pPr>
    </w:p>
    <w:p w14:paraId="6066A4FC">
      <w:pPr>
        <w:spacing w:line="580" w:lineRule="exact"/>
        <w:ind w:firstLine="640" w:firstLineChars="200"/>
        <w:rPr>
          <w:rFonts w:ascii="仿宋_GB2312" w:hAnsi="仿宋" w:cs="宋体"/>
          <w:b/>
          <w:color w:val="000000"/>
          <w:kern w:val="0"/>
          <w:szCs w:val="32"/>
        </w:rPr>
      </w:pPr>
      <w:r>
        <w:rPr>
          <w:rFonts w:hint="eastAsia" w:ascii="仿宋_GB2312" w:hAnsi="仿宋" w:cs="宋体"/>
          <w:b/>
          <w:color w:val="000000"/>
          <w:kern w:val="0"/>
          <w:szCs w:val="32"/>
        </w:rPr>
        <w:t>重点工作计划</w:t>
      </w:r>
    </w:p>
    <w:p w14:paraId="067BF269">
      <w:pPr>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根据本单位年初工作计划，本单位年初预算绩效总体目标为</w:t>
      </w:r>
    </w:p>
    <w:p w14:paraId="59BE1809">
      <w:pPr>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1、认真履职、抓好基层党建工作。认真做好主席会议、常委会议、执委会议等会议服务工作，保障履职工作有效开展。</w:t>
      </w:r>
    </w:p>
    <w:p w14:paraId="44384929">
      <w:pPr>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2、围绕县委、政府关心、群众关注的热点、难点问题，组织非公经济人士开展调研活动，收集社情民意，撰写调研文章。</w:t>
      </w:r>
    </w:p>
    <w:p w14:paraId="6605D4E9">
      <w:pPr>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3、开展“万企兴万村”行业扶贫工作</w:t>
      </w:r>
    </w:p>
    <w:p w14:paraId="5E1857D9">
      <w:pPr>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4、积极开展“引老乡、回家乡、建故乡”招商引资工作</w:t>
      </w:r>
    </w:p>
    <w:p w14:paraId="32730B0D">
      <w:pPr>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5、加强与上级工商联、兄弟县（市、区）工商联的联络和交流</w:t>
      </w:r>
    </w:p>
    <w:p w14:paraId="6B8FEF30">
      <w:pPr>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6、组织非公经济人士开展培训教育、联系联络、考察学习等主题活动。</w:t>
      </w:r>
    </w:p>
    <w:p w14:paraId="3E4C8AD7">
      <w:pPr>
        <w:spacing w:line="580" w:lineRule="exact"/>
        <w:ind w:firstLine="640" w:firstLineChars="200"/>
        <w:rPr>
          <w:rFonts w:hint="eastAsia" w:ascii="仿宋_GB2312" w:hAnsi="仿宋" w:cs="宋体"/>
          <w:color w:val="000000"/>
          <w:kern w:val="0"/>
          <w:szCs w:val="32"/>
        </w:rPr>
      </w:pPr>
      <w:r>
        <w:rPr>
          <w:rFonts w:hint="eastAsia" w:ascii="仿宋_GB2312" w:hAnsi="仿宋" w:cs="宋体"/>
          <w:color w:val="000000"/>
          <w:kern w:val="0"/>
          <w:szCs w:val="32"/>
        </w:rPr>
        <w:t>7、认真做好机关计划生育、综治维稳、文卫创建、精准扶贫等各项工作。</w:t>
      </w:r>
    </w:p>
    <w:p w14:paraId="20EB921F">
      <w:pPr>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8.精心筹备好全省“万企兴万村”行动推进会暨民营企业助力县域经济发展溆浦行活动以及“民企兴县 跨越同行”助力溆浦乡村振兴专项行动活动。</w:t>
      </w:r>
    </w:p>
    <w:p w14:paraId="01EEABAB">
      <w:pPr>
        <w:spacing w:line="580" w:lineRule="exact"/>
        <w:ind w:firstLine="640" w:firstLineChars="200"/>
        <w:rPr>
          <w:rFonts w:ascii="仿宋_GB2312" w:hAnsi="仿宋"/>
          <w:b/>
          <w:szCs w:val="32"/>
        </w:rPr>
      </w:pPr>
      <w:r>
        <w:rPr>
          <w:rFonts w:hint="eastAsia" w:ascii="仿宋_GB2312" w:hAnsi="仿宋"/>
          <w:b/>
          <w:szCs w:val="32"/>
        </w:rPr>
        <w:t>（二）、部门整体支出规模、使用方向和内容</w:t>
      </w:r>
    </w:p>
    <w:p w14:paraId="19A09319">
      <w:pPr>
        <w:spacing w:line="580" w:lineRule="exact"/>
        <w:ind w:firstLine="640" w:firstLineChars="200"/>
        <w:rPr>
          <w:rFonts w:ascii="仿宋_GB2312" w:hAnsi="仿宋"/>
          <w:b/>
          <w:szCs w:val="32"/>
        </w:rPr>
      </w:pPr>
      <w:r>
        <w:rPr>
          <w:rFonts w:hint="eastAsia" w:ascii="仿宋_GB2312" w:hAnsi="仿宋" w:cs="仿宋"/>
          <w:color w:val="000000"/>
          <w:kern w:val="0"/>
          <w:szCs w:val="32"/>
        </w:rPr>
        <w:t>2023年度部门整体支出规模为143.75万元。主要内容为：工资福利支出111.23万元；商品和服务支出为31.73万元；对个人和家庭补助支出0.78万元。</w:t>
      </w:r>
    </w:p>
    <w:p w14:paraId="2684CD41">
      <w:pPr>
        <w:shd w:val="clear" w:color="auto"/>
        <w:spacing w:line="640" w:lineRule="exact"/>
        <w:ind w:firstLine="640"/>
        <w:rPr>
          <w:rFonts w:ascii="黑体" w:hAnsi="黑体" w:eastAsia="黑体"/>
          <w:spacing w:val="-2"/>
          <w:szCs w:val="32"/>
        </w:rPr>
      </w:pPr>
      <w:r>
        <w:rPr>
          <w:rFonts w:hint="eastAsia" w:ascii="黑体" w:hAnsi="黑体" w:eastAsia="黑体"/>
          <w:spacing w:val="-2"/>
          <w:szCs w:val="32"/>
        </w:rPr>
        <w:t>二、部门整体支出管理及使用情况</w:t>
      </w:r>
    </w:p>
    <w:p w14:paraId="7471B7B4">
      <w:pPr>
        <w:shd w:val="clear" w:color="auto"/>
        <w:spacing w:line="640" w:lineRule="exact"/>
        <w:ind w:firstLine="643"/>
        <w:rPr>
          <w:rFonts w:ascii="仿宋_GB2312" w:hAnsi="仿宋"/>
          <w:b/>
          <w:spacing w:val="-2"/>
          <w:szCs w:val="21"/>
        </w:rPr>
      </w:pPr>
      <w:r>
        <w:rPr>
          <w:rFonts w:hint="eastAsia" w:ascii="仿宋_GB2312" w:hAnsi="仿宋"/>
          <w:b/>
          <w:spacing w:val="-2"/>
          <w:szCs w:val="32"/>
        </w:rPr>
        <w:t>（一）基本支出</w:t>
      </w:r>
    </w:p>
    <w:p w14:paraId="2BA1C921">
      <w:pPr>
        <w:shd w:val="clear" w:color="auto"/>
        <w:spacing w:line="640" w:lineRule="exact"/>
        <w:ind w:firstLine="640"/>
        <w:rPr>
          <w:rFonts w:ascii="仿宋_GB2312" w:hAnsi="仿宋" w:cs="仿宋"/>
          <w:szCs w:val="32"/>
        </w:rPr>
      </w:pPr>
      <w:r>
        <w:rPr>
          <w:rFonts w:hint="eastAsia" w:ascii="仿宋_GB2312" w:hAnsi="仿宋"/>
          <w:spacing w:val="-2"/>
          <w:szCs w:val="21"/>
        </w:rPr>
        <w:t>基本支出用于为保障机构正常运转、完成日常工作任务而发生的支出，包括人员经费和公用经费。</w:t>
      </w:r>
      <w:r>
        <w:rPr>
          <w:rFonts w:hint="eastAsia" w:ascii="仿宋_GB2312" w:hAnsi="仿宋" w:cs="仿宋"/>
          <w:color w:val="000000"/>
          <w:kern w:val="0"/>
          <w:szCs w:val="32"/>
        </w:rPr>
        <w:t>2023年我单位基本支出总计143.75万元，其中：工资福利支出111.23万元；商品服务支出31.73万元。2022年“三公”经费支出合计0.13万元，全部用于公务接待开支，没有超出年初预算标准，严格贯彻落实了上级关于</w:t>
      </w:r>
      <w:r>
        <w:rPr>
          <w:rFonts w:hint="eastAsia" w:ascii="仿宋_GB2312" w:hAnsi="仿宋" w:cs="仿宋"/>
          <w:szCs w:val="32"/>
        </w:rPr>
        <w:t>“降低三公经费比例，提高资金使用绩效”的工作要求。</w:t>
      </w:r>
    </w:p>
    <w:p w14:paraId="7FE66AA9">
      <w:pPr>
        <w:shd w:val="clear" w:color="auto"/>
        <w:spacing w:line="640" w:lineRule="exact"/>
        <w:ind w:firstLine="640"/>
        <w:rPr>
          <w:rFonts w:ascii="仿宋_GB2312" w:hAnsi="仿宋"/>
          <w:spacing w:val="-2"/>
          <w:szCs w:val="21"/>
        </w:rPr>
      </w:pPr>
      <w:r>
        <w:rPr>
          <w:rFonts w:hint="eastAsia" w:ascii="仿宋_GB2312" w:hAnsi="仿宋" w:cs="仿宋"/>
          <w:color w:val="000000"/>
          <w:kern w:val="0"/>
          <w:szCs w:val="32"/>
        </w:rPr>
        <w:t>为贯彻落实</w:t>
      </w:r>
      <w:r>
        <w:rPr>
          <w:rFonts w:hint="eastAsia" w:ascii="仿宋_GB2312" w:hAnsi="仿宋" w:cs="仿宋"/>
          <w:szCs w:val="32"/>
        </w:rPr>
        <w:t>上级关于“降低三公经费比例，提高资金使用绩效”的要求，</w:t>
      </w:r>
      <w:r>
        <w:rPr>
          <w:rFonts w:hint="eastAsia" w:ascii="仿宋_GB2312" w:hAnsi="仿宋" w:cs="仿宋"/>
          <w:color w:val="000000"/>
          <w:kern w:val="0"/>
          <w:szCs w:val="32"/>
        </w:rPr>
        <w:t>根据县财政局的相关规定，县工商联制定了《关于严格“三公”经费预算管理的规定》、《关于落实厉行节约反对浪费条例的实施意见》等相关财务制度，加强资金的使用管理，坚持勤俭节约，</w:t>
      </w:r>
      <w:r>
        <w:rPr>
          <w:rFonts w:hint="eastAsia" w:ascii="仿宋_GB2312" w:hAnsi="仿宋" w:cs="仿宋"/>
          <w:szCs w:val="32"/>
        </w:rPr>
        <w:t>围绕年初的支出绩效目标，加强财务收支管控。</w:t>
      </w:r>
    </w:p>
    <w:p w14:paraId="3FA14E3C">
      <w:pPr>
        <w:shd w:val="clear" w:color="auto"/>
        <w:spacing w:line="640" w:lineRule="exact"/>
        <w:ind w:firstLine="643"/>
        <w:rPr>
          <w:rFonts w:ascii="仿宋_GB2312" w:hAnsi="楷体"/>
          <w:b/>
          <w:spacing w:val="-2"/>
          <w:szCs w:val="21"/>
        </w:rPr>
      </w:pPr>
      <w:r>
        <w:rPr>
          <w:rFonts w:hint="eastAsia" w:ascii="仿宋_GB2312" w:hAnsi="楷体"/>
          <w:b/>
          <w:spacing w:val="-2"/>
          <w:szCs w:val="32"/>
        </w:rPr>
        <w:t>（二）专项支出</w:t>
      </w:r>
    </w:p>
    <w:p w14:paraId="347DF239">
      <w:pPr>
        <w:shd w:val="clear" w:color="auto"/>
        <w:spacing w:line="640" w:lineRule="exact"/>
        <w:ind w:firstLine="640"/>
        <w:rPr>
          <w:rFonts w:ascii="仿宋_GB2312" w:hAnsi="仿宋"/>
          <w:b/>
          <w:spacing w:val="-2"/>
          <w:szCs w:val="32"/>
        </w:rPr>
      </w:pPr>
      <w:r>
        <w:rPr>
          <w:rFonts w:hint="eastAsia" w:ascii="仿宋_GB2312" w:hAnsi="仿宋"/>
          <w:b/>
          <w:spacing w:val="-2"/>
          <w:szCs w:val="32"/>
        </w:rPr>
        <w:t>1、专项资金（包括财政资金、自筹资金等）安排落实、总投入等情况分析。</w:t>
      </w:r>
    </w:p>
    <w:p w14:paraId="21964C37">
      <w:pPr>
        <w:shd w:val="clear" w:color="auto"/>
        <w:spacing w:line="640" w:lineRule="exact"/>
        <w:ind w:firstLine="640"/>
        <w:rPr>
          <w:rFonts w:ascii="仿宋_GB2312" w:hAnsi="仿宋"/>
          <w:spacing w:val="-2"/>
          <w:szCs w:val="21"/>
        </w:rPr>
      </w:pPr>
      <w:r>
        <w:rPr>
          <w:rFonts w:hint="eastAsia" w:ascii="仿宋_GB2312" w:hAnsi="仿宋"/>
          <w:spacing w:val="-2"/>
          <w:szCs w:val="32"/>
        </w:rPr>
        <w:t>2023年我单位专项资金支出为0万元</w:t>
      </w:r>
      <w:r>
        <w:rPr>
          <w:rFonts w:hint="eastAsia" w:ascii="仿宋_GB2312" w:hAnsi="仿宋" w:cs="仿宋"/>
          <w:color w:val="000000"/>
          <w:kern w:val="0"/>
          <w:szCs w:val="32"/>
        </w:rPr>
        <w:t xml:space="preserve">。                                                                                                                                                                                                                                                                                                                                                                                                                                                                                                                                   </w:t>
      </w:r>
    </w:p>
    <w:p w14:paraId="2532A333">
      <w:pPr>
        <w:shd w:val="clear" w:color="auto"/>
        <w:spacing w:line="640" w:lineRule="exact"/>
        <w:ind w:firstLine="640"/>
        <w:rPr>
          <w:rFonts w:ascii="仿宋_GB2312" w:hAnsi="仿宋"/>
          <w:b/>
          <w:spacing w:val="-2"/>
          <w:szCs w:val="32"/>
        </w:rPr>
      </w:pPr>
      <w:r>
        <w:rPr>
          <w:rFonts w:hint="eastAsia" w:ascii="仿宋_GB2312" w:hAnsi="仿宋"/>
          <w:b/>
          <w:spacing w:val="-2"/>
          <w:szCs w:val="32"/>
        </w:rPr>
        <w:t>2、专项资金（主要指财政资金）实际使用情况分析。</w:t>
      </w:r>
    </w:p>
    <w:p w14:paraId="2952173D">
      <w:pPr>
        <w:shd w:val="clear" w:color="auto"/>
        <w:spacing w:line="640" w:lineRule="exact"/>
        <w:ind w:firstLine="640"/>
        <w:rPr>
          <w:rFonts w:ascii="仿宋_GB2312" w:hAnsi="仿宋"/>
          <w:spacing w:val="-2"/>
          <w:szCs w:val="21"/>
        </w:rPr>
      </w:pPr>
      <w:r>
        <w:rPr>
          <w:rFonts w:hint="eastAsia" w:ascii="仿宋_GB2312" w:hAnsi="仿宋"/>
          <w:spacing w:val="-2"/>
          <w:szCs w:val="32"/>
        </w:rPr>
        <w:t>2023年我单位专项资金支出为0万元</w:t>
      </w:r>
      <w:r>
        <w:rPr>
          <w:rFonts w:hint="eastAsia" w:ascii="仿宋_GB2312" w:hAnsi="仿宋" w:cs="仿宋"/>
          <w:color w:val="000000"/>
          <w:kern w:val="0"/>
          <w:szCs w:val="32"/>
        </w:rPr>
        <w:t>。</w:t>
      </w:r>
    </w:p>
    <w:p w14:paraId="6337F771">
      <w:pPr>
        <w:shd w:val="clear" w:color="auto"/>
        <w:spacing w:line="640" w:lineRule="exact"/>
        <w:ind w:firstLine="640"/>
        <w:rPr>
          <w:rFonts w:ascii="仿宋_GB2312" w:hAnsi="仿宋"/>
          <w:b/>
          <w:spacing w:val="-2"/>
          <w:szCs w:val="32"/>
        </w:rPr>
      </w:pPr>
      <w:r>
        <w:rPr>
          <w:rFonts w:hint="eastAsia" w:ascii="仿宋_GB2312" w:hAnsi="仿宋"/>
          <w:b/>
          <w:spacing w:val="-2"/>
          <w:szCs w:val="32"/>
        </w:rPr>
        <w:t>3、专项资金管理情况分析，主要包括管理制度、办法的制订及执行情况。</w:t>
      </w:r>
    </w:p>
    <w:p w14:paraId="59683D7F">
      <w:pPr>
        <w:shd w:val="clear"/>
        <w:spacing w:line="580" w:lineRule="exact"/>
        <w:ind w:firstLine="632" w:firstLineChars="200"/>
        <w:rPr>
          <w:rFonts w:ascii="仿宋_GB2312" w:hAnsi="仿宋" w:cs="宋体"/>
          <w:b/>
          <w:color w:val="000000"/>
          <w:kern w:val="0"/>
          <w:szCs w:val="32"/>
        </w:rPr>
      </w:pPr>
      <w:r>
        <w:rPr>
          <w:rFonts w:hint="eastAsia" w:ascii="仿宋_GB2312" w:hAnsi="仿宋"/>
          <w:spacing w:val="-2"/>
          <w:szCs w:val="32"/>
        </w:rPr>
        <w:t>2023年我单位专项资金支出为0万元</w:t>
      </w:r>
      <w:r>
        <w:rPr>
          <w:rFonts w:hint="eastAsia" w:ascii="仿宋_GB2312" w:hAnsi="仿宋" w:cs="仿宋"/>
          <w:color w:val="000000"/>
          <w:kern w:val="0"/>
          <w:szCs w:val="32"/>
        </w:rPr>
        <w:t>。</w:t>
      </w:r>
    </w:p>
    <w:p w14:paraId="06EA87A4">
      <w:pPr>
        <w:shd w:val="clear"/>
        <w:spacing w:line="580" w:lineRule="exact"/>
        <w:ind w:firstLine="640" w:firstLineChars="200"/>
        <w:rPr>
          <w:rFonts w:ascii="仿宋_GB2312" w:hAnsi="仿宋"/>
          <w:b/>
          <w:szCs w:val="32"/>
        </w:rPr>
      </w:pPr>
      <w:r>
        <w:rPr>
          <w:rFonts w:hint="eastAsia" w:ascii="仿宋_GB2312" w:hAnsi="仿宋"/>
          <w:b/>
          <w:szCs w:val="32"/>
        </w:rPr>
        <w:t>三、资产管理情况</w:t>
      </w:r>
    </w:p>
    <w:p w14:paraId="42D79790">
      <w:pPr>
        <w:shd w:val="clear"/>
        <w:spacing w:line="580" w:lineRule="exact"/>
        <w:ind w:firstLine="632" w:firstLineChars="200"/>
        <w:rPr>
          <w:rFonts w:ascii="仿宋_GB2312" w:hAnsi="仿宋" w:cs="宋体"/>
          <w:color w:val="000000"/>
          <w:kern w:val="0"/>
          <w:szCs w:val="32"/>
        </w:rPr>
      </w:pPr>
      <w:r>
        <w:rPr>
          <w:rFonts w:hint="eastAsia" w:ascii="仿宋_GB2312" w:hAnsi="仿宋"/>
          <w:spacing w:val="-2"/>
          <w:szCs w:val="21"/>
        </w:rPr>
        <w:t>参照省、市、县相关文件规定，以2023年12月31日为资产清查的基准日，对本单位资产进行了全面清查，并且按月对现有固定资产进行折旧摊销。目前，资产总额2.42万元，固定资产原值9.73万元，净值1.53万元，本期无新增资产。</w:t>
      </w:r>
      <w:r>
        <w:rPr>
          <w:rFonts w:hint="eastAsia" w:ascii="仿宋_GB2312" w:hAnsi="仿宋" w:cs="宋体"/>
          <w:color w:val="000000"/>
          <w:kern w:val="0"/>
          <w:szCs w:val="32"/>
        </w:rPr>
        <w:t>我单位按照“统一领导，归口管理，分级负责，责任到人，科学配置，管用结合，物尽其用”的原则，制定了《溆浦县工商联国有资产管理办法》，对所有资产进行了登记，明确到人。固定资产的管理使用力求做到“购置有计划并按程序审批，验收认真，使用保管有专人，既保证需要，又防止浪费”。</w:t>
      </w:r>
    </w:p>
    <w:p w14:paraId="256C45CB">
      <w:pPr>
        <w:shd w:val="clear"/>
        <w:spacing w:line="580" w:lineRule="exact"/>
        <w:ind w:firstLine="640" w:firstLineChars="200"/>
        <w:rPr>
          <w:rFonts w:ascii="仿宋_GB2312" w:hAnsi="仿宋"/>
          <w:b/>
          <w:szCs w:val="32"/>
        </w:rPr>
      </w:pPr>
      <w:r>
        <w:rPr>
          <w:rFonts w:hint="eastAsia" w:ascii="仿宋_GB2312" w:hAnsi="仿宋"/>
          <w:b/>
          <w:szCs w:val="32"/>
        </w:rPr>
        <w:t>四、部门整体支出绩效情况</w:t>
      </w:r>
    </w:p>
    <w:p w14:paraId="1731D817">
      <w:pPr>
        <w:shd w:val="clear"/>
        <w:spacing w:line="580" w:lineRule="exact"/>
        <w:ind w:firstLine="640" w:firstLineChars="200"/>
        <w:rPr>
          <w:rFonts w:ascii="仿宋_GB2312" w:hAnsi="仿宋" w:cs="宋体"/>
          <w:color w:val="000000"/>
          <w:kern w:val="0"/>
          <w:szCs w:val="32"/>
        </w:rPr>
      </w:pPr>
      <w:bookmarkStart w:id="31" w:name="OLE_LINK4"/>
      <w:r>
        <w:rPr>
          <w:rFonts w:hint="eastAsia" w:ascii="仿宋_GB2312" w:hAnsi="仿宋" w:cs="宋体"/>
          <w:color w:val="000000"/>
          <w:kern w:val="0"/>
          <w:szCs w:val="32"/>
        </w:rPr>
        <w:t>2023年，根据年初计划的重点工作，本单位通过对财政资金的使用，取得如下绩效：</w:t>
      </w:r>
    </w:p>
    <w:p w14:paraId="7FCBFFCE">
      <w:pPr>
        <w:widowControl/>
        <w:shd w:val="clear" w:color="auto"/>
        <w:ind w:firstLine="640" w:firstLineChars="200"/>
        <w:rPr>
          <w:rFonts w:ascii="仿宋" w:hAnsi="仿宋" w:eastAsia="仿宋" w:cs="仿宋"/>
          <w:szCs w:val="32"/>
        </w:rPr>
      </w:pPr>
      <w:r>
        <w:rPr>
          <w:rFonts w:hint="eastAsia" w:ascii="仿宋_GB2312" w:hAnsi="仿宋"/>
          <w:b/>
          <w:szCs w:val="32"/>
        </w:rPr>
        <w:t xml:space="preserve"> </w:t>
      </w:r>
      <w:r>
        <w:rPr>
          <w:rFonts w:hint="eastAsia" w:ascii="仿宋" w:hAnsi="仿宋" w:eastAsia="仿宋" w:cs="仿宋"/>
          <w:b/>
          <w:color w:val="000000"/>
          <w:kern w:val="0"/>
          <w:szCs w:val="32"/>
        </w:rPr>
        <w:t>（一）积极履行政治领导责任。</w:t>
      </w:r>
      <w:r>
        <w:rPr>
          <w:rFonts w:hint="eastAsia" w:ascii="仿宋" w:hAnsi="仿宋" w:eastAsia="仿宋" w:cs="仿宋"/>
          <w:szCs w:val="32"/>
        </w:rPr>
        <w:t>狠抓理论学习，强化思想建设。党组始终坚持按照党史学习教育活动的要求，把加强党员的学习放在首位。学习采取集中学习和个人自学相结合的方式进行。集中学习由党支部负责组织，做到年初有计划、季度有安排，严格考勤考核制度。办公室对集中学纳入年终考评考核。重点学习学习宣讲党的二十大会议精神、习总书记系列重要讲话、新《党章》、习近平总书记新时代中国特色社会主义理论、全国“两会”精神以及中央、省市关于新形势下工商联工作的系列文件、乡村振兴工作相关文件规定。为防止学习流于形式，确保学习取得实实在在的效果。狠抓制度建设。组织对每个党员的学习情况进行检查，采取“二查一问”的方式抽查，查学习笔记、查学习心得，问与工作联系密切的一些重要文件、政策精神。</w:t>
      </w:r>
    </w:p>
    <w:p w14:paraId="288E31E1">
      <w:pPr>
        <w:widowControl/>
        <w:shd w:val="clear" w:color="auto"/>
        <w:spacing w:before="75" w:after="75" w:line="375" w:lineRule="atLeast"/>
        <w:ind w:firstLine="645"/>
        <w:jc w:val="left"/>
        <w:rPr>
          <w:rFonts w:ascii="仿宋" w:hAnsi="仿宋" w:eastAsia="仿宋" w:cs="仿宋"/>
          <w:b/>
          <w:color w:val="000000"/>
          <w:kern w:val="0"/>
          <w:szCs w:val="32"/>
        </w:rPr>
      </w:pPr>
      <w:r>
        <w:rPr>
          <w:rFonts w:hint="eastAsia" w:ascii="仿宋" w:hAnsi="仿宋" w:eastAsia="仿宋" w:cs="仿宋"/>
          <w:b/>
          <w:color w:val="000000"/>
          <w:kern w:val="0"/>
          <w:szCs w:val="32"/>
        </w:rPr>
        <w:t>（二）认真落实党建工作责任</w:t>
      </w:r>
    </w:p>
    <w:p w14:paraId="65137167">
      <w:pPr>
        <w:widowControl/>
        <w:shd w:val="clear" w:color="auto"/>
        <w:spacing w:before="75" w:after="75" w:line="375" w:lineRule="atLeast"/>
        <w:ind w:firstLine="660"/>
        <w:jc w:val="left"/>
        <w:rPr>
          <w:rFonts w:ascii="仿宋" w:hAnsi="仿宋" w:eastAsia="仿宋" w:cs="仿宋"/>
          <w:szCs w:val="32"/>
        </w:rPr>
      </w:pPr>
      <w:r>
        <w:rPr>
          <w:rFonts w:hint="eastAsia" w:ascii="仿宋" w:hAnsi="仿宋" w:eastAsia="仿宋" w:cs="仿宋"/>
          <w:szCs w:val="32"/>
        </w:rPr>
        <w:t>按照党史学习教育活动安排，党组班子成员积极参加学习教育，撰写调研专题材料，剖析自身存在的问题和不足，抓好问题整改落实到位。全体在职党员严格按照党支部的规定，积极参加党内组织生活会议和各种活动，加强了党员管理，确保支部的正常、有序运行。机关党小组坚持执行党内生活制度要求，组织党员认真开展政治学习，提升党员政治本领、政治素养。党组结合中心工作实际，制定了《党员学习制度》、《党员岗位职责》、《群众工作制度》等党建工作一系列制度，建立长效的党建工作机制。凡重大决策必须通过党组会议商议，充分尊重民意，不搞一言堂。坚持“三会一课”、“一岗双责”、“民主评议党员”、“党员双测双评”、“党费收缴管理”等制度，认真开展好党员民主生活会、党员大会和每季度一次的组织生活会，切实增强党员的向心力和凝聚力。广泛征求意见，开展批评与自我批评，有针对性地解决群众反映强烈或意见较多的问题，并积极开展调查研究工作，提高领导班子的创新能力和决策水平。</w:t>
      </w:r>
    </w:p>
    <w:p w14:paraId="60906C19">
      <w:pPr>
        <w:widowControl/>
        <w:shd w:val="clear" w:color="auto"/>
        <w:spacing w:before="75" w:after="75" w:line="375" w:lineRule="atLeast"/>
        <w:ind w:firstLine="645"/>
        <w:jc w:val="left"/>
        <w:rPr>
          <w:rFonts w:ascii="仿宋" w:hAnsi="仿宋" w:eastAsia="仿宋" w:cs="仿宋"/>
          <w:szCs w:val="32"/>
        </w:rPr>
      </w:pPr>
      <w:r>
        <w:rPr>
          <w:rFonts w:hint="eastAsia" w:ascii="仿宋" w:hAnsi="仿宋" w:eastAsia="仿宋" w:cs="仿宋"/>
          <w:b/>
          <w:color w:val="000000"/>
          <w:kern w:val="0"/>
          <w:szCs w:val="32"/>
        </w:rPr>
        <w:t>（三）严格履行党风廉政建设主体责任。</w:t>
      </w:r>
      <w:r>
        <w:rPr>
          <w:rFonts w:hint="eastAsia" w:ascii="仿宋" w:hAnsi="仿宋" w:eastAsia="仿宋" w:cs="仿宋"/>
          <w:szCs w:val="32"/>
        </w:rPr>
        <w:t>组织全体党员、干部职工认真学习和贯彻《中国共产党党内监督条例》和《中国共产党纪律处分条例》等有关文件及会议精神，提高党员、干部职工对反腐败斗争的认识，从而形成了以廉政促工作、促发展、促稳定的良好氛围。要求党组班子成员及支部成员更是要以身作则，带头做落实党风廉政建设责任制的典范。全体党员、干部职工要严格遵守工作纪律，不越线、不出位。制订本单位《党风廉政建设责任制分工制度》、《工作“十不准”》等纪律制度。把中央有关制度规定同工作实际有机结合起来，从制度上对党员干部尤其是领导干部进行约束，为全体党员干部划一道“红线”，全力打造一支“为民、务实、清廉、高效”的党员干部队伍。把本单位党员干部的廉政建设同家属紧密联系起来。党组书记为工商联机关全体干部上廉洁党课，与大家进行了耐心细致的交心谈心。自觉接受县纪委监委驻统战部纪检监察组对工商联工作作风、党风党纪、专项整治、日常工作的监督检查。</w:t>
      </w:r>
    </w:p>
    <w:p w14:paraId="32F0B1E9">
      <w:pPr>
        <w:widowControl/>
        <w:shd w:val="clear" w:color="auto"/>
        <w:spacing w:before="75" w:after="75" w:line="375" w:lineRule="atLeast"/>
        <w:ind w:firstLine="645"/>
        <w:jc w:val="left"/>
        <w:rPr>
          <w:rFonts w:ascii="仿宋" w:hAnsi="仿宋" w:eastAsia="仿宋" w:cs="仿宋"/>
          <w:szCs w:val="32"/>
        </w:rPr>
      </w:pPr>
      <w:r>
        <w:rPr>
          <w:rFonts w:hint="eastAsia" w:ascii="仿宋" w:hAnsi="仿宋" w:eastAsia="仿宋" w:cs="仿宋"/>
          <w:b/>
          <w:szCs w:val="32"/>
        </w:rPr>
        <w:t>（四）认真履行意识形态工作主体责任。</w:t>
      </w:r>
      <w:r>
        <w:rPr>
          <w:rFonts w:hint="eastAsia" w:ascii="仿宋" w:hAnsi="仿宋" w:eastAsia="仿宋" w:cs="仿宋"/>
          <w:szCs w:val="32"/>
        </w:rPr>
        <w:t>明确领导班子抓意识形态工作的具体职责。党组班子成员先后12次参加理论中心组学习，集中深入学习习近平总书记在中共中央政治局民主生活会讲话精神、习近平总书记等中央领导对湖南脱贫攻坚重要批示精神以及在重庆考察时的重要讲话精神、习近平关于扫黑除恶的有关讲话精神、全国“两会”精神、全国宣传思想工作会议精神。督促广大党员干部上线学习，确保“学习强国”平台在我单位全面推开、取得实效，持续推动学习贯彻习近平新时代中国特色社会主义思想往深里走、往实里走、往心里走，掀起学习习近平新时代中国特色社会主义思想的热潮。建立系统微信群、QQ群管理台账，专题研判意识形态工作，落实整改措施，加强对党员干部运用新媒体的管理，引导党员干部正面发声，坚决维护习近平总书记为核心的党中央权威和党的集中统一领导。根据溆浦县乡镇及县直行业系统党（工）委书记抓基层党建暨落实意识形态工作责任制述职评议会议上点评的问题，制定具体整改方案整改措施；并明确牵头领导、责任人、时限要求，全部整改到位。</w:t>
      </w:r>
    </w:p>
    <w:p w14:paraId="1FB67EEC">
      <w:pPr>
        <w:widowControl/>
        <w:shd w:val="clear" w:color="auto"/>
        <w:spacing w:before="75" w:after="75" w:line="375" w:lineRule="atLeast"/>
        <w:ind w:firstLine="645"/>
        <w:jc w:val="left"/>
        <w:rPr>
          <w:rFonts w:ascii="仿宋" w:hAnsi="仿宋" w:eastAsia="仿宋" w:cs="仿宋"/>
          <w:szCs w:val="32"/>
        </w:rPr>
      </w:pPr>
      <w:r>
        <w:rPr>
          <w:rFonts w:hint="eastAsia" w:ascii="仿宋" w:hAnsi="仿宋" w:eastAsia="仿宋" w:cs="仿宋"/>
          <w:b/>
          <w:szCs w:val="32"/>
        </w:rPr>
        <w:t>（五）大力抓好非公组织党建。</w:t>
      </w:r>
      <w:r>
        <w:rPr>
          <w:rFonts w:hint="eastAsia" w:ascii="仿宋" w:hAnsi="仿宋" w:eastAsia="仿宋" w:cs="仿宋"/>
          <w:szCs w:val="32"/>
        </w:rPr>
        <w:t>中共溆浦县工商联直属会员单位行业委员会，负责县级在溆异地商会和县工商联直属行业协会商会党建工作，指导工商联系统会员企业和商会党的建设工作。对3家民营企业党组织建设工作，加强非公经济党组织的党史学习教育、“三会一课”、支部主题党日、党的十九大、十九届四中、五中全会精神宣传、党支部“五化”建设等工作，开展学习实践，查找解决突出问题，增强当眼“四个意识”，不断提升党员自我净化、自我完善、自我革新、自我提高的能力，充分发挥党组织核心作用，发挥党员先锋模范作用，推进非公经济组织快速发展。</w:t>
      </w:r>
    </w:p>
    <w:p w14:paraId="2CD38401">
      <w:pPr>
        <w:widowControl/>
        <w:shd w:val="clear" w:color="auto"/>
        <w:spacing w:before="75" w:after="75" w:line="375" w:lineRule="atLeast"/>
        <w:ind w:firstLine="630"/>
        <w:jc w:val="left"/>
        <w:rPr>
          <w:rFonts w:ascii="仿宋" w:hAnsi="仿宋" w:eastAsia="仿宋" w:cs="仿宋"/>
          <w:szCs w:val="32"/>
        </w:rPr>
      </w:pPr>
      <w:r>
        <w:rPr>
          <w:rFonts w:hint="eastAsia" w:ascii="仿宋" w:hAnsi="仿宋" w:eastAsia="仿宋" w:cs="仿宋"/>
          <w:b/>
          <w:color w:val="000000"/>
          <w:kern w:val="0"/>
          <w:szCs w:val="32"/>
        </w:rPr>
        <w:t>（六）积极推进工商联组织建设。</w:t>
      </w:r>
      <w:r>
        <w:rPr>
          <w:rFonts w:hint="eastAsia" w:ascii="仿宋" w:hAnsi="仿宋" w:eastAsia="仿宋" w:cs="仿宋"/>
          <w:color w:val="000000"/>
          <w:kern w:val="0"/>
          <w:szCs w:val="32"/>
        </w:rPr>
        <w:t>按照《中华全国工商联章程规定》和省市工作安排，开展</w:t>
      </w:r>
      <w:r>
        <w:rPr>
          <w:rFonts w:hint="eastAsia" w:ascii="仿宋" w:hAnsi="仿宋" w:eastAsia="仿宋" w:cs="仿宋"/>
          <w:szCs w:val="32"/>
        </w:rPr>
        <w:t>工商联组织建设工作。紧紧围绕工商联（总商会）服务非公有制经济发展的职能，加强党对工商联（总商会）的指导，充分发挥工商联（总商会）统战性、经济性、民间性的优势和作用，积极稳妥地推进工商联（总商会）领导班子建设，建立一支政治坚定、自觉拥护党的领导、顾全大局、能力强、群众信任、热心工商联事业的领导班子队伍，为促进我县非公有制经济快速发展、构建和谐社会提供坚强有力的组织保证。建立健全党管干部、党管人才机制，加强对工商联执委、常委、副主席、副会长的管理，以活动组为单位开展政治学习，加强执委队伍建设，提高工商联执委整体素养。</w:t>
      </w:r>
    </w:p>
    <w:p w14:paraId="6718F47C">
      <w:pPr>
        <w:shd w:val="clear"/>
        <w:jc w:val="center"/>
        <w:rPr>
          <w:rFonts w:ascii="仿宋" w:hAnsi="仿宋" w:eastAsia="仿宋" w:cs="仿宋"/>
          <w:b/>
          <w:szCs w:val="32"/>
        </w:rPr>
      </w:pPr>
      <w:r>
        <w:rPr>
          <w:rFonts w:hint="eastAsia" w:ascii="仿宋" w:hAnsi="仿宋" w:eastAsia="仿宋" w:cs="仿宋"/>
          <w:b/>
          <w:szCs w:val="32"/>
        </w:rPr>
        <w:t>（七）认真开展作风建设专项行动</w:t>
      </w:r>
    </w:p>
    <w:p w14:paraId="0A01D1EB">
      <w:pPr>
        <w:shd w:val="clear"/>
        <w:ind w:firstLine="320" w:firstLineChars="100"/>
        <w:rPr>
          <w:rFonts w:ascii="仿宋" w:hAnsi="仿宋" w:eastAsia="仿宋" w:cs="仿宋"/>
          <w:szCs w:val="32"/>
        </w:rPr>
      </w:pPr>
      <w:r>
        <w:rPr>
          <w:rFonts w:hint="eastAsia" w:ascii="仿宋" w:hAnsi="仿宋" w:eastAsia="仿宋" w:cs="仿宋"/>
          <w:szCs w:val="32"/>
        </w:rPr>
        <w:t xml:space="preserve"> 按照文件要求，县工商联扎实开展干部作风建设专项活动， </w:t>
      </w:r>
      <w:r>
        <w:rPr>
          <w:rFonts w:hint="eastAsia" w:ascii="仿宋" w:hAnsi="仿宋" w:eastAsia="仿宋" w:cs="仿宋"/>
          <w:bCs/>
          <w:snapToGrid w:val="0"/>
          <w:kern w:val="0"/>
          <w:szCs w:val="32"/>
        </w:rPr>
        <w:t>全体干部职工围绕深入学习贯彻习近平总书记关于加强作风建设重要论述的基础上，查找个人在“三整顿两提升，激励担当作为”存在的差距和不足；紧紧围绕</w:t>
      </w:r>
      <w:r>
        <w:rPr>
          <w:rFonts w:hint="eastAsia" w:ascii="仿宋" w:hAnsi="仿宋" w:eastAsia="仿宋" w:cs="仿宋"/>
          <w:bCs/>
          <w:snapToGrid w:val="0"/>
          <w:kern w:val="0"/>
          <w:szCs w:val="32"/>
          <w:lang w:val="zh-CN"/>
        </w:rPr>
        <w:t>贯彻落实市委六届三次全会</w:t>
      </w:r>
      <w:r>
        <w:rPr>
          <w:rFonts w:hint="eastAsia" w:ascii="仿宋" w:hAnsi="仿宋" w:eastAsia="仿宋" w:cs="仿宋"/>
          <w:bCs/>
          <w:snapToGrid w:val="0"/>
          <w:kern w:val="0"/>
          <w:szCs w:val="32"/>
        </w:rPr>
        <w:t>和县委十三届四次全会</w:t>
      </w:r>
      <w:r>
        <w:rPr>
          <w:rFonts w:hint="eastAsia" w:ascii="仿宋" w:hAnsi="仿宋" w:eastAsia="仿宋" w:cs="仿宋"/>
          <w:bCs/>
          <w:snapToGrid w:val="0"/>
          <w:kern w:val="0"/>
          <w:szCs w:val="32"/>
          <w:lang w:val="zh-CN"/>
        </w:rPr>
        <w:t>精神</w:t>
      </w:r>
      <w:r>
        <w:rPr>
          <w:rFonts w:hint="eastAsia" w:ascii="仿宋" w:hAnsi="仿宋" w:eastAsia="仿宋" w:cs="仿宋"/>
          <w:bCs/>
          <w:snapToGrid w:val="0"/>
          <w:kern w:val="0"/>
          <w:szCs w:val="32"/>
        </w:rPr>
        <w:t>，为“奋起二次创业，工商联怎么办”主题开展大讨论准备讨论发言材料。</w:t>
      </w:r>
      <w:r>
        <w:rPr>
          <w:rFonts w:hint="eastAsia" w:ascii="仿宋" w:hAnsi="仿宋" w:eastAsia="仿宋" w:cs="仿宋"/>
          <w:szCs w:val="32"/>
        </w:rPr>
        <w:t>完成</w:t>
      </w:r>
      <w:r>
        <w:rPr>
          <w:rFonts w:hint="eastAsia" w:ascii="仿宋" w:hAnsi="仿宋" w:eastAsia="仿宋" w:cs="仿宋"/>
          <w:color w:val="000000"/>
          <w:spacing w:val="-6"/>
          <w:szCs w:val="32"/>
        </w:rPr>
        <w:t>县委常委班子</w:t>
      </w:r>
      <w:r>
        <w:rPr>
          <w:rFonts w:hint="eastAsia" w:ascii="仿宋" w:hAnsi="仿宋" w:eastAsia="仿宋" w:cs="仿宋"/>
          <w:szCs w:val="32"/>
        </w:rPr>
        <w:t>“三整顿两提升”干部作风建设专项活动开展批评和自我批评专题会议前征求意见，召开干部职工会议征求对</w:t>
      </w:r>
      <w:r>
        <w:rPr>
          <w:rFonts w:hint="eastAsia" w:ascii="仿宋" w:hAnsi="仿宋" w:eastAsia="仿宋" w:cs="仿宋"/>
          <w:color w:val="000000"/>
          <w:spacing w:val="-6"/>
          <w:szCs w:val="32"/>
        </w:rPr>
        <w:t>委常委班子</w:t>
      </w:r>
      <w:r>
        <w:rPr>
          <w:rFonts w:hint="eastAsia" w:ascii="仿宋" w:hAnsi="仿宋" w:eastAsia="仿宋" w:cs="仿宋"/>
          <w:szCs w:val="32"/>
        </w:rPr>
        <w:t>“三整顿两提升”干部作风建设专项活动开展批评和自我批评专题会议意见建议2条，经党组会议研究上报意见建议2条。</w:t>
      </w:r>
    </w:p>
    <w:p w14:paraId="76BC3051">
      <w:pPr>
        <w:widowControl/>
        <w:shd w:val="clear" w:color="auto"/>
        <w:spacing w:before="75" w:after="75" w:line="375" w:lineRule="atLeast"/>
        <w:ind w:firstLine="630"/>
        <w:jc w:val="left"/>
        <w:rPr>
          <w:rFonts w:ascii="仿宋" w:hAnsi="仿宋" w:eastAsia="仿宋" w:cs="仿宋"/>
          <w:szCs w:val="32"/>
        </w:rPr>
      </w:pPr>
    </w:p>
    <w:p w14:paraId="110C19BF">
      <w:pPr>
        <w:shd w:val="clear"/>
        <w:ind w:firstLine="627" w:firstLineChars="196"/>
        <w:rPr>
          <w:rFonts w:ascii="仿宋" w:hAnsi="仿宋" w:eastAsia="仿宋" w:cs="仿宋"/>
          <w:szCs w:val="32"/>
        </w:rPr>
      </w:pPr>
      <w:r>
        <w:rPr>
          <w:rFonts w:hint="eastAsia" w:ascii="仿宋" w:hAnsi="仿宋" w:eastAsia="仿宋" w:cs="仿宋"/>
          <w:b/>
          <w:szCs w:val="32"/>
        </w:rPr>
        <w:t>（八）扎实开展乡村振兴联系帮扶工作。</w:t>
      </w:r>
      <w:r>
        <w:rPr>
          <w:rFonts w:hint="eastAsia" w:ascii="仿宋" w:hAnsi="仿宋" w:eastAsia="仿宋" w:cs="仿宋"/>
          <w:szCs w:val="32"/>
        </w:rPr>
        <w:t>按照县委安排，工商联机关联系三江镇乐园村开展乡村振兴工作，按照要求全面完成联系村帮扶资金任务，机关全体党员干部职工深入三江镇乐园村开展走访联系脱贫户，召开民情恳会会议，围绕“两不愁三保障”及饮水安全开展工作。</w:t>
      </w:r>
    </w:p>
    <w:p w14:paraId="386B9F1C">
      <w:pPr>
        <w:shd w:val="clear"/>
        <w:ind w:firstLine="640" w:firstLineChars="200"/>
        <w:rPr>
          <w:rFonts w:ascii="仿宋" w:hAnsi="仿宋" w:eastAsia="仿宋" w:cs="仿宋"/>
          <w:szCs w:val="32"/>
        </w:rPr>
      </w:pPr>
      <w:r>
        <w:rPr>
          <w:rFonts w:hint="eastAsia" w:ascii="仿宋" w:hAnsi="仿宋" w:eastAsia="仿宋" w:cs="仿宋"/>
          <w:b/>
          <w:szCs w:val="32"/>
        </w:rPr>
        <w:t>（九）“万企兴万村”乡村振兴取得初步成效。</w:t>
      </w:r>
      <w:r>
        <w:rPr>
          <w:rFonts w:hint="eastAsia" w:ascii="仿宋" w:hAnsi="仿宋" w:eastAsia="仿宋" w:cs="仿宋"/>
          <w:szCs w:val="32"/>
        </w:rPr>
        <w:t>按照全国、省、市工商联工作部署，组织民营企业参与乡村振兴工作。广泛凝聚广大民营企业参与乡村振兴，开展产业帮扶、就业帮扶、公益帮扶、技能帮扶。引导湖南雪峰旅游、绿之然、金枣醇等10家民营企业采取产业帮扶、就业帮扶、公益帮扶、技能帮扶等方式与统溪河、北斗溪等17个乡镇97个村开展乡村振兴村企结对。积极对接省属民营企业联系帮扶溆浦县，溆浦县工商联与10家企业和一家商会逐一联系，建立了联系联络机制；县领导带领县工商联领导班子到省工商联漆平波副主席处汇报对接帮扶事宜，漆平波副主席给予大力支持，并就下一步工作作了具体指导。雨溆对口帮扶工作全力推进，目前已安排20家企业与我县20个集体经济薄弱村接对帮扶。</w:t>
      </w:r>
    </w:p>
    <w:p w14:paraId="6522AB7E">
      <w:pPr>
        <w:widowControl/>
        <w:shd w:val="clear" w:color="auto"/>
        <w:ind w:firstLine="640" w:firstLineChars="200"/>
        <w:rPr>
          <w:rFonts w:hint="eastAsia" w:ascii="仿宋" w:hAnsi="仿宋" w:eastAsia="仿宋" w:cs="仿宋"/>
          <w:color w:val="222222"/>
          <w:szCs w:val="32"/>
        </w:rPr>
      </w:pPr>
      <w:r>
        <w:rPr>
          <w:rFonts w:hint="eastAsia" w:ascii="仿宋" w:hAnsi="仿宋" w:eastAsia="仿宋" w:cs="仿宋"/>
          <w:szCs w:val="32"/>
        </w:rPr>
        <w:t>（十</w:t>
      </w:r>
      <w:r>
        <w:rPr>
          <w:rFonts w:hint="eastAsia" w:ascii="仿宋" w:hAnsi="仿宋" w:eastAsia="仿宋" w:cs="仿宋"/>
          <w:b/>
          <w:szCs w:val="32"/>
        </w:rPr>
        <w:t>）统筹推进其他工作。</w:t>
      </w:r>
      <w:r>
        <w:rPr>
          <w:rFonts w:hint="eastAsia" w:ascii="仿宋" w:hAnsi="仿宋" w:eastAsia="仿宋" w:cs="仿宋"/>
          <w:szCs w:val="32"/>
        </w:rPr>
        <w:t>加强社会治安综合治理，落实工作责任，健全工作机制，形成“一把手负总责、分管领导亲自抓”的工作格局，明确专人专抓，工商联全体干部职工每人联系10位非公经济人士，广泛开展综治工作。围绕我县中心工作目标，着力提升城市品质，在工商联机关干部职工和非公有制企业家范围内，营造出绿色、文明、环保、和谐的理念，彻底革除陋习。按照部署安排，加强招商引资工作，“引老乡、回故乡、建家乡”，恒辉地产成功与万达集团签约筹建溆浦万达广场。积极开展抗灾工作，组织开展全县非公经济人士募集灾后重建资金50余万元；结合开展当标兵、做示范、走前列活动，开展当前工作</w:t>
      </w:r>
      <w:r>
        <w:rPr>
          <w:rFonts w:hint="eastAsia" w:ascii="仿宋" w:hAnsi="仿宋" w:eastAsia="仿宋" w:cs="仿宋"/>
          <w:color w:val="222222"/>
          <w:szCs w:val="32"/>
        </w:rPr>
        <w:t>。</w:t>
      </w:r>
    </w:p>
    <w:p w14:paraId="40F2C912">
      <w:pPr>
        <w:widowControl/>
        <w:shd w:val="clear" w:color="auto"/>
        <w:ind w:firstLine="640" w:firstLineChars="200"/>
        <w:rPr>
          <w:rFonts w:ascii="仿宋" w:hAnsi="仿宋" w:eastAsia="仿宋" w:cs="仿宋"/>
          <w:color w:val="222222"/>
          <w:szCs w:val="32"/>
        </w:rPr>
      </w:pPr>
      <w:r>
        <w:rPr>
          <w:rFonts w:hint="eastAsia" w:ascii="仿宋" w:hAnsi="仿宋" w:eastAsia="仿宋" w:cs="仿宋"/>
          <w:color w:val="222222"/>
          <w:szCs w:val="32"/>
        </w:rPr>
        <w:t>（十一）与县直相关单位密切配合，成功举办了全省“万企兴万村”以及“民企兴县”活动。</w:t>
      </w:r>
    </w:p>
    <w:bookmarkEnd w:id="31"/>
    <w:p w14:paraId="1EF41D43">
      <w:pPr>
        <w:widowControl/>
        <w:shd w:val="clear" w:color="auto"/>
        <w:rPr>
          <w:rFonts w:ascii="仿宋_GB2312" w:hAnsi="仿宋"/>
          <w:szCs w:val="32"/>
        </w:rPr>
      </w:pPr>
      <w:r>
        <w:rPr>
          <w:rFonts w:hint="eastAsia" w:ascii="仿宋_GB2312" w:hAnsi="仿宋"/>
          <w:szCs w:val="32"/>
        </w:rPr>
        <w:t xml:space="preserve">    </w:t>
      </w:r>
      <w:r>
        <w:rPr>
          <w:rFonts w:hint="eastAsia" w:ascii="黑体" w:hAnsi="黑体" w:eastAsia="黑体"/>
          <w:spacing w:val="-2"/>
          <w:szCs w:val="32"/>
        </w:rPr>
        <w:t>六、存在的主要问题</w:t>
      </w:r>
    </w:p>
    <w:p w14:paraId="30E3A2C2">
      <w:pPr>
        <w:shd w:val="clear"/>
        <w:ind w:firstLine="640" w:firstLineChars="200"/>
        <w:rPr>
          <w:rFonts w:ascii="仿宋_GB2312" w:hAnsi="仿宋"/>
          <w:szCs w:val="32"/>
        </w:rPr>
      </w:pPr>
      <w:bookmarkStart w:id="32" w:name="OLE_LINK3"/>
      <w:r>
        <w:rPr>
          <w:rFonts w:hint="eastAsia" w:ascii="仿宋_GB2312" w:hAnsi="仿宋"/>
          <w:szCs w:val="32"/>
        </w:rPr>
        <w:t>在充分肯定2023年工作成绩的同时，我们也要清醒地认识到工作中还存在着一些不足。主要表现在：</w:t>
      </w:r>
    </w:p>
    <w:p w14:paraId="218B39DB">
      <w:pPr>
        <w:shd w:val="clear"/>
        <w:ind w:firstLine="640" w:firstLineChars="200"/>
        <w:rPr>
          <w:rFonts w:ascii="仿宋_GB2312" w:hAnsi="仿宋"/>
          <w:szCs w:val="32"/>
        </w:rPr>
      </w:pPr>
      <w:r>
        <w:rPr>
          <w:rFonts w:hint="eastAsia" w:ascii="仿宋_GB2312" w:hAnsi="仿宋"/>
          <w:szCs w:val="32"/>
        </w:rPr>
        <w:t>一是思想还不够解放，对当前民营经济发展的新形势、对商会工作面临的新任务认识不足，研究不够，缺少科学应对的新思路、新办法。</w:t>
      </w:r>
    </w:p>
    <w:p w14:paraId="4E792B7F">
      <w:pPr>
        <w:shd w:val="clear"/>
        <w:ind w:firstLine="640" w:firstLineChars="200"/>
        <w:rPr>
          <w:rFonts w:hint="eastAsia" w:ascii="仿宋_GB2312" w:hAnsi="仿宋"/>
          <w:szCs w:val="32"/>
        </w:rPr>
      </w:pPr>
      <w:r>
        <w:rPr>
          <w:rFonts w:hint="eastAsia" w:ascii="仿宋_GB2312" w:hAnsi="仿宋"/>
          <w:szCs w:val="32"/>
        </w:rPr>
        <w:t>二是乡镇商会组织活动不够经常，管理不够规范的问题没有得到很好的解决，乡镇商会应有的作用没有得到充分发挥。</w:t>
      </w:r>
    </w:p>
    <w:p w14:paraId="370BC56F">
      <w:pPr>
        <w:shd w:val="clear"/>
        <w:ind w:firstLine="640" w:firstLineChars="200"/>
        <w:rPr>
          <w:rFonts w:ascii="仿宋_GB2312" w:hAnsi="仿宋"/>
          <w:szCs w:val="32"/>
        </w:rPr>
      </w:pPr>
      <w:r>
        <w:rPr>
          <w:rFonts w:hint="eastAsia" w:ascii="仿宋_GB2312" w:hAnsi="仿宋"/>
          <w:szCs w:val="32"/>
        </w:rPr>
        <w:t>三是与异地商会的走访对接工作有待进一步加强。</w:t>
      </w:r>
    </w:p>
    <w:bookmarkEnd w:id="32"/>
    <w:p w14:paraId="02C497AF">
      <w:pPr>
        <w:shd w:val="clear" w:color="auto"/>
        <w:spacing w:line="640" w:lineRule="exact"/>
        <w:ind w:firstLine="640"/>
        <w:rPr>
          <w:rFonts w:ascii="黑体" w:hAnsi="黑体" w:eastAsia="黑体"/>
          <w:spacing w:val="-2"/>
          <w:szCs w:val="32"/>
        </w:rPr>
      </w:pPr>
      <w:r>
        <w:rPr>
          <w:rFonts w:hint="eastAsia" w:ascii="黑体" w:hAnsi="黑体" w:eastAsia="黑体"/>
          <w:spacing w:val="-2"/>
          <w:szCs w:val="32"/>
        </w:rPr>
        <w:t>七、改进措施和有关建议</w:t>
      </w:r>
    </w:p>
    <w:p w14:paraId="4EC384A2">
      <w:pPr>
        <w:shd w:val="clear" w:color="auto"/>
        <w:spacing w:line="640" w:lineRule="exact"/>
        <w:ind w:firstLine="640"/>
        <w:rPr>
          <w:rFonts w:ascii="仿宋_GB2312" w:hAnsi="仿宋" w:cs="仿宋"/>
          <w:szCs w:val="32"/>
        </w:rPr>
      </w:pPr>
      <w:r>
        <w:rPr>
          <w:rFonts w:hint="eastAsia" w:ascii="仿宋_GB2312" w:hAnsi="仿宋"/>
          <w:spacing w:val="-2"/>
          <w:szCs w:val="32"/>
        </w:rPr>
        <w:t>进一步完善财务制度，</w:t>
      </w:r>
      <w:r>
        <w:rPr>
          <w:rFonts w:hint="eastAsia" w:ascii="仿宋_GB2312" w:hAnsi="仿宋" w:cs="仿宋"/>
          <w:szCs w:val="32"/>
        </w:rPr>
        <w:t>加强单位财务收支管控。根据年度预算要求，按照“科学、规范、统一、高效”的原则，量入为出，强化事前预算，事中控制，事后监督，提高资金的使用效率，切实降低资金的使用成本。进一步完善公用经费定额管理办法，不断提高依法理财能力，为工商联工作顺利开展提供资金保障。</w:t>
      </w:r>
    </w:p>
    <w:p w14:paraId="6830483B">
      <w:pPr>
        <w:shd w:val="clear"/>
        <w:ind w:firstLine="640" w:firstLineChars="200"/>
        <w:jc w:val="left"/>
        <w:rPr>
          <w:rFonts w:cs="黑体" w:asciiTheme="minorEastAsia" w:hAnsiTheme="minorEastAsia"/>
          <w:color w:val="000000"/>
          <w:kern w:val="0"/>
          <w:szCs w:val="32"/>
        </w:rPr>
      </w:pPr>
      <w:r>
        <w:rPr>
          <w:rFonts w:hint="eastAsia" w:ascii="仿宋" w:hAnsi="仿宋" w:eastAsia="仿宋" w:cs="宋体"/>
          <w:color w:val="000000"/>
          <w:kern w:val="0"/>
          <w:szCs w:val="32"/>
        </w:rPr>
        <w:t>根据对我单位2023年部门整体支出项目绩效评价指标体系和绩效情况的检查，2023年我单位整体绩效自评分98分，财务管控较好。我们将在以后的工作中加强预算管理，严格控制各项经费的开支，提高经费的使用效率。</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823F2"/>
    <w:multiLevelType w:val="multilevel"/>
    <w:tmpl w:val="296823F2"/>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0MmQ0MTc5MDQ5ZDk2NjU3YjUxOTg0MGZhM2M3ZGQifQ=="/>
  </w:docVars>
  <w:rsids>
    <w:rsidRoot w:val="004506F9"/>
    <w:rsid w:val="000044BF"/>
    <w:rsid w:val="000201EB"/>
    <w:rsid w:val="0002229B"/>
    <w:rsid w:val="000273BD"/>
    <w:rsid w:val="000415B7"/>
    <w:rsid w:val="00041E3F"/>
    <w:rsid w:val="00052886"/>
    <w:rsid w:val="00055DAA"/>
    <w:rsid w:val="00061F7B"/>
    <w:rsid w:val="00063741"/>
    <w:rsid w:val="000658A3"/>
    <w:rsid w:val="00074155"/>
    <w:rsid w:val="000873EF"/>
    <w:rsid w:val="000A3F69"/>
    <w:rsid w:val="00103957"/>
    <w:rsid w:val="001150DC"/>
    <w:rsid w:val="00122A2C"/>
    <w:rsid w:val="00124A1F"/>
    <w:rsid w:val="00152C6D"/>
    <w:rsid w:val="0016137B"/>
    <w:rsid w:val="00162D39"/>
    <w:rsid w:val="001678BD"/>
    <w:rsid w:val="00182373"/>
    <w:rsid w:val="001873C2"/>
    <w:rsid w:val="001A67DB"/>
    <w:rsid w:val="001C3C29"/>
    <w:rsid w:val="001D51E5"/>
    <w:rsid w:val="001E080D"/>
    <w:rsid w:val="001E53D0"/>
    <w:rsid w:val="001F0C3B"/>
    <w:rsid w:val="00202C14"/>
    <w:rsid w:val="00202C82"/>
    <w:rsid w:val="00214427"/>
    <w:rsid w:val="00226CB7"/>
    <w:rsid w:val="002450D5"/>
    <w:rsid w:val="0026397B"/>
    <w:rsid w:val="00264552"/>
    <w:rsid w:val="00264EF9"/>
    <w:rsid w:val="00265724"/>
    <w:rsid w:val="0027426B"/>
    <w:rsid w:val="002A3715"/>
    <w:rsid w:val="002C33F7"/>
    <w:rsid w:val="002D420C"/>
    <w:rsid w:val="002E0A30"/>
    <w:rsid w:val="00303E74"/>
    <w:rsid w:val="003119D1"/>
    <w:rsid w:val="003130C4"/>
    <w:rsid w:val="00316C4B"/>
    <w:rsid w:val="0032192B"/>
    <w:rsid w:val="0033392C"/>
    <w:rsid w:val="00334E91"/>
    <w:rsid w:val="0034662B"/>
    <w:rsid w:val="003479BD"/>
    <w:rsid w:val="003504BF"/>
    <w:rsid w:val="0037197D"/>
    <w:rsid w:val="003768D5"/>
    <w:rsid w:val="003B59CA"/>
    <w:rsid w:val="003C4197"/>
    <w:rsid w:val="003C47E6"/>
    <w:rsid w:val="003C4FC2"/>
    <w:rsid w:val="003C6044"/>
    <w:rsid w:val="003E2331"/>
    <w:rsid w:val="003E2ACE"/>
    <w:rsid w:val="003E5320"/>
    <w:rsid w:val="003F2EEE"/>
    <w:rsid w:val="00416E61"/>
    <w:rsid w:val="0042790C"/>
    <w:rsid w:val="00427B93"/>
    <w:rsid w:val="004506F9"/>
    <w:rsid w:val="004717A2"/>
    <w:rsid w:val="00473DF3"/>
    <w:rsid w:val="004835CA"/>
    <w:rsid w:val="0048518A"/>
    <w:rsid w:val="00487911"/>
    <w:rsid w:val="00491741"/>
    <w:rsid w:val="004B0CEE"/>
    <w:rsid w:val="00500E5F"/>
    <w:rsid w:val="00505FE5"/>
    <w:rsid w:val="005122EF"/>
    <w:rsid w:val="0051441A"/>
    <w:rsid w:val="00517C33"/>
    <w:rsid w:val="00517D5F"/>
    <w:rsid w:val="00521AF2"/>
    <w:rsid w:val="005234D7"/>
    <w:rsid w:val="00523644"/>
    <w:rsid w:val="0054069E"/>
    <w:rsid w:val="00544866"/>
    <w:rsid w:val="005565FB"/>
    <w:rsid w:val="005767CC"/>
    <w:rsid w:val="00590D9F"/>
    <w:rsid w:val="00595D26"/>
    <w:rsid w:val="005A74E6"/>
    <w:rsid w:val="005B404E"/>
    <w:rsid w:val="005D4D55"/>
    <w:rsid w:val="005E2CFB"/>
    <w:rsid w:val="005F2103"/>
    <w:rsid w:val="005F3D1C"/>
    <w:rsid w:val="0062378F"/>
    <w:rsid w:val="00641842"/>
    <w:rsid w:val="00651EEC"/>
    <w:rsid w:val="0066477A"/>
    <w:rsid w:val="00686673"/>
    <w:rsid w:val="00691E8C"/>
    <w:rsid w:val="006956B4"/>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437CC"/>
    <w:rsid w:val="007455ED"/>
    <w:rsid w:val="00787B42"/>
    <w:rsid w:val="007A7A1B"/>
    <w:rsid w:val="007C4539"/>
    <w:rsid w:val="007C5770"/>
    <w:rsid w:val="007D1001"/>
    <w:rsid w:val="007E4C8E"/>
    <w:rsid w:val="007E5E53"/>
    <w:rsid w:val="007F3657"/>
    <w:rsid w:val="008003D8"/>
    <w:rsid w:val="00812ED5"/>
    <w:rsid w:val="008277D9"/>
    <w:rsid w:val="00834B2E"/>
    <w:rsid w:val="0084478C"/>
    <w:rsid w:val="0086638C"/>
    <w:rsid w:val="008770EF"/>
    <w:rsid w:val="008A3E8D"/>
    <w:rsid w:val="008B7AAC"/>
    <w:rsid w:val="008C3588"/>
    <w:rsid w:val="008D5982"/>
    <w:rsid w:val="00903A84"/>
    <w:rsid w:val="00912CAA"/>
    <w:rsid w:val="00922927"/>
    <w:rsid w:val="009237C4"/>
    <w:rsid w:val="009305A9"/>
    <w:rsid w:val="00944C48"/>
    <w:rsid w:val="00950252"/>
    <w:rsid w:val="00967F5D"/>
    <w:rsid w:val="009A0F95"/>
    <w:rsid w:val="009B3ADF"/>
    <w:rsid w:val="009C03E6"/>
    <w:rsid w:val="009C050A"/>
    <w:rsid w:val="009C3B52"/>
    <w:rsid w:val="009D5756"/>
    <w:rsid w:val="009E6817"/>
    <w:rsid w:val="009E6E9A"/>
    <w:rsid w:val="00A01D2B"/>
    <w:rsid w:val="00A42218"/>
    <w:rsid w:val="00A567A2"/>
    <w:rsid w:val="00A623A0"/>
    <w:rsid w:val="00A70249"/>
    <w:rsid w:val="00A70B02"/>
    <w:rsid w:val="00A71D9F"/>
    <w:rsid w:val="00A92E9F"/>
    <w:rsid w:val="00B16449"/>
    <w:rsid w:val="00B33BEA"/>
    <w:rsid w:val="00B46111"/>
    <w:rsid w:val="00B571F5"/>
    <w:rsid w:val="00B57C9F"/>
    <w:rsid w:val="00B63572"/>
    <w:rsid w:val="00B845B3"/>
    <w:rsid w:val="00B85D8B"/>
    <w:rsid w:val="00BB18DB"/>
    <w:rsid w:val="00BB1C53"/>
    <w:rsid w:val="00BB36E0"/>
    <w:rsid w:val="00BB4A40"/>
    <w:rsid w:val="00BC2F4C"/>
    <w:rsid w:val="00BC5ED7"/>
    <w:rsid w:val="00BD6C3E"/>
    <w:rsid w:val="00BE3674"/>
    <w:rsid w:val="00BF6447"/>
    <w:rsid w:val="00C10681"/>
    <w:rsid w:val="00C15F58"/>
    <w:rsid w:val="00C3049A"/>
    <w:rsid w:val="00C31B1E"/>
    <w:rsid w:val="00C729D0"/>
    <w:rsid w:val="00C77645"/>
    <w:rsid w:val="00CD44B7"/>
    <w:rsid w:val="00CD7405"/>
    <w:rsid w:val="00CE04C3"/>
    <w:rsid w:val="00CE76A0"/>
    <w:rsid w:val="00D148C6"/>
    <w:rsid w:val="00D17A8A"/>
    <w:rsid w:val="00D32209"/>
    <w:rsid w:val="00D415BA"/>
    <w:rsid w:val="00D4533C"/>
    <w:rsid w:val="00D63780"/>
    <w:rsid w:val="00D644EE"/>
    <w:rsid w:val="00D75489"/>
    <w:rsid w:val="00D768A6"/>
    <w:rsid w:val="00DA1D8D"/>
    <w:rsid w:val="00DA2CEB"/>
    <w:rsid w:val="00DD06FF"/>
    <w:rsid w:val="00DD5FE9"/>
    <w:rsid w:val="00DF18DE"/>
    <w:rsid w:val="00DF23D1"/>
    <w:rsid w:val="00E00C7A"/>
    <w:rsid w:val="00E209CF"/>
    <w:rsid w:val="00E37D6C"/>
    <w:rsid w:val="00E55B68"/>
    <w:rsid w:val="00E602F5"/>
    <w:rsid w:val="00E67BE6"/>
    <w:rsid w:val="00E8683C"/>
    <w:rsid w:val="00E86E40"/>
    <w:rsid w:val="00EA2B72"/>
    <w:rsid w:val="00EB72F4"/>
    <w:rsid w:val="00ED2749"/>
    <w:rsid w:val="00EE3CA7"/>
    <w:rsid w:val="00F74360"/>
    <w:rsid w:val="00F83814"/>
    <w:rsid w:val="00FB462F"/>
    <w:rsid w:val="00FE16FA"/>
    <w:rsid w:val="00FE2899"/>
    <w:rsid w:val="00FE328A"/>
    <w:rsid w:val="00FE6269"/>
    <w:rsid w:val="00FF5CD6"/>
    <w:rsid w:val="0102582B"/>
    <w:rsid w:val="01F42458"/>
    <w:rsid w:val="09785913"/>
    <w:rsid w:val="0D5A611A"/>
    <w:rsid w:val="15E073CE"/>
    <w:rsid w:val="1FAB01E0"/>
    <w:rsid w:val="270D3E4D"/>
    <w:rsid w:val="2A796358"/>
    <w:rsid w:val="31355658"/>
    <w:rsid w:val="43193FED"/>
    <w:rsid w:val="44846B2C"/>
    <w:rsid w:val="474308D5"/>
    <w:rsid w:val="47DF55A9"/>
    <w:rsid w:val="510A6B8A"/>
    <w:rsid w:val="5BF66889"/>
    <w:rsid w:val="5D08053B"/>
    <w:rsid w:val="5D526412"/>
    <w:rsid w:val="64AB6819"/>
    <w:rsid w:val="66060E57"/>
    <w:rsid w:val="697327E9"/>
    <w:rsid w:val="6CD25FA5"/>
    <w:rsid w:val="6D9E0063"/>
    <w:rsid w:val="79EC7C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6357-5DD0-4019-8B8B-AAA250F785F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15201</Words>
  <Characters>18479</Characters>
  <Lines>132</Lines>
  <Paragraphs>37</Paragraphs>
  <TotalTime>0</TotalTime>
  <ScaleCrop>false</ScaleCrop>
  <LinksUpToDate>false</LinksUpToDate>
  <CharactersWithSpaces>19311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2023-09-21T02:06:00Z</dcterms:created>
  <dc:creator>李航 null</dc:creator>
  <cp:lastModifiedBy>Administrator</cp:lastModifiedBy>
  <cp:lastPrinted>2022-07-27T12:55:00Z</cp:lastPrinted>
  <dcterms:modified xsi:type="dcterms:W3CDTF">2024-10-16T02:56:15Z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84738B35B8B14874A1229980AB0ACD13</vt:lpwstr>
  </property>
</Properties>
</file>