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FD681">
      <w:pPr>
        <w:pStyle w:val="15"/>
        <w:jc w:val="center"/>
        <w:rPr>
          <w:sz w:val="56"/>
          <w:szCs w:val="56"/>
        </w:rPr>
      </w:pPr>
    </w:p>
    <w:p w14:paraId="411B724D">
      <w:pPr>
        <w:pStyle w:val="15"/>
        <w:jc w:val="center"/>
        <w:rPr>
          <w:sz w:val="56"/>
          <w:szCs w:val="56"/>
        </w:rPr>
      </w:pPr>
    </w:p>
    <w:p w14:paraId="4FAECCD4">
      <w:pPr>
        <w:pStyle w:val="15"/>
        <w:jc w:val="center"/>
        <w:rPr>
          <w:sz w:val="84"/>
          <w:szCs w:val="84"/>
        </w:rPr>
      </w:pPr>
    </w:p>
    <w:p w14:paraId="742AFC0C">
      <w:pPr>
        <w:pStyle w:val="15"/>
        <w:jc w:val="center"/>
        <w:rPr>
          <w:sz w:val="84"/>
          <w:szCs w:val="84"/>
        </w:rPr>
      </w:pPr>
    </w:p>
    <w:p w14:paraId="68A000CE">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w:t>
      </w:r>
    </w:p>
    <w:p w14:paraId="19010FF8">
      <w:pPr>
        <w:pStyle w:val="15"/>
        <w:jc w:val="center"/>
        <w:rPr>
          <w:rFonts w:hint="eastAsia"/>
          <w:sz w:val="84"/>
          <w:szCs w:val="84"/>
          <w:lang w:eastAsia="zh-CN"/>
        </w:rPr>
      </w:pPr>
      <w:r>
        <w:rPr>
          <w:rFonts w:hint="eastAsia"/>
          <w:sz w:val="84"/>
          <w:szCs w:val="84"/>
        </w:rPr>
        <w:t>溆浦县财政局</w:t>
      </w:r>
      <w:r>
        <w:rPr>
          <w:rFonts w:hint="eastAsia"/>
          <w:sz w:val="84"/>
          <w:szCs w:val="84"/>
          <w:lang w:eastAsia="zh-CN"/>
        </w:rPr>
        <w:t>（本级）</w:t>
      </w:r>
    </w:p>
    <w:p w14:paraId="50DD868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30522BCD">
      <w:pPr>
        <w:pStyle w:val="15"/>
        <w:jc w:val="center"/>
        <w:rPr>
          <w:rFonts w:hint="eastAsia" w:ascii="方正小标宋_GBK" w:hAnsi="方正小标宋_GBK" w:eastAsia="方正小标宋_GBK" w:cs="方正小标宋_GBK"/>
          <w:sz w:val="56"/>
          <w:szCs w:val="56"/>
        </w:rPr>
      </w:pPr>
    </w:p>
    <w:p w14:paraId="72179284">
      <w:pPr>
        <w:pStyle w:val="15"/>
        <w:jc w:val="center"/>
        <w:rPr>
          <w:sz w:val="56"/>
          <w:szCs w:val="56"/>
        </w:rPr>
      </w:pPr>
    </w:p>
    <w:p w14:paraId="045D182D">
      <w:pPr>
        <w:pStyle w:val="15"/>
        <w:jc w:val="center"/>
        <w:rPr>
          <w:sz w:val="56"/>
          <w:szCs w:val="56"/>
        </w:rPr>
      </w:pPr>
    </w:p>
    <w:p w14:paraId="754321E8">
      <w:pPr>
        <w:pStyle w:val="15"/>
        <w:jc w:val="center"/>
        <w:rPr>
          <w:sz w:val="56"/>
          <w:szCs w:val="56"/>
        </w:rPr>
      </w:pPr>
    </w:p>
    <w:p w14:paraId="562FFCAE">
      <w:pPr>
        <w:pStyle w:val="15"/>
        <w:jc w:val="center"/>
        <w:rPr>
          <w:sz w:val="32"/>
          <w:szCs w:val="32"/>
        </w:rPr>
      </w:pPr>
    </w:p>
    <w:p w14:paraId="5E862943">
      <w:pPr>
        <w:pStyle w:val="15"/>
        <w:jc w:val="center"/>
        <w:rPr>
          <w:sz w:val="32"/>
          <w:szCs w:val="32"/>
        </w:rPr>
      </w:pPr>
    </w:p>
    <w:p w14:paraId="10D26B60">
      <w:pPr>
        <w:pStyle w:val="15"/>
        <w:jc w:val="center"/>
        <w:rPr>
          <w:sz w:val="32"/>
          <w:szCs w:val="32"/>
        </w:rPr>
      </w:pPr>
    </w:p>
    <w:p w14:paraId="6B5BE255">
      <w:pPr>
        <w:pStyle w:val="15"/>
        <w:jc w:val="center"/>
        <w:rPr>
          <w:sz w:val="32"/>
          <w:szCs w:val="32"/>
        </w:rPr>
      </w:pPr>
    </w:p>
    <w:p w14:paraId="478A8AEC">
      <w:pPr>
        <w:pStyle w:val="15"/>
        <w:spacing w:line="500" w:lineRule="exact"/>
        <w:jc w:val="center"/>
        <w:rPr>
          <w:b/>
          <w:sz w:val="36"/>
          <w:szCs w:val="28"/>
        </w:rPr>
      </w:pPr>
      <w:r>
        <w:rPr>
          <w:rFonts w:hint="eastAsia"/>
          <w:b/>
          <w:sz w:val="36"/>
          <w:szCs w:val="28"/>
        </w:rPr>
        <w:t>目录</w:t>
      </w:r>
    </w:p>
    <w:p w14:paraId="44841D41">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溆浦县财政局</w:t>
      </w:r>
      <w:r>
        <w:rPr>
          <w:rFonts w:hint="eastAsia" w:ascii="黑体" w:hAnsi="黑体" w:eastAsia="黑体" w:cs="黑体"/>
          <w:b w:val="0"/>
          <w:bCs/>
          <w:sz w:val="28"/>
          <w:szCs w:val="28"/>
          <w:lang w:eastAsia="zh-CN"/>
        </w:rPr>
        <w:t>（本级）</w:t>
      </w:r>
      <w:r>
        <w:rPr>
          <w:rFonts w:hint="eastAsia" w:ascii="黑体" w:hAnsi="黑体" w:eastAsia="黑体" w:cs="黑体"/>
          <w:b w:val="0"/>
          <w:bCs/>
          <w:sz w:val="28"/>
          <w:szCs w:val="28"/>
        </w:rPr>
        <w:t>单位概况</w:t>
      </w:r>
    </w:p>
    <w:p w14:paraId="2DCA563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AA922A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8C808F6">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39EAA1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FD8CF7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D1D066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10483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931F2E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3B64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05A35D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3C237A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E88C8C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C440AFC">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52321D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F7CD17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7BD2BA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196E5E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3ADE84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37EDB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053EC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716224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2BAEEB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13A45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E6850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B9A63F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4B2582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53FC94E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7166ED4">
      <w:pPr>
        <w:pStyle w:val="15"/>
        <w:spacing w:line="500" w:lineRule="exact"/>
        <w:rPr>
          <w:rFonts w:hint="eastAsia" w:ascii="黑体" w:hAnsi="黑体" w:eastAsia="黑体" w:cs="黑体"/>
          <w:b w:val="0"/>
          <w:bCs/>
          <w:sz w:val="28"/>
          <w:szCs w:val="28"/>
          <w:lang w:eastAsia="zh-CN"/>
        </w:rPr>
      </w:pPr>
      <w:bookmarkStart w:id="0" w:name="OLE_LINK16"/>
      <w:bookmarkStart w:id="1" w:name="OLE_LINK1"/>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bookmarkEnd w:id="0"/>
    </w:p>
    <w:bookmarkEnd w:id="1"/>
    <w:p w14:paraId="2C3FF70E">
      <w:pPr>
        <w:pStyle w:val="15"/>
        <w:spacing w:line="500" w:lineRule="exact"/>
        <w:rPr>
          <w:rFonts w:hint="eastAsia" w:ascii="黑体" w:hAnsi="黑体" w:eastAsia="黑体" w:cs="黑体"/>
          <w:b w:val="0"/>
          <w:bCs/>
          <w:sz w:val="28"/>
          <w:szCs w:val="28"/>
        </w:rPr>
      </w:pPr>
    </w:p>
    <w:p w14:paraId="02A5123F">
      <w:pPr>
        <w:jc w:val="center"/>
        <w:rPr>
          <w:sz w:val="72"/>
          <w:szCs w:val="72"/>
        </w:rPr>
      </w:pPr>
    </w:p>
    <w:p w14:paraId="40FD954F">
      <w:pPr>
        <w:jc w:val="center"/>
        <w:rPr>
          <w:sz w:val="72"/>
          <w:szCs w:val="72"/>
        </w:rPr>
      </w:pPr>
    </w:p>
    <w:p w14:paraId="215512F4">
      <w:pPr>
        <w:jc w:val="both"/>
        <w:rPr>
          <w:sz w:val="72"/>
          <w:szCs w:val="72"/>
        </w:rPr>
      </w:pPr>
    </w:p>
    <w:p w14:paraId="6014E200">
      <w:pPr>
        <w:jc w:val="both"/>
        <w:rPr>
          <w:sz w:val="72"/>
          <w:szCs w:val="72"/>
        </w:rPr>
      </w:pPr>
    </w:p>
    <w:p w14:paraId="09E75DD7">
      <w:pPr>
        <w:rPr>
          <w:rFonts w:hint="eastAsia" w:ascii="方正小标宋_GBK" w:hAnsi="方正小标宋_GBK" w:eastAsia="方正小标宋_GBK" w:cs="方正小标宋_GBK"/>
          <w:sz w:val="72"/>
          <w:szCs w:val="72"/>
        </w:rPr>
      </w:pPr>
    </w:p>
    <w:p w14:paraId="5F028E1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59EBD04">
      <w:pPr>
        <w:pStyle w:val="15"/>
        <w:jc w:val="center"/>
        <w:rPr>
          <w:rFonts w:hint="eastAsia"/>
          <w:sz w:val="84"/>
          <w:szCs w:val="84"/>
          <w:lang w:eastAsia="zh-CN"/>
        </w:rPr>
      </w:pPr>
      <w:r>
        <w:rPr>
          <w:rFonts w:hint="eastAsia"/>
          <w:sz w:val="84"/>
          <w:szCs w:val="84"/>
        </w:rPr>
        <w:t>溆浦县财政局</w:t>
      </w:r>
      <w:r>
        <w:rPr>
          <w:rFonts w:hint="eastAsia"/>
          <w:sz w:val="84"/>
          <w:szCs w:val="84"/>
          <w:lang w:eastAsia="zh-CN"/>
        </w:rPr>
        <w:t>（本级）</w:t>
      </w:r>
    </w:p>
    <w:p w14:paraId="4C2AF4AB">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4A37C67A">
      <w:pPr>
        <w:jc w:val="center"/>
        <w:rPr>
          <w:rFonts w:hint="eastAsia" w:ascii="方正小标宋_GBK" w:hAnsi="方正小标宋_GBK" w:eastAsia="方正小标宋_GBK" w:cs="方正小标宋_GBK"/>
          <w:sz w:val="72"/>
          <w:szCs w:val="72"/>
        </w:rPr>
      </w:pPr>
    </w:p>
    <w:p w14:paraId="3557478E">
      <w:pPr>
        <w:jc w:val="center"/>
        <w:rPr>
          <w:rFonts w:hint="eastAsia" w:ascii="方正小标宋_GBK" w:hAnsi="方正小标宋_GBK" w:eastAsia="方正小标宋_GBK" w:cs="方正小标宋_GBK"/>
          <w:sz w:val="72"/>
          <w:szCs w:val="72"/>
        </w:rPr>
      </w:pPr>
    </w:p>
    <w:p w14:paraId="4C55EAD0">
      <w:pPr>
        <w:jc w:val="center"/>
        <w:rPr>
          <w:sz w:val="72"/>
          <w:szCs w:val="72"/>
        </w:rPr>
      </w:pPr>
    </w:p>
    <w:p w14:paraId="28E4261E">
      <w:pPr>
        <w:jc w:val="center"/>
        <w:rPr>
          <w:sz w:val="72"/>
          <w:szCs w:val="72"/>
        </w:rPr>
      </w:pPr>
    </w:p>
    <w:p w14:paraId="48885CEC">
      <w:pPr>
        <w:jc w:val="center"/>
        <w:rPr>
          <w:sz w:val="72"/>
          <w:szCs w:val="72"/>
        </w:rPr>
      </w:pPr>
    </w:p>
    <w:p w14:paraId="71DC7F13">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CACFDF8">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组织贯彻执行国家财税方针政策，拟订和执行全县财政政策、改革方案，指导全县财政工作；分析预测宏观经济形势，参与制定各项宏观经济政策；提出运用财税政策实施宏观调控和综合平衡社会财力的建议；拟订和执行县、乡镇政府与企业的分配政策，完善鼓励公益事业发展的财税政策。贯彻执行国家有关金融工作的方针、政策和法律、法规，组织拟订县人民政府金融领域有关规范性文件草案；组织拟订全县金融发展战略、中长期规划；组织拟订加强全县金融行业服务、促进金融行业发展的意见和政策建议。</w:t>
      </w:r>
    </w:p>
    <w:p w14:paraId="4B971ED7">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（二）代政府起草财政、财务、会议管理的制度及办法。</w:t>
      </w:r>
    </w:p>
    <w:p w14:paraId="2375625A">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承担全县各项财政收支管理的责任。负责编制年度全县预决算草案并组织执行。代编全县财政收支预算，汇总全县财政总决算；受县人民政府委托，向县人民代表大会报告全县预算及其执行情况，向县人大常委会报告决算。组织制订全县经费开支标准、定额，负责审核批复部门（单位）、乡镇的年度预决算。完善转移支付制度，推进省直管县财政体制改革。</w:t>
      </w:r>
    </w:p>
    <w:p w14:paraId="58DA714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（四）负责政府非税收入管理，负责政府性基金管理，按规定管理行政事业性收费。管理财政票据，加强彩票监督管理，按规定管理彩票资金。</w:t>
      </w:r>
    </w:p>
    <w:p w14:paraId="6B8AE1FB">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（五）组织制定国库管理制度、国库集中收付制度，指导和监督县本级国库业务，按规定开展国库现金管理工作。负责制定政府采购制度并监督管理。</w:t>
      </w:r>
    </w:p>
    <w:p w14:paraId="308D9202">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（六）贯彻执行国家税收法律、行政法规和税收调整政策，反馈政策执行情况，提出调整建议。参与县管理权限内有关税收政策及税收政策调整方案的调查研究，提出对策建议。</w:t>
      </w:r>
    </w:p>
    <w:p w14:paraId="16323B70">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（七）负责制定全县行政事业单位国有资产管理规章制度，按规定管理行政事业单位国有资产，制定需要全县统一规定的开支标准和支出政策，负责财政预算内行政事业单位和社会团体的非贸易外汇管理。</w:t>
      </w:r>
    </w:p>
    <w:p w14:paraId="2C753D6A">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负责编制全县国有资本经营预决算草案，制定国有资本经营预算的制度和办法，收取企业国有资本收益，组织实施企业财务制度，按规定管理地方金融类企业国有资产，负责监管全县企业的国有资产管理，管理资产评估工作。</w:t>
      </w:r>
    </w:p>
    <w:p w14:paraId="2CE12482">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（九）负责办理和监督全县财政的经济发展支出、政府性投资项目的财政拨款，参与拟订全县建设投资的有关政策，组织实施基本建设财务制度，负责有关政策性补贴和专项储备资金财政管理工作。</w:t>
      </w:r>
    </w:p>
    <w:p w14:paraId="5ED7D811">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（十）会同有关部门管理全县财政社会保障和就业及医疗卫生支出，组织实施社会保障资金（基金）的财务管理制度，编制全县社会保障预决算草案。</w:t>
      </w:r>
    </w:p>
    <w:p w14:paraId="36ACBAD5">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（十一）贯彻执行政府内外债务管理的政策、制度和办法，防范财政风险。负责统一管理县政府外债，制定基本管理制度，按规定管理外国政府和国际金融组织贷（赠）款。承担财税领域交流与合作的具体工作。</w:t>
      </w:r>
    </w:p>
    <w:p w14:paraId="36BA4316">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（十二）负责管理全县会计工作，监督和规范会计行为，组织实施国家统一的会计制度，组织实施全省会计行政法规规章，指导和监督注册会计师和会计师事务所的业务，指导和管理社会审计。</w:t>
      </w:r>
    </w:p>
    <w:p w14:paraId="453E9B59">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(十三）监督检查财税法规、政策的执行情况，反映财政收支管理中的重大问题，提出加强财政管理的政策和建议。</w:t>
      </w:r>
    </w:p>
    <w:p w14:paraId="0243FF7A">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（十四）研究分析国家金融政策、宏观金融形势和全县金融运行情况，会同有关部门推进全县金融市场体系建设。</w:t>
      </w:r>
    </w:p>
    <w:p w14:paraId="5B5FBD57">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（十五）负责联系省、市驻溆金融管理部门、各类金融机构；组织开展政府与金融机构合作、金融机构和企业对接，引导、协调和鼓励金融机构加大对全县经济社会发展的支持力度。</w:t>
      </w:r>
    </w:p>
    <w:p w14:paraId="03E004AC">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（十六）组织协调实施金融突发事件应急工作，会同有关部门查处和打击非法金融机构和非法金融业务活动，整顿和规范全县金融市场秩序，防范、化解、处置各类金融风险，维护金融稳定。</w:t>
      </w:r>
    </w:p>
    <w:p w14:paraId="442147CA">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七）指导全县村镇银行、小额贷款公司、融资性担保机构等地方金融机构的改革、发展和重组；根据省人民政府金融工作办公室授权，会同有关部门对县农村信用社联合社进行管理、指导和协调；会同有关部门推进全县社会信用体系建设和金融安全区创建，推进改善金融生态环境。</w:t>
      </w:r>
    </w:p>
    <w:p w14:paraId="0AC55507">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（十八）根据国家有关规定和政策，负责融资性担保机构设立初审工作和有关监管工作；指导地方各类风险投资机构、基金的设立和发展工作。</w:t>
      </w:r>
    </w:p>
    <w:p w14:paraId="396C0969">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九）负责组织推动小额贷款公司试点工作，对小额贷款公司有关重大事项及高管层任职资格进行初审，承担对县内小额贷款公司的监督管理工作；组织推进全县全方位多层次资本市场建设与发展；指导和推进企业改制上市等直接融资工作；指导协调上市公司资产重组及兼并收购，负责全县上市后备资源培育工作；指导地方性金融业等行业协会的自律建设和管理；指导、协调发行地方政府债券等工作。</w:t>
      </w:r>
    </w:p>
    <w:p w14:paraId="7724395D">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（二十）承办县人民政府交办的其他事项。</w:t>
      </w:r>
    </w:p>
    <w:p w14:paraId="526137E2">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C51149C">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溆浦县财政局单位内设机构包括：办公室、人事股、国库股、预算股、行政政法股、教科文股、经建股、资环股、农业农村股、金融债务股、资产管理股、会计股、财经监督股、采购办、企业股、综合股、财政评审中心、绩效股、社保股、税政法规股、财政信息中心、预算审核中心、财校共23个职能股室。</w:t>
      </w:r>
    </w:p>
    <w:p w14:paraId="1DE33CF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（二）决算单位构成。溆浦县财政局</w:t>
      </w:r>
      <w:r>
        <w:rPr>
          <w:rFonts w:hint="eastAsia" w:ascii="Times New Roman" w:hAnsi="Times New Roman" w:eastAsia="仿宋_GB2312" w:cs="仿宋_GB2312"/>
          <w:bCs/>
          <w:kern w:val="0"/>
          <w:sz w:val="32"/>
          <w:szCs w:val="32"/>
          <w:lang w:eastAsia="zh-CN"/>
        </w:rPr>
        <w:t>2023</w:t>
      </w:r>
      <w:r>
        <w:rPr>
          <w:rFonts w:hint="eastAsia" w:ascii="Times New Roman" w:hAnsi="Times New Roman" w:eastAsia="仿宋_GB2312" w:cs="仿宋_GB2312"/>
          <w:bCs/>
          <w:kern w:val="0"/>
          <w:sz w:val="32"/>
          <w:szCs w:val="32"/>
        </w:rPr>
        <w:t>年部门决算汇总公开单位构成包括：溆浦县财政局本级</w:t>
      </w:r>
    </w:p>
    <w:p w14:paraId="5C14E4CC">
      <w:pPr>
        <w:widowControl/>
        <w:spacing w:line="600" w:lineRule="exact"/>
        <w:rPr>
          <w:rFonts w:hint="eastAsia" w:ascii="Times New Roman" w:hAnsi="Times New Roman" w:eastAsia="仿宋_GB2312" w:cs="仿宋_GB2312"/>
          <w:bCs/>
          <w:kern w:val="0"/>
          <w:sz w:val="32"/>
          <w:szCs w:val="32"/>
        </w:rPr>
      </w:pPr>
    </w:p>
    <w:p w14:paraId="2503726E">
      <w:pPr>
        <w:jc w:val="left"/>
        <w:rPr>
          <w:rFonts w:ascii="仿宋_GB2312" w:eastAsia="仿宋_GB2312" w:hAnsiTheme="minorEastAsia"/>
          <w:sz w:val="28"/>
          <w:szCs w:val="32"/>
        </w:rPr>
      </w:pPr>
    </w:p>
    <w:p w14:paraId="14A4180D">
      <w:pPr>
        <w:jc w:val="center"/>
        <w:rPr>
          <w:rFonts w:ascii="黑体" w:hAnsi="黑体" w:eastAsia="黑体"/>
          <w:sz w:val="28"/>
          <w:szCs w:val="28"/>
        </w:rPr>
      </w:pPr>
    </w:p>
    <w:p w14:paraId="14E83C5B">
      <w:pPr>
        <w:jc w:val="center"/>
        <w:rPr>
          <w:sz w:val="72"/>
          <w:szCs w:val="72"/>
        </w:rPr>
      </w:pPr>
    </w:p>
    <w:p w14:paraId="3A751F1F">
      <w:pPr>
        <w:jc w:val="center"/>
        <w:rPr>
          <w:sz w:val="72"/>
          <w:szCs w:val="72"/>
        </w:rPr>
      </w:pPr>
    </w:p>
    <w:p w14:paraId="471C0BD1">
      <w:pPr>
        <w:jc w:val="center"/>
        <w:rPr>
          <w:sz w:val="72"/>
          <w:szCs w:val="72"/>
        </w:rPr>
      </w:pPr>
    </w:p>
    <w:p w14:paraId="7432A0CA">
      <w:pPr>
        <w:pStyle w:val="15"/>
        <w:jc w:val="center"/>
        <w:rPr>
          <w:rFonts w:hint="eastAsia" w:ascii="方正小标宋_GBK" w:hAnsi="方正小标宋_GBK" w:eastAsia="方正小标宋_GBK" w:cs="方正小标宋_GBK"/>
          <w:sz w:val="84"/>
          <w:szCs w:val="84"/>
        </w:rPr>
      </w:pPr>
    </w:p>
    <w:p w14:paraId="0347B65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77C254D">
      <w:pPr>
        <w:pStyle w:val="15"/>
        <w:jc w:val="center"/>
        <w:rPr>
          <w:rFonts w:hint="eastAsia" w:ascii="方正小标宋_GBK" w:hAnsi="方正小标宋_GBK" w:eastAsia="方正小标宋_GBK" w:cs="方正小标宋_GBK"/>
          <w:sz w:val="84"/>
          <w:szCs w:val="84"/>
        </w:rPr>
      </w:pPr>
    </w:p>
    <w:p w14:paraId="5297B15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EC53C74">
      <w:pPr>
        <w:jc w:val="center"/>
        <w:rPr>
          <w:sz w:val="72"/>
          <w:szCs w:val="72"/>
        </w:rPr>
      </w:pPr>
    </w:p>
    <w:p w14:paraId="6DB17C0C">
      <w:pPr>
        <w:jc w:val="center"/>
        <w:rPr>
          <w:sz w:val="72"/>
          <w:szCs w:val="72"/>
        </w:rPr>
      </w:pPr>
    </w:p>
    <w:p w14:paraId="1466BBAA">
      <w:pPr>
        <w:jc w:val="center"/>
        <w:rPr>
          <w:sz w:val="72"/>
          <w:szCs w:val="72"/>
        </w:rPr>
      </w:pPr>
    </w:p>
    <w:p w14:paraId="5BDD5ECB">
      <w:pPr>
        <w:jc w:val="center"/>
        <w:rPr>
          <w:sz w:val="72"/>
          <w:szCs w:val="72"/>
        </w:rPr>
      </w:pPr>
    </w:p>
    <w:p w14:paraId="270668B9">
      <w:pPr>
        <w:jc w:val="center"/>
        <w:rPr>
          <w:sz w:val="72"/>
          <w:szCs w:val="72"/>
        </w:rPr>
      </w:pPr>
    </w:p>
    <w:p w14:paraId="5589DE5F">
      <w:pPr>
        <w:jc w:val="center"/>
        <w:rPr>
          <w:sz w:val="72"/>
          <w:szCs w:val="72"/>
        </w:rPr>
      </w:pPr>
    </w:p>
    <w:p w14:paraId="50BB5F4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3B1C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08478DC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1E77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11CFEC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1E09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EAA1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C59F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F04E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9C540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7717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4A816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部门：溆浦县财政局</w:t>
            </w:r>
          </w:p>
        </w:tc>
        <w:tc>
          <w:tcPr>
            <w:tcW w:w="0" w:type="auto"/>
            <w:tcBorders>
              <w:top w:val="nil"/>
              <w:left w:val="nil"/>
              <w:bottom w:val="nil"/>
              <w:right w:val="nil"/>
            </w:tcBorders>
            <w:shd w:val="clear" w:color="auto" w:fill="auto"/>
            <w:noWrap/>
            <w:vAlign w:val="center"/>
          </w:tcPr>
          <w:p w14:paraId="4E1B9C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CC49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03D7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A3EA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9DA38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6E3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7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7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112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7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A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9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5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5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2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25D0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7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F2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0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7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25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0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9B4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8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4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4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7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1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B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3,922.81</w:t>
            </w:r>
          </w:p>
        </w:tc>
      </w:tr>
      <w:tr w14:paraId="3D2F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8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A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6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6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8C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F2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A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5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B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A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6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C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4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0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2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9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9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91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6F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C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65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B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6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44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8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0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A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8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2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3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D7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5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B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B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1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5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6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FA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7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3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9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C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4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r>
      <w:tr w14:paraId="1296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6A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2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A7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F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F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1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r>
      <w:tr w14:paraId="095D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14C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08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7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2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E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44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F41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1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B54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C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B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E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D4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422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DBD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5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6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A2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F31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F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98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A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0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4F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8E5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0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96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B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0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9D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EE8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F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C9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C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B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5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E5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549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5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6B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A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0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C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72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81D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CD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C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B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E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51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E28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C9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7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6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E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5A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E74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C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F9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2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0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0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r>
      <w:tr w14:paraId="6FC8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583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8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D4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3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9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C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EA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E3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1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BA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9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4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D4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C04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1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C0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9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4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8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C3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D0E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C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34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F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0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E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r>
      <w:tr w14:paraId="07EF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DD5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1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A9A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9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E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F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FB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B6D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1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3D3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D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4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8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F5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485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7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278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2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3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A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B3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1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D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B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35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2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E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4,656.01</w:t>
            </w:r>
          </w:p>
        </w:tc>
      </w:tr>
      <w:tr w14:paraId="66B3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4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0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0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5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2D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51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F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4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4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3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0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C4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85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5DF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3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D5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63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6F3F">
            <w:pPr>
              <w:jc w:val="left"/>
              <w:rPr>
                <w:rFonts w:hint="eastAsia" w:ascii="宋体" w:hAnsi="宋体" w:eastAsia="宋体" w:cs="宋体"/>
                <w:i w:val="0"/>
                <w:iCs w:val="0"/>
                <w:color w:val="000000"/>
                <w:sz w:val="22"/>
                <w:szCs w:val="22"/>
                <w:u w:val="none"/>
              </w:rPr>
            </w:pPr>
          </w:p>
        </w:tc>
      </w:tr>
      <w:tr w14:paraId="7CEB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73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C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2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F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8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E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4,656.01</w:t>
            </w:r>
          </w:p>
        </w:tc>
      </w:tr>
      <w:tr w14:paraId="0126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01041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B33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00084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1498E14">
      <w:pPr>
        <w:widowControl/>
        <w:jc w:val="center"/>
        <w:rPr>
          <w:rFonts w:hint="eastAsia" w:ascii="Times New Roman" w:hAnsi="Times New Roman" w:eastAsia="方正小标宋_GBK" w:cs="Times New Roman"/>
          <w:color w:val="000000"/>
          <w:kern w:val="0"/>
          <w:sz w:val="36"/>
          <w:szCs w:val="36"/>
        </w:rPr>
      </w:pPr>
    </w:p>
    <w:p w14:paraId="1CFD3174">
      <w:pPr>
        <w:widowControl/>
        <w:jc w:val="center"/>
        <w:rPr>
          <w:rFonts w:hint="eastAsia" w:ascii="Times New Roman" w:hAnsi="Times New Roman" w:eastAsia="方正小标宋_GBK" w:cs="Times New Roman"/>
          <w:color w:val="000000"/>
          <w:kern w:val="0"/>
          <w:sz w:val="36"/>
          <w:szCs w:val="36"/>
        </w:rPr>
      </w:pPr>
    </w:p>
    <w:p w14:paraId="717B52B5">
      <w:pPr>
        <w:widowControl/>
        <w:jc w:val="center"/>
        <w:rPr>
          <w:rFonts w:hint="eastAsia" w:ascii="Times New Roman" w:hAnsi="Times New Roman" w:eastAsia="方正小标宋_GBK" w:cs="Times New Roman"/>
          <w:color w:val="000000"/>
          <w:kern w:val="0"/>
          <w:sz w:val="36"/>
          <w:szCs w:val="36"/>
        </w:rPr>
      </w:pPr>
    </w:p>
    <w:p w14:paraId="67175116">
      <w:pPr>
        <w:widowControl/>
        <w:jc w:val="center"/>
        <w:rPr>
          <w:rFonts w:hint="eastAsia" w:ascii="Times New Roman" w:hAnsi="Times New Roman" w:eastAsia="方正小标宋_GBK" w:cs="Times New Roman"/>
          <w:color w:val="000000"/>
          <w:kern w:val="0"/>
          <w:sz w:val="36"/>
          <w:szCs w:val="36"/>
        </w:rPr>
      </w:pPr>
    </w:p>
    <w:p w14:paraId="1684DF30">
      <w:pPr>
        <w:widowControl/>
        <w:jc w:val="center"/>
        <w:rPr>
          <w:rFonts w:hint="eastAsia" w:ascii="Times New Roman" w:hAnsi="Times New Roman" w:eastAsia="方正小标宋_GBK" w:cs="Times New Roman"/>
          <w:color w:val="000000"/>
          <w:kern w:val="0"/>
          <w:sz w:val="36"/>
          <w:szCs w:val="36"/>
        </w:rPr>
      </w:pPr>
    </w:p>
    <w:p w14:paraId="3B22C739">
      <w:pPr>
        <w:widowControl/>
        <w:jc w:val="center"/>
        <w:rPr>
          <w:rFonts w:hint="eastAsia" w:ascii="Times New Roman" w:hAnsi="Times New Roman" w:eastAsia="方正小标宋_GBK" w:cs="Times New Roman"/>
          <w:color w:val="000000"/>
          <w:kern w:val="0"/>
          <w:sz w:val="36"/>
          <w:szCs w:val="36"/>
        </w:rPr>
      </w:pPr>
    </w:p>
    <w:p w14:paraId="65C188E5">
      <w:pPr>
        <w:widowControl/>
        <w:jc w:val="center"/>
        <w:rPr>
          <w:rFonts w:hint="eastAsia" w:ascii="Times New Roman" w:hAnsi="Times New Roman" w:eastAsia="方正小标宋_GBK" w:cs="Times New Roman"/>
          <w:color w:val="000000"/>
          <w:kern w:val="0"/>
          <w:sz w:val="36"/>
          <w:szCs w:val="36"/>
        </w:rPr>
      </w:pPr>
    </w:p>
    <w:p w14:paraId="6EF76F55">
      <w:pPr>
        <w:widowControl/>
        <w:jc w:val="center"/>
        <w:rPr>
          <w:rFonts w:hint="eastAsia" w:ascii="Times New Roman" w:hAnsi="Times New Roman" w:eastAsia="方正小标宋_GBK" w:cs="Times New Roman"/>
          <w:color w:val="000000"/>
          <w:kern w:val="0"/>
          <w:sz w:val="36"/>
          <w:szCs w:val="36"/>
        </w:rPr>
      </w:pPr>
    </w:p>
    <w:p w14:paraId="678B7C6C">
      <w:pPr>
        <w:widowControl/>
        <w:jc w:val="center"/>
        <w:rPr>
          <w:rFonts w:hint="eastAsia" w:ascii="Times New Roman" w:hAnsi="Times New Roman" w:eastAsia="方正小标宋_GBK" w:cs="Times New Roman"/>
          <w:color w:val="000000"/>
          <w:kern w:val="0"/>
          <w:sz w:val="36"/>
          <w:szCs w:val="36"/>
        </w:rPr>
      </w:pPr>
    </w:p>
    <w:p w14:paraId="540FC323">
      <w:pPr>
        <w:widowControl/>
        <w:jc w:val="center"/>
        <w:rPr>
          <w:rFonts w:hint="eastAsia" w:ascii="Times New Roman" w:hAnsi="Times New Roman" w:eastAsia="方正小标宋_GBK" w:cs="Times New Roman"/>
          <w:color w:val="000000"/>
          <w:kern w:val="0"/>
          <w:sz w:val="36"/>
          <w:szCs w:val="36"/>
        </w:rPr>
      </w:pPr>
    </w:p>
    <w:p w14:paraId="220C0000">
      <w:pPr>
        <w:widowControl/>
        <w:jc w:val="center"/>
        <w:rPr>
          <w:rFonts w:hint="eastAsia" w:ascii="Times New Roman" w:hAnsi="Times New Roman" w:eastAsia="方正小标宋_GBK" w:cs="Times New Roman"/>
          <w:color w:val="000000"/>
          <w:kern w:val="0"/>
          <w:sz w:val="36"/>
          <w:szCs w:val="36"/>
        </w:rPr>
      </w:pPr>
    </w:p>
    <w:p w14:paraId="4AC84463">
      <w:pPr>
        <w:widowControl/>
        <w:jc w:val="center"/>
        <w:rPr>
          <w:rFonts w:hint="eastAsia" w:ascii="Times New Roman" w:hAnsi="Times New Roman" w:eastAsia="方正小标宋_GBK" w:cs="Times New Roman"/>
          <w:color w:val="000000"/>
          <w:kern w:val="0"/>
          <w:sz w:val="36"/>
          <w:szCs w:val="36"/>
        </w:rPr>
      </w:pPr>
    </w:p>
    <w:tbl>
      <w:tblPr>
        <w:tblStyle w:val="10"/>
        <w:tblW w:w="15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4396"/>
        <w:gridCol w:w="1628"/>
        <w:gridCol w:w="1629"/>
        <w:gridCol w:w="1039"/>
        <w:gridCol w:w="1039"/>
        <w:gridCol w:w="1039"/>
        <w:gridCol w:w="1039"/>
        <w:gridCol w:w="1634"/>
      </w:tblGrid>
      <w:tr w14:paraId="5619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5900" w:type="dxa"/>
            <w:gridSpan w:val="11"/>
            <w:tcBorders>
              <w:top w:val="nil"/>
              <w:left w:val="nil"/>
              <w:bottom w:val="nil"/>
              <w:right w:val="nil"/>
            </w:tcBorders>
            <w:shd w:val="clear" w:color="auto" w:fill="auto"/>
            <w:noWrap/>
            <w:vAlign w:val="center"/>
          </w:tcPr>
          <w:p w14:paraId="21D194E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6D0B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0" w:type="auto"/>
            <w:tcBorders>
              <w:top w:val="nil"/>
              <w:left w:val="nil"/>
              <w:bottom w:val="nil"/>
              <w:right w:val="nil"/>
            </w:tcBorders>
            <w:shd w:val="clear" w:color="auto" w:fill="auto"/>
            <w:noWrap/>
            <w:vAlign w:val="center"/>
          </w:tcPr>
          <w:p w14:paraId="075036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8F33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C618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AD48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48FF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791F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70C5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7B6B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B77F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B9688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0FE9E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1510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0" w:type="auto"/>
            <w:tcBorders>
              <w:top w:val="nil"/>
              <w:left w:val="nil"/>
              <w:bottom w:val="nil"/>
              <w:right w:val="nil"/>
            </w:tcBorders>
            <w:shd w:val="clear" w:color="auto" w:fill="auto"/>
            <w:noWrap/>
            <w:vAlign w:val="bottom"/>
          </w:tcPr>
          <w:p w14:paraId="3F6111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部门：溆浦县财政局</w:t>
            </w:r>
          </w:p>
        </w:tc>
        <w:tc>
          <w:tcPr>
            <w:tcW w:w="0" w:type="auto"/>
            <w:tcBorders>
              <w:top w:val="nil"/>
              <w:left w:val="nil"/>
              <w:bottom w:val="nil"/>
              <w:right w:val="nil"/>
            </w:tcBorders>
            <w:shd w:val="clear" w:color="auto" w:fill="auto"/>
            <w:noWrap/>
            <w:vAlign w:val="center"/>
          </w:tcPr>
          <w:p w14:paraId="1C6556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BE2A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CEDC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C5BD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FBA7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455A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BD0B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4B63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7C7F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7A264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BD3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C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3A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F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2A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0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90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32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A6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D10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1B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F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7D57">
            <w:pPr>
              <w:jc w:val="center"/>
              <w:rPr>
                <w:rFonts w:hint="eastAsia" w:ascii="宋体" w:hAnsi="宋体" w:eastAsia="宋体" w:cs="宋体"/>
                <w:i w:val="0"/>
                <w:iCs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3549C">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B4E77">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9A783">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0FB1">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F1EB1">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8CB4">
            <w:pPr>
              <w:jc w:val="center"/>
              <w:rPr>
                <w:rFonts w:hint="eastAsia" w:ascii="宋体" w:hAnsi="宋体" w:eastAsia="宋体" w:cs="宋体"/>
                <w:i w:val="0"/>
                <w:iCs w:val="0"/>
                <w:color w:val="000000"/>
                <w:sz w:val="22"/>
                <w:szCs w:val="22"/>
                <w:u w:val="none"/>
              </w:rPr>
            </w:pPr>
          </w:p>
        </w:tc>
      </w:tr>
      <w:tr w14:paraId="32EA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230D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2FE">
            <w:pPr>
              <w:jc w:val="center"/>
              <w:rPr>
                <w:rFonts w:hint="eastAsia" w:ascii="宋体" w:hAnsi="宋体" w:eastAsia="宋体" w:cs="宋体"/>
                <w:i w:val="0"/>
                <w:iCs w:val="0"/>
                <w:color w:val="000000"/>
                <w:sz w:val="22"/>
                <w:szCs w:val="22"/>
                <w:u w:val="none"/>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7563">
            <w:pPr>
              <w:jc w:val="center"/>
              <w:rPr>
                <w:rFonts w:hint="eastAsia" w:ascii="宋体" w:hAnsi="宋体" w:eastAsia="宋体" w:cs="宋体"/>
                <w:i w:val="0"/>
                <w:iCs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0BBD">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AA71">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A6D9">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49E2">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6EAB">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7BD3A">
            <w:pPr>
              <w:jc w:val="center"/>
              <w:rPr>
                <w:rFonts w:hint="eastAsia" w:ascii="宋体" w:hAnsi="宋体" w:eastAsia="宋体" w:cs="宋体"/>
                <w:i w:val="0"/>
                <w:iCs w:val="0"/>
                <w:color w:val="000000"/>
                <w:sz w:val="22"/>
                <w:szCs w:val="22"/>
                <w:u w:val="none"/>
              </w:rPr>
            </w:pPr>
          </w:p>
        </w:tc>
      </w:tr>
      <w:tr w14:paraId="67AD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E9DF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4AC9">
            <w:pPr>
              <w:jc w:val="center"/>
              <w:rPr>
                <w:rFonts w:hint="eastAsia" w:ascii="宋体" w:hAnsi="宋体" w:eastAsia="宋体" w:cs="宋体"/>
                <w:i w:val="0"/>
                <w:iCs w:val="0"/>
                <w:color w:val="000000"/>
                <w:sz w:val="22"/>
                <w:szCs w:val="22"/>
                <w:u w:val="none"/>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F37BB">
            <w:pPr>
              <w:jc w:val="center"/>
              <w:rPr>
                <w:rFonts w:hint="eastAsia" w:ascii="宋体" w:hAnsi="宋体" w:eastAsia="宋体" w:cs="宋体"/>
                <w:i w:val="0"/>
                <w:iCs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4D4D">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5395A">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618F7">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A89B">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7292F">
            <w:pPr>
              <w:jc w:val="center"/>
              <w:rPr>
                <w:rFonts w:hint="eastAsia" w:ascii="宋体" w:hAnsi="宋体" w:eastAsia="宋体" w:cs="宋体"/>
                <w:i w:val="0"/>
                <w:iCs w:val="0"/>
                <w:color w:val="000000"/>
                <w:sz w:val="22"/>
                <w:szCs w:val="22"/>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5607E">
            <w:pPr>
              <w:jc w:val="center"/>
              <w:rPr>
                <w:rFonts w:hint="eastAsia" w:ascii="宋体" w:hAnsi="宋体" w:eastAsia="宋体" w:cs="宋体"/>
                <w:i w:val="0"/>
                <w:iCs w:val="0"/>
                <w:color w:val="000000"/>
                <w:sz w:val="22"/>
                <w:szCs w:val="22"/>
                <w:u w:val="none"/>
              </w:rPr>
            </w:pPr>
          </w:p>
        </w:tc>
      </w:tr>
      <w:tr w14:paraId="21DB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8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5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3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2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0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E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1CE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C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31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01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43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4D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F2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B4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57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38.39</w:t>
            </w:r>
          </w:p>
        </w:tc>
      </w:tr>
      <w:tr w14:paraId="3AD6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D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7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9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7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4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6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E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F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6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38.39</w:t>
            </w:r>
          </w:p>
        </w:tc>
      </w:tr>
      <w:tr w14:paraId="640D1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0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1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D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C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3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C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1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9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E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F5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B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3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7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0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6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B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9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C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66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E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1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4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5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A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3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0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0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93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F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4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D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C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C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B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1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17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F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38.39</w:t>
            </w:r>
          </w:p>
        </w:tc>
      </w:tr>
      <w:tr w14:paraId="3DDB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4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8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B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4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2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F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C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7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E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38.39</w:t>
            </w:r>
          </w:p>
        </w:tc>
      </w:tr>
      <w:tr w14:paraId="39AF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6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A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4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3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1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0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A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3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58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9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8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A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C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2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D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6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D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0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92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0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B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0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0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D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7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1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0E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36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5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3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40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0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0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F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3B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5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F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56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6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9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4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1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F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B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6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8C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F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AC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B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F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B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B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2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1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A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9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A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F8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A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2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7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8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9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0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6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C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1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7D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6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F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3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1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D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8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B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1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E9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6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4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4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B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A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9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8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2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A5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9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0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E1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B8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1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C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D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6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8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22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C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2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A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2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4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4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5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AB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3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E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7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65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0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D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C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1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CC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F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9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C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C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7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A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A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B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8E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9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E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6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5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51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E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5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58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F0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4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6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7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B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5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3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0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4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D5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F0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2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D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2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B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5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B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C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6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C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B9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1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B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E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6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9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1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A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7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C6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1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F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A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7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45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9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D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94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B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CF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A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E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C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E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3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7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1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B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B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2A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8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B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7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B1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9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9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F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2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D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FE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11"/>
            <w:tcBorders>
              <w:top w:val="nil"/>
              <w:left w:val="nil"/>
              <w:bottom w:val="nil"/>
              <w:right w:val="nil"/>
            </w:tcBorders>
            <w:shd w:val="clear" w:color="auto" w:fill="auto"/>
            <w:noWrap/>
            <w:vAlign w:val="center"/>
          </w:tcPr>
          <w:p w14:paraId="17375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4B9D29B4">
      <w:pPr>
        <w:widowControl/>
        <w:jc w:val="center"/>
        <w:rPr>
          <w:rFonts w:hint="eastAsia" w:ascii="Times New Roman" w:hAnsi="Times New Roman" w:eastAsia="方正小标宋_GBK" w:cs="Times New Roman"/>
          <w:color w:val="000000"/>
          <w:kern w:val="0"/>
          <w:sz w:val="36"/>
          <w:szCs w:val="36"/>
        </w:rPr>
      </w:pPr>
    </w:p>
    <w:p w14:paraId="3C161E8C">
      <w:pPr>
        <w:widowControl/>
        <w:jc w:val="center"/>
        <w:rPr>
          <w:rFonts w:hint="eastAsia" w:ascii="Times New Roman" w:hAnsi="Times New Roman" w:eastAsia="方正小标宋_GBK" w:cs="Times New Roman"/>
          <w:color w:val="000000"/>
          <w:kern w:val="0"/>
          <w:sz w:val="36"/>
          <w:szCs w:val="36"/>
        </w:rPr>
      </w:pPr>
    </w:p>
    <w:p w14:paraId="5BF58787">
      <w:pPr>
        <w:widowControl/>
        <w:jc w:val="center"/>
        <w:rPr>
          <w:rFonts w:hint="eastAsia" w:ascii="Times New Roman" w:hAnsi="Times New Roman" w:eastAsia="方正小标宋_GBK" w:cs="Times New Roman"/>
          <w:color w:val="000000"/>
          <w:kern w:val="0"/>
          <w:sz w:val="36"/>
          <w:szCs w:val="36"/>
        </w:rPr>
      </w:pPr>
    </w:p>
    <w:p w14:paraId="4AB27B93">
      <w:pPr>
        <w:widowControl/>
        <w:jc w:val="center"/>
        <w:rPr>
          <w:rFonts w:hint="eastAsia" w:ascii="Times New Roman" w:hAnsi="Times New Roman" w:eastAsia="方正小标宋_GBK" w:cs="Times New Roman"/>
          <w:color w:val="000000"/>
          <w:kern w:val="0"/>
          <w:sz w:val="36"/>
          <w:szCs w:val="36"/>
        </w:rPr>
      </w:pPr>
    </w:p>
    <w:p w14:paraId="5935431D">
      <w:pPr>
        <w:widowControl/>
        <w:jc w:val="center"/>
        <w:rPr>
          <w:rFonts w:hint="eastAsia" w:ascii="Times New Roman" w:hAnsi="Times New Roman" w:eastAsia="方正小标宋_GBK" w:cs="Times New Roman"/>
          <w:color w:val="000000"/>
          <w:kern w:val="0"/>
          <w:sz w:val="36"/>
          <w:szCs w:val="36"/>
        </w:rPr>
      </w:pPr>
    </w:p>
    <w:p w14:paraId="73B07F4F">
      <w:pPr>
        <w:widowControl/>
        <w:jc w:val="center"/>
        <w:rPr>
          <w:rFonts w:hint="eastAsia" w:ascii="Times New Roman" w:hAnsi="Times New Roman" w:eastAsia="方正小标宋_GBK" w:cs="Times New Roman"/>
          <w:color w:val="000000"/>
          <w:kern w:val="0"/>
          <w:sz w:val="36"/>
          <w:szCs w:val="36"/>
        </w:rPr>
      </w:pPr>
    </w:p>
    <w:p w14:paraId="6D2FDA00">
      <w:pPr>
        <w:widowControl/>
        <w:jc w:val="center"/>
        <w:rPr>
          <w:rFonts w:hint="eastAsia" w:ascii="Times New Roman" w:hAnsi="Times New Roman" w:eastAsia="方正小标宋_GBK" w:cs="Times New Roman"/>
          <w:color w:val="000000"/>
          <w:kern w:val="0"/>
          <w:sz w:val="36"/>
          <w:szCs w:val="36"/>
        </w:rPr>
      </w:pPr>
    </w:p>
    <w:p w14:paraId="1CA178E4">
      <w:pPr>
        <w:widowControl/>
        <w:jc w:val="center"/>
        <w:rPr>
          <w:rFonts w:hint="eastAsia" w:ascii="Times New Roman" w:hAnsi="Times New Roman" w:eastAsia="方正小标宋_GBK" w:cs="Times New Roman"/>
          <w:color w:val="000000"/>
          <w:kern w:val="0"/>
          <w:sz w:val="36"/>
          <w:szCs w:val="36"/>
        </w:rPr>
      </w:pPr>
    </w:p>
    <w:p w14:paraId="7F771B99">
      <w:pPr>
        <w:widowControl/>
        <w:jc w:val="center"/>
        <w:rPr>
          <w:rFonts w:hint="eastAsia" w:ascii="Times New Roman" w:hAnsi="Times New Roman" w:eastAsia="方正小标宋_GBK" w:cs="Times New Roman"/>
          <w:color w:val="000000"/>
          <w:kern w:val="0"/>
          <w:sz w:val="36"/>
          <w:szCs w:val="36"/>
        </w:rPr>
      </w:pPr>
    </w:p>
    <w:p w14:paraId="5228AE14">
      <w:pPr>
        <w:widowControl/>
        <w:jc w:val="center"/>
        <w:rPr>
          <w:rFonts w:hint="eastAsia" w:ascii="Times New Roman" w:hAnsi="Times New Roman" w:eastAsia="方正小标宋_GBK" w:cs="Times New Roman"/>
          <w:color w:val="000000"/>
          <w:kern w:val="0"/>
          <w:sz w:val="36"/>
          <w:szCs w:val="36"/>
        </w:rPr>
      </w:pPr>
    </w:p>
    <w:p w14:paraId="70938467">
      <w:pPr>
        <w:widowControl/>
        <w:jc w:val="center"/>
        <w:rPr>
          <w:rFonts w:hint="eastAsia" w:ascii="Times New Roman" w:hAnsi="Times New Roman" w:eastAsia="方正小标宋_GBK" w:cs="Times New Roman"/>
          <w:color w:val="000000"/>
          <w:kern w:val="0"/>
          <w:sz w:val="36"/>
          <w:szCs w:val="36"/>
        </w:rPr>
      </w:pPr>
    </w:p>
    <w:p w14:paraId="2C7CE3E5">
      <w:pPr>
        <w:widowControl/>
        <w:jc w:val="center"/>
        <w:rPr>
          <w:rFonts w:hint="eastAsia" w:ascii="Times New Roman" w:hAnsi="Times New Roman" w:eastAsia="方正小标宋_GBK" w:cs="Times New Roman"/>
          <w:color w:val="000000"/>
          <w:kern w:val="0"/>
          <w:sz w:val="36"/>
          <w:szCs w:val="36"/>
        </w:rPr>
      </w:pPr>
    </w:p>
    <w:p w14:paraId="3D43A979">
      <w:pPr>
        <w:widowControl/>
        <w:jc w:val="center"/>
        <w:rPr>
          <w:rFonts w:hint="eastAsia" w:ascii="Times New Roman" w:hAnsi="Times New Roman" w:eastAsia="方正小标宋_GBK" w:cs="Times New Roman"/>
          <w:color w:val="000000"/>
          <w:kern w:val="0"/>
          <w:sz w:val="36"/>
          <w:szCs w:val="36"/>
        </w:rPr>
      </w:pPr>
    </w:p>
    <w:p w14:paraId="7069D9F8">
      <w:pPr>
        <w:widowControl/>
        <w:jc w:val="center"/>
        <w:rPr>
          <w:rFonts w:hint="eastAsia" w:ascii="Times New Roman" w:hAnsi="Times New Roman" w:eastAsia="方正小标宋_GBK" w:cs="Times New Roman"/>
          <w:color w:val="000000"/>
          <w:kern w:val="0"/>
          <w:sz w:val="36"/>
          <w:szCs w:val="36"/>
        </w:rPr>
      </w:pPr>
    </w:p>
    <w:tbl>
      <w:tblPr>
        <w:tblStyle w:val="10"/>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4396"/>
        <w:gridCol w:w="1678"/>
        <w:gridCol w:w="1678"/>
        <w:gridCol w:w="1414"/>
        <w:gridCol w:w="1147"/>
        <w:gridCol w:w="1147"/>
        <w:gridCol w:w="1800"/>
      </w:tblGrid>
      <w:tr w14:paraId="4103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0E37EF4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5C62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F2F22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F805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9CBD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54FF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0934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FD44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7624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2604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C820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4615D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0658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83CAE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部门：溆浦县财政局</w:t>
            </w:r>
          </w:p>
        </w:tc>
        <w:tc>
          <w:tcPr>
            <w:tcW w:w="0" w:type="auto"/>
            <w:tcBorders>
              <w:top w:val="nil"/>
              <w:left w:val="nil"/>
              <w:bottom w:val="nil"/>
              <w:right w:val="nil"/>
            </w:tcBorders>
            <w:shd w:val="clear" w:color="auto" w:fill="auto"/>
            <w:noWrap/>
            <w:vAlign w:val="center"/>
          </w:tcPr>
          <w:p w14:paraId="4E89FE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C3E6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5FA6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28B1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271A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3745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4E0B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FB53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82EDE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253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5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91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81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B8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49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A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90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D50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9D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A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F8D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2872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3AF3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FD1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1C8A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F40B">
            <w:pPr>
              <w:jc w:val="center"/>
              <w:rPr>
                <w:rFonts w:hint="eastAsia" w:ascii="宋体" w:hAnsi="宋体" w:eastAsia="宋体" w:cs="宋体"/>
                <w:i w:val="0"/>
                <w:iCs w:val="0"/>
                <w:color w:val="000000"/>
                <w:sz w:val="22"/>
                <w:szCs w:val="22"/>
                <w:u w:val="none"/>
              </w:rPr>
            </w:pPr>
          </w:p>
        </w:tc>
      </w:tr>
      <w:tr w14:paraId="7985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794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1BD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96B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2318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DF98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EAB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1BF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E107">
            <w:pPr>
              <w:jc w:val="center"/>
              <w:rPr>
                <w:rFonts w:hint="eastAsia" w:ascii="宋体" w:hAnsi="宋体" w:eastAsia="宋体" w:cs="宋体"/>
                <w:i w:val="0"/>
                <w:iCs w:val="0"/>
                <w:color w:val="000000"/>
                <w:sz w:val="22"/>
                <w:szCs w:val="22"/>
                <w:u w:val="none"/>
              </w:rPr>
            </w:pPr>
          </w:p>
        </w:tc>
      </w:tr>
      <w:tr w14:paraId="1DAF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C977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771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8B2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ECF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B1DC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124A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7A0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59DA">
            <w:pPr>
              <w:jc w:val="center"/>
              <w:rPr>
                <w:rFonts w:hint="eastAsia" w:ascii="宋体" w:hAnsi="宋体" w:eastAsia="宋体" w:cs="宋体"/>
                <w:i w:val="0"/>
                <w:iCs w:val="0"/>
                <w:color w:val="000000"/>
                <w:sz w:val="22"/>
                <w:szCs w:val="22"/>
                <w:u w:val="none"/>
              </w:rPr>
            </w:pPr>
          </w:p>
        </w:tc>
      </w:tr>
      <w:tr w14:paraId="0B7A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6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8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9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3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CFC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D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0C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E2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4,236.33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CB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F1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77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81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5F1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D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7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8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A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8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7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9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8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1A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F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8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8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1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4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2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A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E1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A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E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9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9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D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A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C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7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15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C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8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3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0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1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C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6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9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B0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A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E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4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6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0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C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9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DD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4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C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5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5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9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5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2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DC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A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C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E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A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6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1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8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70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A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8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2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1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C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E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7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E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B8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B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2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4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C1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D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B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D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70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9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5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1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B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5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D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6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E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F1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A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C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6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B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7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C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0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0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08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7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E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8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B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9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0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0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1C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4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B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A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7B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E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C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E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F2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8F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9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F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8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7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5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7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C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0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FB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A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6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4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C8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82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A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34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2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C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B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D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9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33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B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0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F4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B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D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0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42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8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A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1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BA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1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0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B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B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1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F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4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5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CF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D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C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F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4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C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0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2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2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7D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E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E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A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4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BF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8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C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EE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2F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6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0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51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99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E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0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2E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B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25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8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2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9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8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1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5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8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6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64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6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C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5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1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E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A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AB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A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2F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B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4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38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7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F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6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3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4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D7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8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7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6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8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F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8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B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1E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5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1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A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E1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6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0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5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2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C2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46421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09B11405">
      <w:pPr>
        <w:widowControl/>
        <w:jc w:val="center"/>
        <w:rPr>
          <w:rFonts w:hint="eastAsia" w:ascii="Times New Roman" w:hAnsi="Times New Roman" w:eastAsia="方正小标宋_GBK" w:cs="Times New Roman"/>
          <w:color w:val="000000"/>
          <w:kern w:val="0"/>
          <w:sz w:val="36"/>
          <w:szCs w:val="36"/>
        </w:rPr>
      </w:pPr>
    </w:p>
    <w:p w14:paraId="099E2747">
      <w:pPr>
        <w:widowControl/>
        <w:jc w:val="center"/>
        <w:rPr>
          <w:rFonts w:hint="eastAsia" w:ascii="Times New Roman" w:hAnsi="Times New Roman" w:eastAsia="方正小标宋_GBK" w:cs="Times New Roman"/>
          <w:color w:val="000000"/>
          <w:kern w:val="0"/>
          <w:sz w:val="36"/>
          <w:szCs w:val="36"/>
        </w:rPr>
      </w:pPr>
    </w:p>
    <w:p w14:paraId="70772A98">
      <w:pPr>
        <w:widowControl/>
        <w:jc w:val="center"/>
        <w:rPr>
          <w:rFonts w:hint="eastAsia" w:ascii="Times New Roman" w:hAnsi="Times New Roman" w:eastAsia="方正小标宋_GBK" w:cs="Times New Roman"/>
          <w:color w:val="000000"/>
          <w:kern w:val="0"/>
          <w:sz w:val="36"/>
          <w:szCs w:val="36"/>
        </w:rPr>
      </w:pPr>
    </w:p>
    <w:p w14:paraId="4CC2033C">
      <w:pPr>
        <w:widowControl/>
        <w:jc w:val="center"/>
        <w:rPr>
          <w:rFonts w:hint="eastAsia" w:ascii="Times New Roman" w:hAnsi="Times New Roman" w:eastAsia="方正小标宋_GBK" w:cs="Times New Roman"/>
          <w:color w:val="000000"/>
          <w:kern w:val="0"/>
          <w:sz w:val="36"/>
          <w:szCs w:val="36"/>
        </w:rPr>
      </w:pPr>
    </w:p>
    <w:p w14:paraId="3ACC8682">
      <w:pPr>
        <w:widowControl/>
        <w:jc w:val="center"/>
        <w:rPr>
          <w:rFonts w:hint="eastAsia" w:ascii="Times New Roman" w:hAnsi="Times New Roman" w:eastAsia="方正小标宋_GBK" w:cs="Times New Roman"/>
          <w:color w:val="000000"/>
          <w:kern w:val="0"/>
          <w:sz w:val="36"/>
          <w:szCs w:val="36"/>
        </w:rPr>
      </w:pPr>
    </w:p>
    <w:p w14:paraId="372688E0">
      <w:pPr>
        <w:widowControl/>
        <w:jc w:val="center"/>
        <w:rPr>
          <w:rFonts w:hint="eastAsia" w:ascii="Times New Roman" w:hAnsi="Times New Roman" w:eastAsia="方正小标宋_GBK" w:cs="Times New Roman"/>
          <w:color w:val="000000"/>
          <w:kern w:val="0"/>
          <w:sz w:val="36"/>
          <w:szCs w:val="36"/>
        </w:rPr>
      </w:pPr>
    </w:p>
    <w:p w14:paraId="4226C4F5">
      <w:pPr>
        <w:widowControl/>
        <w:jc w:val="center"/>
        <w:rPr>
          <w:rFonts w:hint="eastAsia" w:ascii="Times New Roman" w:hAnsi="Times New Roman" w:eastAsia="方正小标宋_GBK" w:cs="Times New Roman"/>
          <w:color w:val="000000"/>
          <w:kern w:val="0"/>
          <w:sz w:val="36"/>
          <w:szCs w:val="36"/>
        </w:rPr>
      </w:pPr>
    </w:p>
    <w:p w14:paraId="45A1F89B">
      <w:pPr>
        <w:widowControl/>
        <w:jc w:val="center"/>
        <w:rPr>
          <w:rFonts w:hint="eastAsia" w:ascii="Times New Roman" w:hAnsi="Times New Roman" w:eastAsia="方正小标宋_GBK" w:cs="Times New Roman"/>
          <w:color w:val="000000"/>
          <w:kern w:val="0"/>
          <w:sz w:val="36"/>
          <w:szCs w:val="36"/>
        </w:rPr>
      </w:pPr>
    </w:p>
    <w:p w14:paraId="0BCAC31B">
      <w:pPr>
        <w:widowControl/>
        <w:jc w:val="center"/>
        <w:rPr>
          <w:rFonts w:hint="eastAsia" w:ascii="Times New Roman" w:hAnsi="Times New Roman" w:eastAsia="方正小标宋_GBK" w:cs="Times New Roman"/>
          <w:color w:val="000000"/>
          <w:kern w:val="0"/>
          <w:sz w:val="36"/>
          <w:szCs w:val="36"/>
        </w:rPr>
      </w:pPr>
    </w:p>
    <w:p w14:paraId="176BF58B">
      <w:pPr>
        <w:widowControl/>
        <w:jc w:val="center"/>
        <w:rPr>
          <w:rFonts w:hint="eastAsia" w:ascii="Times New Roman" w:hAnsi="Times New Roman" w:eastAsia="方正小标宋_GBK" w:cs="Times New Roman"/>
          <w:color w:val="000000"/>
          <w:kern w:val="0"/>
          <w:sz w:val="36"/>
          <w:szCs w:val="36"/>
        </w:rPr>
      </w:pPr>
    </w:p>
    <w:p w14:paraId="2089A88A">
      <w:pPr>
        <w:widowControl/>
        <w:jc w:val="center"/>
        <w:rPr>
          <w:rFonts w:hint="eastAsia" w:ascii="Times New Roman" w:hAnsi="Times New Roman" w:eastAsia="方正小标宋_GBK" w:cs="Times New Roman"/>
          <w:color w:val="000000"/>
          <w:kern w:val="0"/>
          <w:sz w:val="36"/>
          <w:szCs w:val="36"/>
        </w:rPr>
      </w:pPr>
    </w:p>
    <w:p w14:paraId="3DDEBC44">
      <w:pPr>
        <w:widowControl/>
        <w:jc w:val="center"/>
        <w:rPr>
          <w:rFonts w:hint="eastAsia" w:ascii="Times New Roman" w:hAnsi="Times New Roman" w:eastAsia="方正小标宋_GBK" w:cs="Times New Roman"/>
          <w:color w:val="000000"/>
          <w:kern w:val="0"/>
          <w:sz w:val="36"/>
          <w:szCs w:val="36"/>
        </w:rPr>
      </w:pPr>
    </w:p>
    <w:p w14:paraId="71E81E7D">
      <w:pPr>
        <w:widowControl/>
        <w:jc w:val="center"/>
        <w:rPr>
          <w:rFonts w:hint="eastAsia" w:ascii="Times New Roman" w:hAnsi="Times New Roman" w:eastAsia="方正小标宋_GBK" w:cs="Times New Roman"/>
          <w:color w:val="000000"/>
          <w:kern w:val="0"/>
          <w:sz w:val="36"/>
          <w:szCs w:val="36"/>
        </w:rPr>
      </w:pPr>
    </w:p>
    <w:p w14:paraId="13F03239">
      <w:pPr>
        <w:widowControl/>
        <w:jc w:val="center"/>
        <w:rPr>
          <w:rFonts w:hint="eastAsia" w:ascii="Times New Roman" w:hAnsi="Times New Roman" w:eastAsia="方正小标宋_GBK" w:cs="Times New Roman"/>
          <w:color w:val="000000"/>
          <w:kern w:val="0"/>
          <w:sz w:val="36"/>
          <w:szCs w:val="36"/>
        </w:rPr>
      </w:pPr>
    </w:p>
    <w:tbl>
      <w:tblPr>
        <w:tblStyle w:val="10"/>
        <w:tblW w:w="15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2"/>
        <w:gridCol w:w="525"/>
        <w:gridCol w:w="1392"/>
        <w:gridCol w:w="3969"/>
        <w:gridCol w:w="525"/>
        <w:gridCol w:w="1187"/>
        <w:gridCol w:w="1392"/>
        <w:gridCol w:w="1028"/>
        <w:gridCol w:w="1860"/>
      </w:tblGrid>
      <w:tr w14:paraId="5D98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560" w:type="dxa"/>
            <w:gridSpan w:val="9"/>
            <w:tcBorders>
              <w:top w:val="nil"/>
              <w:left w:val="nil"/>
              <w:bottom w:val="nil"/>
              <w:right w:val="nil"/>
            </w:tcBorders>
            <w:shd w:val="clear" w:color="auto" w:fill="auto"/>
            <w:noWrap/>
            <w:vAlign w:val="center"/>
          </w:tcPr>
          <w:p w14:paraId="1A9CDAD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7C29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nil"/>
              <w:bottom w:val="nil"/>
              <w:right w:val="nil"/>
            </w:tcBorders>
            <w:shd w:val="clear" w:color="auto" w:fill="auto"/>
            <w:noWrap/>
            <w:vAlign w:val="center"/>
          </w:tcPr>
          <w:p w14:paraId="2C41F3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2818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B99B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01B9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46A3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D96A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F0DF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364B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6BB4A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72B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nil"/>
              <w:bottom w:val="nil"/>
              <w:right w:val="nil"/>
            </w:tcBorders>
            <w:shd w:val="clear" w:color="auto" w:fill="auto"/>
            <w:noWrap/>
            <w:vAlign w:val="bottom"/>
          </w:tcPr>
          <w:p w14:paraId="757173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部门：溆浦县财政局</w:t>
            </w:r>
          </w:p>
        </w:tc>
        <w:tc>
          <w:tcPr>
            <w:tcW w:w="0" w:type="auto"/>
            <w:tcBorders>
              <w:top w:val="nil"/>
              <w:left w:val="nil"/>
              <w:bottom w:val="nil"/>
              <w:right w:val="nil"/>
            </w:tcBorders>
            <w:shd w:val="clear" w:color="auto" w:fill="auto"/>
            <w:noWrap/>
            <w:vAlign w:val="center"/>
          </w:tcPr>
          <w:p w14:paraId="28CEAB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BC4A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3B19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842C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FA6B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BF87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2D8E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5F440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9D3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1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1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6F1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90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03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D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47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D6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A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D5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81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46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87E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7AC5">
            <w:pPr>
              <w:jc w:val="center"/>
              <w:rPr>
                <w:rFonts w:hint="eastAsia" w:ascii="宋体" w:hAnsi="宋体" w:eastAsia="宋体" w:cs="宋体"/>
                <w:i w:val="0"/>
                <w:iCs w:val="0"/>
                <w:color w:val="000000"/>
                <w:sz w:val="22"/>
                <w:szCs w:val="22"/>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6890">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43C1">
            <w:pPr>
              <w:jc w:val="center"/>
              <w:rPr>
                <w:rFonts w:hint="eastAsia" w:ascii="宋体" w:hAnsi="宋体" w:eastAsia="宋体" w:cs="宋体"/>
                <w:i w:val="0"/>
                <w:iCs w:val="0"/>
                <w:color w:val="000000"/>
                <w:sz w:val="22"/>
                <w:szCs w:val="22"/>
                <w:u w:val="none"/>
              </w:rPr>
            </w:pPr>
          </w:p>
        </w:tc>
        <w:tc>
          <w:tcPr>
            <w:tcW w:w="3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2702">
            <w:pPr>
              <w:jc w:val="center"/>
              <w:rPr>
                <w:rFonts w:hint="eastAsia" w:ascii="宋体" w:hAnsi="宋体" w:eastAsia="宋体" w:cs="宋体"/>
                <w:i w:val="0"/>
                <w:iCs w:val="0"/>
                <w:color w:val="000000"/>
                <w:sz w:val="22"/>
                <w:szCs w:val="22"/>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728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7125">
            <w:pPr>
              <w:jc w:val="center"/>
              <w:rPr>
                <w:rFonts w:hint="eastAsia" w:ascii="宋体" w:hAnsi="宋体" w:eastAsia="宋体" w:cs="宋体"/>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29E23">
            <w:pPr>
              <w:jc w:val="center"/>
              <w:rPr>
                <w:rFonts w:hint="eastAsia" w:ascii="宋体" w:hAnsi="宋体" w:eastAsia="宋体" w:cs="宋体"/>
                <w:i w:val="0"/>
                <w:iCs w:val="0"/>
                <w:color w:val="000000"/>
                <w:sz w:val="22"/>
                <w:szCs w:val="22"/>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D518">
            <w:pPr>
              <w:jc w:val="center"/>
              <w:rPr>
                <w:rFonts w:hint="eastAsia" w:ascii="宋体" w:hAnsi="宋体" w:eastAsia="宋体" w:cs="宋体"/>
                <w:i w:val="0"/>
                <w:iCs w:val="0"/>
                <w:color w:val="000000"/>
                <w:sz w:val="22"/>
                <w:szCs w:val="22"/>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D484">
            <w:pPr>
              <w:jc w:val="center"/>
              <w:rPr>
                <w:rFonts w:hint="eastAsia" w:ascii="宋体" w:hAnsi="宋体" w:eastAsia="宋体" w:cs="宋体"/>
                <w:i w:val="0"/>
                <w:iCs w:val="0"/>
                <w:color w:val="000000"/>
                <w:sz w:val="22"/>
                <w:szCs w:val="22"/>
                <w:u w:val="none"/>
              </w:rPr>
            </w:pPr>
          </w:p>
        </w:tc>
      </w:tr>
      <w:tr w14:paraId="7AB2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4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2E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2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A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B9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E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6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9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9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69A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D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F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8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7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7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6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83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D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2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A0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D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4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7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7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8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00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F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4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F7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0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8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B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6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8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99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9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3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0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96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488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E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66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0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2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3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B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3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E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71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3F7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2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06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5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0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C7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2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4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A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8F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B8A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E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39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5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D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1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D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7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79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55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2D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5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E0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A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0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D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1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A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0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86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A93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D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4C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C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9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8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0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3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5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9C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4DA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F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57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A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F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4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F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D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5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22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9B3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4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1B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2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6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F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4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5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9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F5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CBB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1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A5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6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D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B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2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E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E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DD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C62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D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6B9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D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1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2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4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8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1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97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E2A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A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D9A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F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F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4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E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A5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1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8F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1F7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3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64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2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F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A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0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5B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00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CF5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3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BA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8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C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B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3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9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72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2AA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D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62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4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F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4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6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6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7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F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96B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8E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4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C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4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D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D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0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6D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75A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2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86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5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7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28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9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6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A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1D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FB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7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0DF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0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7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A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F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3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F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72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D62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C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EA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8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C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3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7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C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6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4B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DB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C3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6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9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3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3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8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D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CE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8FD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D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F2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2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1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3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E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9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55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79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618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28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8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6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5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6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7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B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F6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272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A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4B9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6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3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3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6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6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B3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30C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5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13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A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9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C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2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B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7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B4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962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0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67F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8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7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3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D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D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AE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17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2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8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8C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2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A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C5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A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61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7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6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9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E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6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75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3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3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5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80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D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1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B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820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EA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4A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50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E8C7">
            <w:pPr>
              <w:jc w:val="right"/>
              <w:rPr>
                <w:rFonts w:hint="eastAsia" w:ascii="宋体" w:hAnsi="宋体" w:eastAsia="宋体" w:cs="宋体"/>
                <w:i w:val="0"/>
                <w:iCs w:val="0"/>
                <w:color w:val="000000"/>
                <w:sz w:val="22"/>
                <w:szCs w:val="22"/>
                <w:u w:val="none"/>
              </w:rPr>
            </w:pPr>
          </w:p>
        </w:tc>
      </w:tr>
      <w:tr w14:paraId="5F26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F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B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5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40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B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1B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B5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EF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EF87">
            <w:pPr>
              <w:jc w:val="right"/>
              <w:rPr>
                <w:rFonts w:hint="eastAsia" w:ascii="宋体" w:hAnsi="宋体" w:eastAsia="宋体" w:cs="宋体"/>
                <w:i w:val="0"/>
                <w:iCs w:val="0"/>
                <w:color w:val="000000"/>
                <w:sz w:val="22"/>
                <w:szCs w:val="22"/>
                <w:u w:val="none"/>
              </w:rPr>
            </w:pPr>
          </w:p>
        </w:tc>
      </w:tr>
      <w:tr w14:paraId="2886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A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0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9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8F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B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02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9E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78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3888">
            <w:pPr>
              <w:jc w:val="right"/>
              <w:rPr>
                <w:rFonts w:hint="eastAsia" w:ascii="宋体" w:hAnsi="宋体" w:eastAsia="宋体" w:cs="宋体"/>
                <w:i w:val="0"/>
                <w:iCs w:val="0"/>
                <w:color w:val="000000"/>
                <w:sz w:val="22"/>
                <w:szCs w:val="22"/>
                <w:u w:val="none"/>
              </w:rPr>
            </w:pPr>
          </w:p>
        </w:tc>
      </w:tr>
      <w:tr w14:paraId="00E3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3F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8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9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F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7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D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F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E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A6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62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gridSpan w:val="8"/>
            <w:tcBorders>
              <w:top w:val="nil"/>
              <w:left w:val="nil"/>
              <w:bottom w:val="nil"/>
              <w:right w:val="nil"/>
            </w:tcBorders>
            <w:shd w:val="clear" w:color="auto" w:fill="auto"/>
            <w:noWrap/>
            <w:vAlign w:val="center"/>
          </w:tcPr>
          <w:p w14:paraId="5AE56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292D41CE">
            <w:pPr>
              <w:jc w:val="left"/>
              <w:rPr>
                <w:rFonts w:hint="eastAsia" w:ascii="宋体" w:hAnsi="宋体" w:eastAsia="宋体" w:cs="宋体"/>
                <w:i w:val="0"/>
                <w:iCs w:val="0"/>
                <w:color w:val="000000"/>
                <w:sz w:val="20"/>
                <w:szCs w:val="20"/>
                <w:u w:val="none"/>
              </w:rPr>
            </w:pPr>
          </w:p>
        </w:tc>
      </w:tr>
    </w:tbl>
    <w:p w14:paraId="460D6221">
      <w:pPr>
        <w:widowControl/>
        <w:jc w:val="center"/>
        <w:rPr>
          <w:rFonts w:hint="eastAsia" w:ascii="Times New Roman" w:hAnsi="Times New Roman" w:eastAsia="方正小标宋_GBK" w:cs="Times New Roman"/>
          <w:color w:val="000000"/>
          <w:kern w:val="0"/>
          <w:sz w:val="36"/>
          <w:szCs w:val="36"/>
        </w:rPr>
      </w:pPr>
    </w:p>
    <w:p w14:paraId="2397E2B7">
      <w:pPr>
        <w:widowControl/>
        <w:jc w:val="center"/>
        <w:rPr>
          <w:rFonts w:hint="eastAsia" w:ascii="Times New Roman" w:hAnsi="Times New Roman" w:eastAsia="方正小标宋_GBK" w:cs="Times New Roman"/>
          <w:color w:val="000000"/>
          <w:kern w:val="0"/>
          <w:sz w:val="36"/>
          <w:szCs w:val="36"/>
        </w:rPr>
      </w:pPr>
    </w:p>
    <w:p w14:paraId="03FB7381">
      <w:pPr>
        <w:widowControl/>
        <w:jc w:val="center"/>
        <w:rPr>
          <w:rFonts w:hint="eastAsia" w:ascii="Times New Roman" w:hAnsi="Times New Roman" w:eastAsia="方正小标宋_GBK" w:cs="Times New Roman"/>
          <w:color w:val="000000"/>
          <w:kern w:val="0"/>
          <w:sz w:val="36"/>
          <w:szCs w:val="36"/>
        </w:rPr>
      </w:pPr>
    </w:p>
    <w:p w14:paraId="66B5ABA5">
      <w:pPr>
        <w:widowControl/>
        <w:jc w:val="center"/>
        <w:rPr>
          <w:rFonts w:hint="eastAsia" w:ascii="Times New Roman" w:hAnsi="Times New Roman" w:eastAsia="方正小标宋_GBK" w:cs="Times New Roman"/>
          <w:color w:val="000000"/>
          <w:kern w:val="0"/>
          <w:sz w:val="36"/>
          <w:szCs w:val="36"/>
        </w:rPr>
      </w:pPr>
    </w:p>
    <w:p w14:paraId="41074602">
      <w:pPr>
        <w:widowControl/>
        <w:jc w:val="center"/>
        <w:rPr>
          <w:rFonts w:hint="eastAsia" w:ascii="Times New Roman" w:hAnsi="Times New Roman" w:eastAsia="方正小标宋_GBK" w:cs="Times New Roman"/>
          <w:color w:val="000000"/>
          <w:kern w:val="0"/>
          <w:sz w:val="36"/>
          <w:szCs w:val="36"/>
        </w:rPr>
      </w:pPr>
    </w:p>
    <w:p w14:paraId="3A8604FD">
      <w:pPr>
        <w:widowControl/>
        <w:jc w:val="center"/>
        <w:rPr>
          <w:rFonts w:hint="eastAsia" w:ascii="Times New Roman" w:hAnsi="Times New Roman" w:eastAsia="方正小标宋_GBK" w:cs="Times New Roman"/>
          <w:color w:val="000000"/>
          <w:kern w:val="0"/>
          <w:sz w:val="36"/>
          <w:szCs w:val="36"/>
        </w:rPr>
      </w:pPr>
    </w:p>
    <w:p w14:paraId="478D5AE0">
      <w:pPr>
        <w:widowControl/>
        <w:jc w:val="center"/>
        <w:rPr>
          <w:rFonts w:hint="eastAsia" w:ascii="Times New Roman" w:hAnsi="Times New Roman" w:eastAsia="方正小标宋_GBK" w:cs="Times New Roman"/>
          <w:color w:val="000000"/>
          <w:kern w:val="0"/>
          <w:sz w:val="36"/>
          <w:szCs w:val="36"/>
        </w:rPr>
      </w:pPr>
    </w:p>
    <w:p w14:paraId="6F10BF9E">
      <w:pPr>
        <w:widowControl/>
        <w:jc w:val="center"/>
        <w:rPr>
          <w:rFonts w:hint="eastAsia" w:ascii="Times New Roman" w:hAnsi="Times New Roman" w:eastAsia="方正小标宋_GBK" w:cs="Times New Roman"/>
          <w:color w:val="000000"/>
          <w:kern w:val="0"/>
          <w:sz w:val="36"/>
          <w:szCs w:val="36"/>
        </w:rPr>
      </w:pPr>
    </w:p>
    <w:p w14:paraId="4C820C76">
      <w:pPr>
        <w:widowControl/>
        <w:jc w:val="center"/>
        <w:rPr>
          <w:rFonts w:hint="eastAsia" w:ascii="Times New Roman" w:hAnsi="Times New Roman" w:eastAsia="方正小标宋_GBK" w:cs="Times New Roman"/>
          <w:color w:val="000000"/>
          <w:kern w:val="0"/>
          <w:sz w:val="36"/>
          <w:szCs w:val="36"/>
        </w:rPr>
      </w:pPr>
    </w:p>
    <w:p w14:paraId="6A43831B">
      <w:pPr>
        <w:widowControl/>
        <w:jc w:val="center"/>
        <w:rPr>
          <w:rFonts w:hint="eastAsia" w:ascii="Times New Roman" w:hAnsi="Times New Roman" w:eastAsia="方正小标宋_GBK" w:cs="Times New Roman"/>
          <w:color w:val="000000"/>
          <w:kern w:val="0"/>
          <w:sz w:val="36"/>
          <w:szCs w:val="36"/>
        </w:rPr>
      </w:pPr>
    </w:p>
    <w:p w14:paraId="1095ED4D">
      <w:pPr>
        <w:widowControl/>
        <w:jc w:val="center"/>
        <w:rPr>
          <w:rFonts w:hint="eastAsia" w:ascii="Times New Roman" w:hAnsi="Times New Roman" w:eastAsia="方正小标宋_GBK" w:cs="Times New Roman"/>
          <w:color w:val="000000"/>
          <w:kern w:val="0"/>
          <w:sz w:val="36"/>
          <w:szCs w:val="36"/>
        </w:rPr>
      </w:pPr>
    </w:p>
    <w:tbl>
      <w:tblPr>
        <w:tblStyle w:val="10"/>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4396"/>
        <w:gridCol w:w="1418"/>
        <w:gridCol w:w="1418"/>
        <w:gridCol w:w="1979"/>
      </w:tblGrid>
      <w:tr w14:paraId="37EF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25832C74">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114B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87466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A1CF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AB9C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50DA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E8EC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38C6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B3B5D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3CDB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295FD9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部门：溆浦县财政局</w:t>
            </w:r>
          </w:p>
        </w:tc>
        <w:tc>
          <w:tcPr>
            <w:tcW w:w="0" w:type="auto"/>
            <w:tcBorders>
              <w:top w:val="nil"/>
              <w:left w:val="nil"/>
              <w:bottom w:val="nil"/>
              <w:right w:val="nil"/>
            </w:tcBorders>
            <w:shd w:val="clear" w:color="auto" w:fill="auto"/>
            <w:noWrap/>
            <w:vAlign w:val="center"/>
          </w:tcPr>
          <w:p w14:paraId="5E43A2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3D38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C124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B13A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310A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97CA3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EE7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D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D8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23A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69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4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5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21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773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B28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C1C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0CD98">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1BFA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47E0">
            <w:pPr>
              <w:jc w:val="center"/>
              <w:rPr>
                <w:rFonts w:hint="eastAsia" w:ascii="宋体" w:hAnsi="宋体" w:eastAsia="宋体" w:cs="宋体"/>
                <w:i w:val="0"/>
                <w:iCs w:val="0"/>
                <w:color w:val="000000"/>
                <w:sz w:val="22"/>
                <w:szCs w:val="22"/>
                <w:u w:val="none"/>
              </w:rPr>
            </w:pPr>
          </w:p>
        </w:tc>
      </w:tr>
      <w:tr w14:paraId="0F74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D14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653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8B41">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CE5E">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4B44">
            <w:pPr>
              <w:jc w:val="center"/>
              <w:rPr>
                <w:rFonts w:hint="eastAsia" w:ascii="宋体" w:hAnsi="宋体" w:eastAsia="宋体" w:cs="宋体"/>
                <w:i w:val="0"/>
                <w:iCs w:val="0"/>
                <w:color w:val="000000"/>
                <w:sz w:val="22"/>
                <w:szCs w:val="22"/>
                <w:u w:val="none"/>
              </w:rPr>
            </w:pPr>
          </w:p>
        </w:tc>
      </w:tr>
      <w:tr w14:paraId="1AAD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8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7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6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A05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7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A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DB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4,197.94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F0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419.68</w:t>
            </w:r>
          </w:p>
        </w:tc>
      </w:tr>
      <w:tr w14:paraId="778C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2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3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5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1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1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419.68</w:t>
            </w:r>
          </w:p>
        </w:tc>
      </w:tr>
      <w:tr w14:paraId="36DA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D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F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5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47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55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27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D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D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3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D1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8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D3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0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C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7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4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B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D3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C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E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4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3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419.68</w:t>
            </w:r>
          </w:p>
        </w:tc>
      </w:tr>
      <w:tr w14:paraId="7A66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A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3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9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3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DD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235.04</w:t>
            </w:r>
          </w:p>
        </w:tc>
      </w:tr>
      <w:tr w14:paraId="3B18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E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B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3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D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5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184.64</w:t>
            </w:r>
          </w:p>
        </w:tc>
      </w:tr>
      <w:tr w14:paraId="74DE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C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B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2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C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6D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F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C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6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E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64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9E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D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6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F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6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5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82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2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E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C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5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4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11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5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6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0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2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D9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1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F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D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4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6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33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9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B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B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F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EF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C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7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26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7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E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78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2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7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4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3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A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F5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6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9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8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2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B5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E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6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9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E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C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A4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C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0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3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5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3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D5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C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6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9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B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61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C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5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8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3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3B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6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2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4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2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7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9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B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1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0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0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2D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C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8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E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9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D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E9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3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F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2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7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2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32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5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A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C5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5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3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B3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7F882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2C49D19">
      <w:pPr>
        <w:widowControl/>
        <w:jc w:val="center"/>
        <w:rPr>
          <w:rFonts w:hint="eastAsia" w:ascii="Times New Roman" w:hAnsi="Times New Roman" w:eastAsia="方正小标宋_GBK" w:cs="Times New Roman"/>
          <w:color w:val="000000"/>
          <w:kern w:val="0"/>
          <w:sz w:val="36"/>
          <w:szCs w:val="36"/>
        </w:rPr>
      </w:pPr>
    </w:p>
    <w:p w14:paraId="59A06363">
      <w:pPr>
        <w:widowControl/>
        <w:jc w:val="center"/>
        <w:rPr>
          <w:rFonts w:hint="eastAsia" w:ascii="Times New Roman" w:hAnsi="Times New Roman" w:eastAsia="方正小标宋_GBK" w:cs="Times New Roman"/>
          <w:color w:val="000000"/>
          <w:kern w:val="0"/>
          <w:sz w:val="36"/>
          <w:szCs w:val="36"/>
        </w:rPr>
      </w:pPr>
    </w:p>
    <w:p w14:paraId="740FE30F">
      <w:pPr>
        <w:widowControl/>
        <w:jc w:val="center"/>
        <w:rPr>
          <w:rFonts w:hint="eastAsia" w:ascii="Times New Roman" w:hAnsi="Times New Roman" w:eastAsia="方正小标宋_GBK" w:cs="Times New Roman"/>
          <w:color w:val="000000"/>
          <w:kern w:val="0"/>
          <w:sz w:val="36"/>
          <w:szCs w:val="36"/>
        </w:rPr>
      </w:pPr>
    </w:p>
    <w:p w14:paraId="55BCA98B">
      <w:pPr>
        <w:widowControl/>
        <w:jc w:val="center"/>
        <w:rPr>
          <w:rFonts w:hint="eastAsia" w:ascii="Times New Roman" w:hAnsi="Times New Roman" w:eastAsia="方正小标宋_GBK" w:cs="Times New Roman"/>
          <w:color w:val="000000"/>
          <w:kern w:val="0"/>
          <w:sz w:val="36"/>
          <w:szCs w:val="36"/>
        </w:rPr>
      </w:pPr>
    </w:p>
    <w:p w14:paraId="436383FE">
      <w:pPr>
        <w:widowControl/>
        <w:jc w:val="center"/>
        <w:rPr>
          <w:rFonts w:hint="eastAsia" w:ascii="Times New Roman" w:hAnsi="Times New Roman" w:eastAsia="方正小标宋_GBK" w:cs="Times New Roman"/>
          <w:color w:val="000000"/>
          <w:kern w:val="0"/>
          <w:sz w:val="36"/>
          <w:szCs w:val="36"/>
        </w:rPr>
      </w:pPr>
    </w:p>
    <w:p w14:paraId="064E0F41">
      <w:pPr>
        <w:widowControl/>
        <w:jc w:val="center"/>
        <w:rPr>
          <w:rFonts w:hint="eastAsia" w:ascii="Times New Roman" w:hAnsi="Times New Roman" w:eastAsia="方正小标宋_GBK" w:cs="Times New Roman"/>
          <w:color w:val="000000"/>
          <w:kern w:val="0"/>
          <w:sz w:val="36"/>
          <w:szCs w:val="36"/>
        </w:rPr>
      </w:pPr>
    </w:p>
    <w:p w14:paraId="66B020DA">
      <w:pPr>
        <w:widowControl/>
        <w:jc w:val="center"/>
        <w:rPr>
          <w:rFonts w:hint="eastAsia" w:ascii="Times New Roman" w:hAnsi="Times New Roman" w:eastAsia="方正小标宋_GBK" w:cs="Times New Roman"/>
          <w:color w:val="000000"/>
          <w:kern w:val="0"/>
          <w:sz w:val="36"/>
          <w:szCs w:val="36"/>
        </w:rPr>
      </w:pPr>
    </w:p>
    <w:p w14:paraId="2B714132">
      <w:pPr>
        <w:widowControl/>
        <w:jc w:val="center"/>
        <w:rPr>
          <w:rFonts w:hint="eastAsia" w:ascii="Times New Roman" w:hAnsi="Times New Roman" w:eastAsia="方正小标宋_GBK" w:cs="Times New Roman"/>
          <w:color w:val="000000"/>
          <w:kern w:val="0"/>
          <w:sz w:val="36"/>
          <w:szCs w:val="36"/>
        </w:rPr>
      </w:pPr>
    </w:p>
    <w:p w14:paraId="2AC92BF5">
      <w:pPr>
        <w:widowControl/>
        <w:jc w:val="center"/>
        <w:rPr>
          <w:rFonts w:hint="eastAsia" w:ascii="Times New Roman" w:hAnsi="Times New Roman" w:eastAsia="方正小标宋_GBK" w:cs="Times New Roman"/>
          <w:color w:val="000000"/>
          <w:kern w:val="0"/>
          <w:sz w:val="36"/>
          <w:szCs w:val="36"/>
        </w:rPr>
      </w:pPr>
    </w:p>
    <w:p w14:paraId="4776714B">
      <w:pPr>
        <w:widowControl/>
        <w:jc w:val="center"/>
        <w:rPr>
          <w:rFonts w:hint="eastAsia" w:ascii="Times New Roman" w:hAnsi="Times New Roman" w:eastAsia="方正小标宋_GBK" w:cs="Times New Roman"/>
          <w:color w:val="000000"/>
          <w:kern w:val="0"/>
          <w:sz w:val="36"/>
          <w:szCs w:val="36"/>
        </w:rPr>
      </w:pPr>
    </w:p>
    <w:p w14:paraId="34B56BE3">
      <w:pPr>
        <w:widowControl/>
        <w:jc w:val="center"/>
        <w:rPr>
          <w:rFonts w:hint="eastAsia" w:ascii="Times New Roman" w:hAnsi="Times New Roman" w:eastAsia="方正小标宋_GBK" w:cs="Times New Roman"/>
          <w:color w:val="000000"/>
          <w:kern w:val="0"/>
          <w:sz w:val="36"/>
          <w:szCs w:val="36"/>
        </w:rPr>
      </w:pPr>
    </w:p>
    <w:p w14:paraId="08302BA8">
      <w:pPr>
        <w:widowControl/>
        <w:jc w:val="center"/>
        <w:rPr>
          <w:rFonts w:hint="eastAsia" w:ascii="Times New Roman" w:hAnsi="Times New Roman" w:eastAsia="方正小标宋_GBK" w:cs="Times New Roman"/>
          <w:color w:val="000000"/>
          <w:kern w:val="0"/>
          <w:sz w:val="36"/>
          <w:szCs w:val="36"/>
        </w:rPr>
      </w:pPr>
    </w:p>
    <w:p w14:paraId="20D0B24B">
      <w:pPr>
        <w:widowControl/>
        <w:jc w:val="center"/>
        <w:rPr>
          <w:rFonts w:hint="eastAsia" w:ascii="Times New Roman" w:hAnsi="Times New Roman" w:eastAsia="方正小标宋_GBK" w:cs="Times New Roman"/>
          <w:color w:val="000000"/>
          <w:kern w:val="0"/>
          <w:sz w:val="36"/>
          <w:szCs w:val="36"/>
        </w:rPr>
      </w:pPr>
    </w:p>
    <w:p w14:paraId="30F2E044">
      <w:pPr>
        <w:widowControl/>
        <w:jc w:val="center"/>
        <w:rPr>
          <w:rFonts w:hint="eastAsia" w:ascii="Times New Roman" w:hAnsi="Times New Roman" w:eastAsia="方正小标宋_GBK" w:cs="Times New Roman"/>
          <w:color w:val="000000"/>
          <w:kern w:val="0"/>
          <w:sz w:val="36"/>
          <w:szCs w:val="36"/>
        </w:rPr>
      </w:pPr>
    </w:p>
    <w:tbl>
      <w:tblPr>
        <w:tblStyle w:val="10"/>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4"/>
        <w:gridCol w:w="2660"/>
        <w:gridCol w:w="1275"/>
        <w:gridCol w:w="1128"/>
        <w:gridCol w:w="2022"/>
        <w:gridCol w:w="1410"/>
        <w:gridCol w:w="1020"/>
        <w:gridCol w:w="3660"/>
        <w:gridCol w:w="1432"/>
      </w:tblGrid>
      <w:tr w14:paraId="324B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5521" w:type="dxa"/>
            <w:gridSpan w:val="9"/>
            <w:tcBorders>
              <w:top w:val="nil"/>
              <w:left w:val="nil"/>
              <w:bottom w:val="nil"/>
              <w:right w:val="nil"/>
            </w:tcBorders>
            <w:shd w:val="clear" w:color="auto" w:fill="auto"/>
            <w:noWrap/>
            <w:vAlign w:val="center"/>
          </w:tcPr>
          <w:p w14:paraId="259B4FA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0C89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914" w:type="dxa"/>
            <w:tcBorders>
              <w:top w:val="nil"/>
              <w:left w:val="nil"/>
              <w:bottom w:val="nil"/>
              <w:right w:val="nil"/>
            </w:tcBorders>
            <w:shd w:val="clear" w:color="auto" w:fill="auto"/>
            <w:noWrap/>
            <w:vAlign w:val="center"/>
          </w:tcPr>
          <w:p w14:paraId="7CBDE1E9">
            <w:pPr>
              <w:rPr>
                <w:rFonts w:hint="eastAsia" w:ascii="宋体" w:hAnsi="宋体" w:eastAsia="宋体" w:cs="宋体"/>
                <w:i w:val="0"/>
                <w:iCs w:val="0"/>
                <w:color w:val="000000"/>
                <w:sz w:val="22"/>
                <w:szCs w:val="22"/>
                <w:u w:val="none"/>
              </w:rPr>
            </w:pPr>
          </w:p>
        </w:tc>
        <w:tc>
          <w:tcPr>
            <w:tcW w:w="2660" w:type="dxa"/>
            <w:tcBorders>
              <w:top w:val="nil"/>
              <w:left w:val="nil"/>
              <w:bottom w:val="nil"/>
              <w:right w:val="nil"/>
            </w:tcBorders>
            <w:shd w:val="clear" w:color="auto" w:fill="auto"/>
            <w:noWrap/>
            <w:vAlign w:val="center"/>
          </w:tcPr>
          <w:p w14:paraId="005A299F">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noWrap/>
            <w:vAlign w:val="center"/>
          </w:tcPr>
          <w:p w14:paraId="35620579">
            <w:pPr>
              <w:rPr>
                <w:rFonts w:hint="eastAsia" w:ascii="宋体" w:hAnsi="宋体" w:eastAsia="宋体" w:cs="宋体"/>
                <w:i w:val="0"/>
                <w:iCs w:val="0"/>
                <w:color w:val="000000"/>
                <w:sz w:val="22"/>
                <w:szCs w:val="22"/>
                <w:u w:val="none"/>
              </w:rPr>
            </w:pPr>
          </w:p>
        </w:tc>
        <w:tc>
          <w:tcPr>
            <w:tcW w:w="1128" w:type="dxa"/>
            <w:tcBorders>
              <w:top w:val="nil"/>
              <w:left w:val="nil"/>
              <w:bottom w:val="nil"/>
              <w:right w:val="nil"/>
            </w:tcBorders>
            <w:shd w:val="clear" w:color="auto" w:fill="auto"/>
            <w:noWrap/>
            <w:vAlign w:val="center"/>
          </w:tcPr>
          <w:p w14:paraId="00EE855A">
            <w:pPr>
              <w:rPr>
                <w:rFonts w:hint="eastAsia" w:ascii="宋体" w:hAnsi="宋体" w:eastAsia="宋体" w:cs="宋体"/>
                <w:i w:val="0"/>
                <w:iCs w:val="0"/>
                <w:color w:val="000000"/>
                <w:sz w:val="22"/>
                <w:szCs w:val="22"/>
                <w:u w:val="none"/>
              </w:rPr>
            </w:pPr>
          </w:p>
        </w:tc>
        <w:tc>
          <w:tcPr>
            <w:tcW w:w="2022" w:type="dxa"/>
            <w:tcBorders>
              <w:top w:val="nil"/>
              <w:left w:val="nil"/>
              <w:bottom w:val="nil"/>
              <w:right w:val="nil"/>
            </w:tcBorders>
            <w:shd w:val="clear" w:color="auto" w:fill="auto"/>
            <w:noWrap/>
            <w:vAlign w:val="center"/>
          </w:tcPr>
          <w:p w14:paraId="1F6B97A6">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color="auto" w:fill="auto"/>
            <w:noWrap/>
            <w:vAlign w:val="center"/>
          </w:tcPr>
          <w:p w14:paraId="2CBD41F0">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14:paraId="465AC387">
            <w:pPr>
              <w:rPr>
                <w:rFonts w:hint="eastAsia" w:ascii="宋体" w:hAnsi="宋体" w:eastAsia="宋体" w:cs="宋体"/>
                <w:i w:val="0"/>
                <w:iCs w:val="0"/>
                <w:color w:val="000000"/>
                <w:sz w:val="22"/>
                <w:szCs w:val="22"/>
                <w:u w:val="none"/>
              </w:rPr>
            </w:pPr>
          </w:p>
        </w:tc>
        <w:tc>
          <w:tcPr>
            <w:tcW w:w="3660" w:type="dxa"/>
            <w:tcBorders>
              <w:top w:val="nil"/>
              <w:left w:val="nil"/>
              <w:bottom w:val="nil"/>
              <w:right w:val="nil"/>
            </w:tcBorders>
            <w:shd w:val="clear" w:color="auto" w:fill="auto"/>
            <w:noWrap/>
            <w:vAlign w:val="center"/>
          </w:tcPr>
          <w:p w14:paraId="73A6F2D9">
            <w:pPr>
              <w:rPr>
                <w:rFonts w:hint="eastAsia" w:ascii="宋体" w:hAnsi="宋体" w:eastAsia="宋体" w:cs="宋体"/>
                <w:i w:val="0"/>
                <w:iCs w:val="0"/>
                <w:color w:val="000000"/>
                <w:sz w:val="22"/>
                <w:szCs w:val="22"/>
                <w:u w:val="none"/>
              </w:rPr>
            </w:pPr>
          </w:p>
        </w:tc>
        <w:tc>
          <w:tcPr>
            <w:tcW w:w="1432" w:type="dxa"/>
            <w:tcBorders>
              <w:top w:val="nil"/>
              <w:left w:val="nil"/>
              <w:bottom w:val="nil"/>
              <w:right w:val="nil"/>
            </w:tcBorders>
            <w:shd w:val="clear" w:color="auto" w:fill="auto"/>
            <w:noWrap/>
            <w:vAlign w:val="bottom"/>
          </w:tcPr>
          <w:p w14:paraId="572F55E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0BDA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849" w:type="dxa"/>
            <w:gridSpan w:val="3"/>
            <w:tcBorders>
              <w:top w:val="nil"/>
              <w:left w:val="nil"/>
              <w:bottom w:val="nil"/>
              <w:right w:val="nil"/>
            </w:tcBorders>
            <w:shd w:val="clear" w:color="auto" w:fill="auto"/>
            <w:noWrap/>
            <w:vAlign w:val="bottom"/>
          </w:tcPr>
          <w:p w14:paraId="4D8DB5A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部门：溆浦县财政局</w:t>
            </w:r>
          </w:p>
        </w:tc>
        <w:tc>
          <w:tcPr>
            <w:tcW w:w="1128" w:type="dxa"/>
            <w:tcBorders>
              <w:top w:val="nil"/>
              <w:left w:val="nil"/>
              <w:bottom w:val="nil"/>
              <w:right w:val="nil"/>
            </w:tcBorders>
            <w:shd w:val="clear" w:color="auto" w:fill="auto"/>
            <w:noWrap/>
            <w:vAlign w:val="center"/>
          </w:tcPr>
          <w:p w14:paraId="383AC0F4">
            <w:pPr>
              <w:rPr>
                <w:rFonts w:hint="eastAsia" w:ascii="宋体" w:hAnsi="宋体" w:eastAsia="宋体" w:cs="宋体"/>
                <w:i w:val="0"/>
                <w:iCs w:val="0"/>
                <w:color w:val="000000"/>
                <w:sz w:val="22"/>
                <w:szCs w:val="22"/>
                <w:u w:val="none"/>
              </w:rPr>
            </w:pPr>
          </w:p>
        </w:tc>
        <w:tc>
          <w:tcPr>
            <w:tcW w:w="2022" w:type="dxa"/>
            <w:tcBorders>
              <w:top w:val="nil"/>
              <w:left w:val="nil"/>
              <w:bottom w:val="nil"/>
              <w:right w:val="nil"/>
            </w:tcBorders>
            <w:shd w:val="clear" w:color="auto" w:fill="auto"/>
            <w:noWrap/>
            <w:vAlign w:val="center"/>
          </w:tcPr>
          <w:p w14:paraId="523F9FFC">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color="auto" w:fill="auto"/>
            <w:noWrap/>
            <w:vAlign w:val="center"/>
          </w:tcPr>
          <w:p w14:paraId="52F7A94B">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14:paraId="42C4E0BF">
            <w:pPr>
              <w:rPr>
                <w:rFonts w:hint="eastAsia" w:ascii="宋体" w:hAnsi="宋体" w:eastAsia="宋体" w:cs="宋体"/>
                <w:i w:val="0"/>
                <w:iCs w:val="0"/>
                <w:color w:val="000000"/>
                <w:sz w:val="22"/>
                <w:szCs w:val="22"/>
                <w:u w:val="none"/>
              </w:rPr>
            </w:pPr>
          </w:p>
        </w:tc>
        <w:tc>
          <w:tcPr>
            <w:tcW w:w="5092" w:type="dxa"/>
            <w:gridSpan w:val="2"/>
            <w:tcBorders>
              <w:top w:val="nil"/>
              <w:left w:val="nil"/>
              <w:bottom w:val="nil"/>
              <w:right w:val="nil"/>
            </w:tcBorders>
            <w:shd w:val="clear" w:color="auto" w:fill="auto"/>
            <w:noWrap/>
            <w:vAlign w:val="bottom"/>
          </w:tcPr>
          <w:p w14:paraId="390998B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378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8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5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67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9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38C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AC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4B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E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72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2B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48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D6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2C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CE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F4B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4C3C">
            <w:pPr>
              <w:jc w:val="center"/>
              <w:rPr>
                <w:rFonts w:hint="eastAsia" w:ascii="宋体" w:hAnsi="宋体" w:eastAsia="宋体" w:cs="宋体"/>
                <w:i w:val="0"/>
                <w:iCs w:val="0"/>
                <w:color w:val="000000"/>
                <w:sz w:val="22"/>
                <w:szCs w:val="22"/>
                <w:u w:val="none"/>
              </w:rPr>
            </w:pP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E22A7">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302F4">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155B">
            <w:pPr>
              <w:jc w:val="center"/>
              <w:rPr>
                <w:rFonts w:hint="eastAsia" w:ascii="宋体" w:hAnsi="宋体" w:eastAsia="宋体" w:cs="宋体"/>
                <w:i w:val="0"/>
                <w:iCs w:val="0"/>
                <w:color w:val="000000"/>
                <w:sz w:val="22"/>
                <w:szCs w:val="22"/>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53A44">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86A6">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0C18">
            <w:pPr>
              <w:jc w:val="center"/>
              <w:rPr>
                <w:rFonts w:hint="eastAsia" w:ascii="宋体" w:hAnsi="宋体" w:eastAsia="宋体" w:cs="宋体"/>
                <w:i w:val="0"/>
                <w:iCs w:val="0"/>
                <w:color w:val="000000"/>
                <w:sz w:val="22"/>
                <w:szCs w:val="22"/>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70E01">
            <w:pPr>
              <w:jc w:val="center"/>
              <w:rPr>
                <w:rFonts w:hint="eastAsia" w:ascii="宋体" w:hAnsi="宋体" w:eastAsia="宋体" w:cs="宋体"/>
                <w:i w:val="0"/>
                <w:iCs w:val="0"/>
                <w:color w:val="000000"/>
                <w:sz w:val="22"/>
                <w:szCs w:val="22"/>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F499">
            <w:pPr>
              <w:jc w:val="center"/>
              <w:rPr>
                <w:rFonts w:hint="eastAsia" w:ascii="宋体" w:hAnsi="宋体" w:eastAsia="宋体" w:cs="宋体"/>
                <w:i w:val="0"/>
                <w:iCs w:val="0"/>
                <w:color w:val="000000"/>
                <w:sz w:val="22"/>
                <w:szCs w:val="22"/>
                <w:u w:val="none"/>
              </w:rPr>
            </w:pPr>
          </w:p>
        </w:tc>
      </w:tr>
      <w:tr w14:paraId="05D9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E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9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4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2,724.66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0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F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C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2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8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F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CD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1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9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0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1,040.22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D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C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0D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B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9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B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98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3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0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1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522.10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2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F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E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F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6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B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6B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E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F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5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0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D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1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6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A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E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r>
      <w:tr w14:paraId="5BF1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8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2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8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A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9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2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9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2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A6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2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7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ED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154.83</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E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C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1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2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5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F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r>
      <w:tr w14:paraId="4B37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4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2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4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380.97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B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0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8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F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3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7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C8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B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B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9C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6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1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1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2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B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F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29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C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F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2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143.65</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D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A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7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6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A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01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E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7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4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8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4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8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D3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r>
      <w:tr w14:paraId="1008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7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C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C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C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5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0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2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5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7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96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C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2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C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260.05</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F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9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E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9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C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8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5D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9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7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4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0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8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4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5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9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E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B9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5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8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F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D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A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A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4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3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7A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8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9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3E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155.38</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F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B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C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B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9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5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4C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8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3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B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9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6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C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3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3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C7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52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8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4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3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0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9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7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6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3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8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9B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F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3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2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1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1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6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8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F2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E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8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D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C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C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4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6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6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9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58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2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6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D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1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9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F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5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C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D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7C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7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9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0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3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C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0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D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0E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0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C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1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6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6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7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1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A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5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EC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A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B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03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5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0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6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9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D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F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5F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0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3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E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4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4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7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C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A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1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44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B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F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6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4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9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B5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A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3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D1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1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E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0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2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F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4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1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3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B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79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D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3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C1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2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C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C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F6C6">
            <w:pPr>
              <w:jc w:val="left"/>
              <w:rPr>
                <w:rFonts w:hint="eastAsia" w:ascii="宋体" w:hAnsi="宋体" w:eastAsia="宋体" w:cs="宋体"/>
                <w:i w:val="0"/>
                <w:iCs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9A90">
            <w:pPr>
              <w:jc w:val="left"/>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A2B1">
            <w:pPr>
              <w:jc w:val="right"/>
              <w:rPr>
                <w:rFonts w:hint="eastAsia" w:ascii="宋体" w:hAnsi="宋体" w:eastAsia="宋体" w:cs="宋体"/>
                <w:i w:val="0"/>
                <w:iCs w:val="0"/>
                <w:color w:val="000000"/>
                <w:sz w:val="22"/>
                <w:szCs w:val="22"/>
                <w:u w:val="none"/>
              </w:rPr>
            </w:pPr>
          </w:p>
        </w:tc>
      </w:tr>
      <w:tr w14:paraId="2B45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4796">
            <w:pPr>
              <w:jc w:val="left"/>
              <w:rPr>
                <w:rFonts w:hint="eastAsia" w:ascii="宋体" w:hAnsi="宋体" w:eastAsia="宋体" w:cs="宋体"/>
                <w:i w:val="0"/>
                <w:iCs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50D4">
            <w:pPr>
              <w:jc w:val="lef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67C0">
            <w:pPr>
              <w:jc w:val="right"/>
              <w:rPr>
                <w:rFonts w:hint="eastAsia" w:ascii="宋体" w:hAnsi="宋体" w:eastAsia="宋体" w:cs="宋体"/>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4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5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2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5303">
            <w:pPr>
              <w:jc w:val="left"/>
              <w:rPr>
                <w:rFonts w:hint="eastAsia" w:ascii="宋体" w:hAnsi="宋体" w:eastAsia="宋体" w:cs="宋体"/>
                <w:i w:val="0"/>
                <w:iCs w:val="0"/>
                <w:color w:val="000000"/>
                <w:sz w:val="22"/>
                <w:szCs w:val="22"/>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A9EF">
            <w:pPr>
              <w:jc w:val="left"/>
              <w:rPr>
                <w:rFonts w:hint="eastAsia" w:ascii="宋体" w:hAnsi="宋体" w:eastAsia="宋体" w:cs="宋体"/>
                <w:i w:val="0"/>
                <w:iCs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9CA5">
            <w:pPr>
              <w:jc w:val="right"/>
              <w:rPr>
                <w:rFonts w:hint="eastAsia" w:ascii="宋体" w:hAnsi="宋体" w:eastAsia="宋体" w:cs="宋体"/>
                <w:i w:val="0"/>
                <w:iCs w:val="0"/>
                <w:color w:val="000000"/>
                <w:sz w:val="22"/>
                <w:szCs w:val="22"/>
                <w:u w:val="none"/>
              </w:rPr>
            </w:pPr>
          </w:p>
        </w:tc>
      </w:tr>
      <w:tr w14:paraId="2825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7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2,880.04</w:t>
            </w:r>
          </w:p>
        </w:tc>
        <w:tc>
          <w:tcPr>
            <w:tcW w:w="92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5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4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1,317.89</w:t>
            </w:r>
          </w:p>
        </w:tc>
      </w:tr>
      <w:tr w14:paraId="2122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521" w:type="dxa"/>
            <w:gridSpan w:val="9"/>
            <w:tcBorders>
              <w:top w:val="nil"/>
              <w:left w:val="nil"/>
              <w:bottom w:val="nil"/>
              <w:right w:val="nil"/>
            </w:tcBorders>
            <w:shd w:val="clear" w:color="auto" w:fill="auto"/>
            <w:noWrap/>
            <w:vAlign w:val="center"/>
          </w:tcPr>
          <w:p w14:paraId="45DD0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1FD521E4">
      <w:pPr>
        <w:widowControl/>
        <w:jc w:val="center"/>
        <w:rPr>
          <w:rFonts w:hint="eastAsia" w:ascii="Times New Roman" w:hAnsi="Times New Roman" w:eastAsia="方正小标宋_GBK" w:cs="Times New Roman"/>
          <w:color w:val="000000"/>
          <w:kern w:val="0"/>
          <w:sz w:val="36"/>
          <w:szCs w:val="36"/>
        </w:rPr>
      </w:pPr>
    </w:p>
    <w:p w14:paraId="59F14201">
      <w:pPr>
        <w:widowControl/>
        <w:jc w:val="center"/>
        <w:rPr>
          <w:rFonts w:hint="eastAsia" w:ascii="Times New Roman" w:hAnsi="Times New Roman" w:eastAsia="方正小标宋_GBK" w:cs="Times New Roman"/>
          <w:color w:val="000000"/>
          <w:kern w:val="0"/>
          <w:sz w:val="36"/>
          <w:szCs w:val="36"/>
        </w:rPr>
      </w:pPr>
    </w:p>
    <w:p w14:paraId="3B25082F">
      <w:pPr>
        <w:widowControl/>
        <w:jc w:val="center"/>
        <w:rPr>
          <w:rFonts w:hint="eastAsia" w:ascii="Times New Roman" w:hAnsi="Times New Roman" w:eastAsia="方正小标宋_GBK" w:cs="Times New Roman"/>
          <w:color w:val="000000"/>
          <w:kern w:val="0"/>
          <w:sz w:val="36"/>
          <w:szCs w:val="36"/>
        </w:rPr>
      </w:pPr>
    </w:p>
    <w:p w14:paraId="722F1C72">
      <w:pPr>
        <w:widowControl/>
        <w:jc w:val="center"/>
        <w:rPr>
          <w:rFonts w:hint="eastAsia" w:ascii="Times New Roman" w:hAnsi="Times New Roman" w:eastAsia="方正小标宋_GBK" w:cs="Times New Roman"/>
          <w:color w:val="000000"/>
          <w:kern w:val="0"/>
          <w:sz w:val="36"/>
          <w:szCs w:val="36"/>
        </w:rPr>
      </w:pPr>
    </w:p>
    <w:p w14:paraId="0E6339F9">
      <w:pPr>
        <w:widowControl/>
        <w:jc w:val="center"/>
        <w:rPr>
          <w:rFonts w:hint="eastAsia" w:ascii="Times New Roman" w:hAnsi="Times New Roman" w:eastAsia="方正小标宋_GBK" w:cs="Times New Roman"/>
          <w:color w:val="000000"/>
          <w:kern w:val="0"/>
          <w:sz w:val="36"/>
          <w:szCs w:val="36"/>
        </w:rPr>
      </w:pPr>
    </w:p>
    <w:p w14:paraId="7C5705AE">
      <w:pPr>
        <w:widowControl/>
        <w:jc w:val="center"/>
        <w:rPr>
          <w:rFonts w:hint="eastAsia" w:ascii="Times New Roman" w:hAnsi="Times New Roman" w:eastAsia="方正小标宋_GBK" w:cs="Times New Roman"/>
          <w:color w:val="000000"/>
          <w:kern w:val="0"/>
          <w:sz w:val="36"/>
          <w:szCs w:val="36"/>
        </w:rPr>
      </w:pPr>
    </w:p>
    <w:p w14:paraId="619C4D3F">
      <w:pPr>
        <w:widowControl/>
        <w:jc w:val="center"/>
        <w:rPr>
          <w:rFonts w:hint="eastAsia" w:ascii="Times New Roman" w:hAnsi="Times New Roman" w:eastAsia="方正小标宋_GBK" w:cs="Times New Roman"/>
          <w:color w:val="000000"/>
          <w:kern w:val="0"/>
          <w:sz w:val="36"/>
          <w:szCs w:val="36"/>
        </w:rPr>
      </w:pPr>
    </w:p>
    <w:p w14:paraId="4894F85D">
      <w:pPr>
        <w:widowControl/>
        <w:jc w:val="center"/>
        <w:rPr>
          <w:rFonts w:hint="eastAsia" w:ascii="Times New Roman" w:hAnsi="Times New Roman" w:eastAsia="方正小标宋_GBK" w:cs="Times New Roman"/>
          <w:color w:val="000000"/>
          <w:kern w:val="0"/>
          <w:sz w:val="36"/>
          <w:szCs w:val="36"/>
        </w:rPr>
      </w:pPr>
    </w:p>
    <w:p w14:paraId="4DDD558B">
      <w:pPr>
        <w:widowControl/>
        <w:jc w:val="center"/>
        <w:rPr>
          <w:rFonts w:hint="eastAsia" w:ascii="Times New Roman" w:hAnsi="Times New Roman" w:eastAsia="方正小标宋_GBK" w:cs="Times New Roman"/>
          <w:color w:val="000000"/>
          <w:kern w:val="0"/>
          <w:sz w:val="36"/>
          <w:szCs w:val="36"/>
        </w:rPr>
      </w:pPr>
    </w:p>
    <w:p w14:paraId="5FEBAA47">
      <w:pPr>
        <w:widowControl/>
        <w:jc w:val="center"/>
        <w:rPr>
          <w:rFonts w:hint="eastAsia" w:ascii="Times New Roman" w:hAnsi="Times New Roman" w:eastAsia="方正小标宋_GBK" w:cs="Times New Roman"/>
          <w:color w:val="000000"/>
          <w:kern w:val="0"/>
          <w:sz w:val="36"/>
          <w:szCs w:val="36"/>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755C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auto"/>
            <w:vAlign w:val="center"/>
          </w:tcPr>
          <w:p w14:paraId="6128889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056255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9CC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auto"/>
            <w:vAlign w:val="center"/>
          </w:tcPr>
          <w:p w14:paraId="06E0F68F">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4FD3D33B">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auto"/>
            <w:vAlign w:val="center"/>
          </w:tcPr>
          <w:p w14:paraId="6434B032">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0004B22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E04763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69FAE758">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6323DD7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03E996B9">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33309A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570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3" w:type="dxa"/>
            <w:gridSpan w:val="5"/>
            <w:tcBorders>
              <w:top w:val="nil"/>
              <w:left w:val="nil"/>
              <w:bottom w:val="nil"/>
              <w:right w:val="nil"/>
            </w:tcBorders>
            <w:shd w:val="clear" w:color="auto" w:fill="auto"/>
            <w:noWrap/>
            <w:vAlign w:val="center"/>
          </w:tcPr>
          <w:p w14:paraId="176131CC">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部门：溆浦县财政局</w:t>
            </w:r>
          </w:p>
        </w:tc>
        <w:tc>
          <w:tcPr>
            <w:tcW w:w="2119" w:type="dxa"/>
            <w:tcBorders>
              <w:top w:val="nil"/>
              <w:left w:val="nil"/>
              <w:bottom w:val="nil"/>
              <w:right w:val="nil"/>
            </w:tcBorders>
            <w:shd w:val="clear" w:color="auto" w:fill="auto"/>
            <w:vAlign w:val="center"/>
          </w:tcPr>
          <w:p w14:paraId="409759C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1ECD076F">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74564417">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038256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DDF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E28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298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F72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CE8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B2E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F84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5C6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0E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4D3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DD36">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AA0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A5A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482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E2CE">
            <w:pPr>
              <w:jc w:val="center"/>
              <w:rPr>
                <w:rFonts w:hint="eastAsia" w:ascii="宋体" w:hAnsi="宋体" w:eastAsia="宋体" w:cs="宋体"/>
                <w:i w:val="0"/>
                <w:color w:val="000000"/>
                <w:sz w:val="24"/>
                <w:szCs w:val="24"/>
                <w:u w:val="none"/>
              </w:rPr>
            </w:pPr>
          </w:p>
        </w:tc>
      </w:tr>
      <w:tr w14:paraId="36E6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9E83">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DF00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D82F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D47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E2D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7FE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87BE6">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4AE8E">
            <w:pPr>
              <w:jc w:val="center"/>
              <w:rPr>
                <w:rFonts w:hint="eastAsia" w:ascii="宋体" w:hAnsi="宋体" w:eastAsia="宋体" w:cs="宋体"/>
                <w:i w:val="0"/>
                <w:color w:val="000000"/>
                <w:sz w:val="24"/>
                <w:szCs w:val="24"/>
                <w:u w:val="none"/>
              </w:rPr>
            </w:pPr>
          </w:p>
        </w:tc>
      </w:tr>
      <w:tr w14:paraId="6034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AF13">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54D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CFA4">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C827">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9E3D">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A8F6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625E">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54A9">
            <w:pPr>
              <w:jc w:val="center"/>
              <w:rPr>
                <w:rFonts w:hint="eastAsia" w:ascii="宋体" w:hAnsi="宋体" w:eastAsia="宋体" w:cs="宋体"/>
                <w:i w:val="0"/>
                <w:color w:val="000000"/>
                <w:sz w:val="24"/>
                <w:szCs w:val="24"/>
                <w:u w:val="none"/>
              </w:rPr>
            </w:pPr>
          </w:p>
        </w:tc>
      </w:tr>
      <w:tr w14:paraId="45DA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029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9B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A8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C7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20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78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23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460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885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E1E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25EA">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E14">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790A">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9914">
            <w:pPr>
              <w:jc w:val="cente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8A1A">
            <w:pPr>
              <w:jc w:val="center"/>
              <w:rPr>
                <w:rFonts w:hint="eastAsia" w:ascii="宋体" w:hAnsi="宋体" w:eastAsia="宋体" w:cs="宋体"/>
                <w:i w:val="0"/>
                <w:color w:val="000000"/>
                <w:sz w:val="24"/>
                <w:szCs w:val="24"/>
                <w:u w:val="none"/>
              </w:rPr>
            </w:pPr>
          </w:p>
        </w:tc>
      </w:tr>
      <w:tr w14:paraId="0D6A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6AC28E">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4CC7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3665D">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76C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A5C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BA8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8E7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E7E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C72">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CD3">
            <w:pPr>
              <w:rPr>
                <w:rFonts w:hint="eastAsia" w:ascii="宋体" w:hAnsi="宋体" w:eastAsia="宋体" w:cs="宋体"/>
                <w:i w:val="0"/>
                <w:color w:val="000000"/>
                <w:sz w:val="24"/>
                <w:szCs w:val="24"/>
                <w:u w:val="none"/>
              </w:rPr>
            </w:pPr>
          </w:p>
        </w:tc>
      </w:tr>
      <w:tr w14:paraId="334E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888BE">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6CF9">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EE7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549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E5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51D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A4B">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EF4">
            <w:pPr>
              <w:rPr>
                <w:rFonts w:hint="eastAsia" w:ascii="宋体" w:hAnsi="宋体" w:eastAsia="宋体" w:cs="宋体"/>
                <w:i w:val="0"/>
                <w:color w:val="000000"/>
                <w:sz w:val="24"/>
                <w:szCs w:val="24"/>
                <w:u w:val="none"/>
              </w:rPr>
            </w:pPr>
          </w:p>
        </w:tc>
      </w:tr>
      <w:tr w14:paraId="0159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44F3D">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18E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463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FE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C4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C89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A52A">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92F6">
            <w:pPr>
              <w:rPr>
                <w:rFonts w:hint="eastAsia" w:ascii="宋体" w:hAnsi="宋体" w:eastAsia="宋体" w:cs="宋体"/>
                <w:i w:val="0"/>
                <w:color w:val="000000"/>
                <w:sz w:val="24"/>
                <w:szCs w:val="24"/>
                <w:u w:val="none"/>
              </w:rPr>
            </w:pPr>
          </w:p>
        </w:tc>
      </w:tr>
      <w:tr w14:paraId="7227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1606A">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4FF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2FE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A93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9C9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7FC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DA8A">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DE4">
            <w:pPr>
              <w:rPr>
                <w:rFonts w:hint="eastAsia" w:ascii="宋体" w:hAnsi="宋体" w:eastAsia="宋体" w:cs="宋体"/>
                <w:i w:val="0"/>
                <w:color w:val="000000"/>
                <w:sz w:val="24"/>
                <w:szCs w:val="24"/>
                <w:u w:val="none"/>
              </w:rPr>
            </w:pPr>
          </w:p>
        </w:tc>
      </w:tr>
      <w:tr w14:paraId="1452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E92A8">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FC2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75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C26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0AB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D83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27B8">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B7D">
            <w:pPr>
              <w:rPr>
                <w:rFonts w:hint="eastAsia" w:ascii="宋体" w:hAnsi="宋体" w:eastAsia="宋体" w:cs="宋体"/>
                <w:i w:val="0"/>
                <w:color w:val="000000"/>
                <w:sz w:val="24"/>
                <w:szCs w:val="24"/>
                <w:u w:val="none"/>
              </w:rPr>
            </w:pPr>
          </w:p>
        </w:tc>
      </w:tr>
      <w:tr w14:paraId="0834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54BD655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292F29E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3CED73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2" w:name="OLE_LINK9"/>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2"/>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467B351C">
      <w:pPr>
        <w:widowControl/>
        <w:jc w:val="center"/>
        <w:rPr>
          <w:rFonts w:hint="eastAsia" w:ascii="Times New Roman" w:hAnsi="Times New Roman" w:eastAsia="方正小标宋_GBK" w:cs="Times New Roman"/>
          <w:color w:val="000000"/>
          <w:kern w:val="0"/>
          <w:sz w:val="36"/>
          <w:szCs w:val="36"/>
        </w:rPr>
      </w:pPr>
    </w:p>
    <w:p w14:paraId="43277D7A">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5F7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150DF80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4EB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0DD9DF7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63B3D6A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26CC7DF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1F22269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6384960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D6867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EC1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55657012">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溆浦县财政局</w:t>
            </w:r>
          </w:p>
        </w:tc>
        <w:tc>
          <w:tcPr>
            <w:tcW w:w="3315" w:type="dxa"/>
            <w:tcBorders>
              <w:top w:val="nil"/>
              <w:left w:val="nil"/>
              <w:bottom w:val="nil"/>
              <w:right w:val="nil"/>
            </w:tcBorders>
            <w:shd w:val="clear" w:color="auto" w:fill="auto"/>
            <w:vAlign w:val="center"/>
          </w:tcPr>
          <w:p w14:paraId="1B79D24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29C50BF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26DCC6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47B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6D3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613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C05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893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831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2CF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608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07B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92B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D12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9D0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E15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021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5EFB">
            <w:pPr>
              <w:jc w:val="center"/>
              <w:rPr>
                <w:rFonts w:hint="eastAsia" w:ascii="宋体" w:hAnsi="宋体" w:eastAsia="宋体" w:cs="宋体"/>
                <w:i w:val="0"/>
                <w:color w:val="000000"/>
                <w:sz w:val="24"/>
                <w:szCs w:val="24"/>
                <w:u w:val="none"/>
              </w:rPr>
            </w:pPr>
          </w:p>
        </w:tc>
      </w:tr>
      <w:tr w14:paraId="20D0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C6D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FD0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D62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B1C5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2159">
            <w:pPr>
              <w:jc w:val="center"/>
              <w:rPr>
                <w:rFonts w:hint="eastAsia" w:ascii="宋体" w:hAnsi="宋体" w:eastAsia="宋体" w:cs="宋体"/>
                <w:i w:val="0"/>
                <w:color w:val="000000"/>
                <w:sz w:val="24"/>
                <w:szCs w:val="24"/>
                <w:u w:val="none"/>
              </w:rPr>
            </w:pPr>
          </w:p>
        </w:tc>
      </w:tr>
      <w:tr w14:paraId="070A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245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E1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01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E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9AC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CB2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05554">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5697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709A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C30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FC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6FE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AE7">
            <w:pPr>
              <w:rPr>
                <w:rFonts w:hint="eastAsia" w:ascii="宋体" w:hAnsi="宋体" w:eastAsia="宋体" w:cs="宋体"/>
                <w:i w:val="0"/>
                <w:color w:val="000000"/>
                <w:sz w:val="24"/>
                <w:szCs w:val="24"/>
                <w:u w:val="none"/>
              </w:rPr>
            </w:pPr>
          </w:p>
        </w:tc>
      </w:tr>
      <w:tr w14:paraId="635E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2DC8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31C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521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917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A379">
            <w:pPr>
              <w:rPr>
                <w:rFonts w:hint="eastAsia" w:ascii="宋体" w:hAnsi="宋体" w:eastAsia="宋体" w:cs="宋体"/>
                <w:i w:val="0"/>
                <w:color w:val="000000"/>
                <w:sz w:val="24"/>
                <w:szCs w:val="24"/>
                <w:u w:val="none"/>
              </w:rPr>
            </w:pPr>
          </w:p>
        </w:tc>
      </w:tr>
      <w:tr w14:paraId="56B8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F02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37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FBC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98F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B716">
            <w:pPr>
              <w:rPr>
                <w:rFonts w:hint="eastAsia" w:ascii="宋体" w:hAnsi="宋体" w:eastAsia="宋体" w:cs="宋体"/>
                <w:i w:val="0"/>
                <w:color w:val="000000"/>
                <w:sz w:val="24"/>
                <w:szCs w:val="24"/>
                <w:u w:val="none"/>
              </w:rPr>
            </w:pPr>
          </w:p>
        </w:tc>
      </w:tr>
      <w:tr w14:paraId="65B2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4D70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07E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62C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08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13C2">
            <w:pPr>
              <w:rPr>
                <w:rFonts w:hint="eastAsia" w:ascii="宋体" w:hAnsi="宋体" w:eastAsia="宋体" w:cs="宋体"/>
                <w:i w:val="0"/>
                <w:color w:val="000000"/>
                <w:sz w:val="24"/>
                <w:szCs w:val="24"/>
                <w:u w:val="none"/>
              </w:rPr>
            </w:pPr>
          </w:p>
        </w:tc>
      </w:tr>
      <w:tr w14:paraId="76E9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589B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AD3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32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898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975D">
            <w:pPr>
              <w:rPr>
                <w:rFonts w:hint="eastAsia" w:ascii="宋体" w:hAnsi="宋体" w:eastAsia="宋体" w:cs="宋体"/>
                <w:i w:val="0"/>
                <w:color w:val="000000"/>
                <w:sz w:val="24"/>
                <w:szCs w:val="24"/>
                <w:u w:val="none"/>
              </w:rPr>
            </w:pPr>
          </w:p>
        </w:tc>
      </w:tr>
      <w:tr w14:paraId="20DB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45C4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9D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55A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F8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281">
            <w:pPr>
              <w:rPr>
                <w:rFonts w:hint="eastAsia" w:ascii="宋体" w:hAnsi="宋体" w:eastAsia="宋体" w:cs="宋体"/>
                <w:i w:val="0"/>
                <w:color w:val="000000"/>
                <w:sz w:val="24"/>
                <w:szCs w:val="24"/>
                <w:u w:val="none"/>
              </w:rPr>
            </w:pPr>
          </w:p>
        </w:tc>
      </w:tr>
      <w:tr w14:paraId="3451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DA3FB6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FF068C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9B05DE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628D80E5">
      <w:pPr>
        <w:widowControl/>
        <w:jc w:val="center"/>
        <w:rPr>
          <w:rFonts w:hint="eastAsia" w:ascii="Times New Roman" w:hAnsi="Times New Roman" w:eastAsia="方正小标宋_GBK" w:cs="Times New Roman"/>
          <w:color w:val="000000"/>
          <w:kern w:val="0"/>
          <w:sz w:val="36"/>
          <w:szCs w:val="36"/>
        </w:rPr>
      </w:pPr>
    </w:p>
    <w:tbl>
      <w:tblPr>
        <w:tblStyle w:val="10"/>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303"/>
        <w:gridCol w:w="1164"/>
        <w:gridCol w:w="1164"/>
        <w:gridCol w:w="1164"/>
        <w:gridCol w:w="1164"/>
        <w:gridCol w:w="1164"/>
        <w:gridCol w:w="1303"/>
        <w:gridCol w:w="1164"/>
        <w:gridCol w:w="1209"/>
        <w:gridCol w:w="1209"/>
        <w:gridCol w:w="1616"/>
      </w:tblGrid>
      <w:tr w14:paraId="6132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5640" w:type="dxa"/>
            <w:gridSpan w:val="12"/>
            <w:tcBorders>
              <w:top w:val="nil"/>
              <w:left w:val="nil"/>
              <w:bottom w:val="nil"/>
              <w:right w:val="nil"/>
            </w:tcBorders>
            <w:shd w:val="clear" w:color="auto" w:fill="auto"/>
            <w:noWrap/>
            <w:vAlign w:val="center"/>
          </w:tcPr>
          <w:p w14:paraId="32732804">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2366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auto" w:fill="auto"/>
            <w:noWrap/>
            <w:vAlign w:val="center"/>
          </w:tcPr>
          <w:p w14:paraId="153EC9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3AD5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B5AB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DED0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DE1D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FC00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448F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2606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518B92">
            <w:pPr>
              <w:rPr>
                <w:rFonts w:hint="eastAsia" w:ascii="宋体" w:hAnsi="宋体" w:eastAsia="宋体" w:cs="宋体"/>
                <w:i w:val="0"/>
                <w:iCs w:val="0"/>
                <w:color w:val="000000"/>
                <w:sz w:val="22"/>
                <w:szCs w:val="22"/>
                <w:u w:val="none"/>
              </w:rPr>
            </w:pPr>
          </w:p>
        </w:tc>
        <w:tc>
          <w:tcPr>
            <w:tcW w:w="1209" w:type="dxa"/>
            <w:tcBorders>
              <w:top w:val="nil"/>
              <w:left w:val="nil"/>
              <w:bottom w:val="nil"/>
              <w:right w:val="nil"/>
            </w:tcBorders>
            <w:shd w:val="clear" w:color="auto" w:fill="auto"/>
            <w:noWrap/>
            <w:vAlign w:val="center"/>
          </w:tcPr>
          <w:p w14:paraId="679A5978">
            <w:pPr>
              <w:rPr>
                <w:rFonts w:hint="eastAsia" w:ascii="宋体" w:hAnsi="宋体" w:eastAsia="宋体" w:cs="宋体"/>
                <w:i w:val="0"/>
                <w:iCs w:val="0"/>
                <w:color w:val="000000"/>
                <w:sz w:val="22"/>
                <w:szCs w:val="22"/>
                <w:u w:val="none"/>
              </w:rPr>
            </w:pPr>
          </w:p>
        </w:tc>
        <w:tc>
          <w:tcPr>
            <w:tcW w:w="1209" w:type="dxa"/>
            <w:tcBorders>
              <w:top w:val="nil"/>
              <w:left w:val="nil"/>
              <w:bottom w:val="nil"/>
              <w:right w:val="nil"/>
            </w:tcBorders>
            <w:shd w:val="clear" w:color="auto" w:fill="auto"/>
            <w:noWrap/>
            <w:vAlign w:val="center"/>
          </w:tcPr>
          <w:p w14:paraId="69C1FA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68E4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4485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auto" w:fill="auto"/>
            <w:noWrap/>
            <w:vAlign w:val="bottom"/>
          </w:tcPr>
          <w:p w14:paraId="30356C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部门：溆浦县财政局</w:t>
            </w:r>
          </w:p>
        </w:tc>
        <w:tc>
          <w:tcPr>
            <w:tcW w:w="0" w:type="auto"/>
            <w:tcBorders>
              <w:top w:val="nil"/>
              <w:left w:val="nil"/>
              <w:bottom w:val="nil"/>
              <w:right w:val="nil"/>
            </w:tcBorders>
            <w:shd w:val="clear" w:color="auto" w:fill="auto"/>
            <w:noWrap/>
            <w:vAlign w:val="center"/>
          </w:tcPr>
          <w:p w14:paraId="60035C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B6DE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3D8A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46D7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942D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BDC7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DD78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4B2787">
            <w:pPr>
              <w:rPr>
                <w:rFonts w:hint="eastAsia" w:ascii="宋体" w:hAnsi="宋体" w:eastAsia="宋体" w:cs="宋体"/>
                <w:i w:val="0"/>
                <w:iCs w:val="0"/>
                <w:color w:val="000000"/>
                <w:sz w:val="22"/>
                <w:szCs w:val="22"/>
                <w:u w:val="none"/>
              </w:rPr>
            </w:pPr>
          </w:p>
        </w:tc>
        <w:tc>
          <w:tcPr>
            <w:tcW w:w="1209" w:type="dxa"/>
            <w:tcBorders>
              <w:top w:val="nil"/>
              <w:left w:val="nil"/>
              <w:bottom w:val="nil"/>
              <w:right w:val="nil"/>
            </w:tcBorders>
            <w:shd w:val="clear" w:color="auto" w:fill="auto"/>
            <w:noWrap/>
            <w:vAlign w:val="center"/>
          </w:tcPr>
          <w:p w14:paraId="1DB14F5B">
            <w:pPr>
              <w:rPr>
                <w:rFonts w:hint="eastAsia" w:ascii="宋体" w:hAnsi="宋体" w:eastAsia="宋体" w:cs="宋体"/>
                <w:i w:val="0"/>
                <w:iCs w:val="0"/>
                <w:color w:val="000000"/>
                <w:sz w:val="22"/>
                <w:szCs w:val="22"/>
                <w:u w:val="none"/>
              </w:rPr>
            </w:pPr>
          </w:p>
        </w:tc>
        <w:tc>
          <w:tcPr>
            <w:tcW w:w="1209" w:type="dxa"/>
            <w:tcBorders>
              <w:top w:val="nil"/>
              <w:left w:val="nil"/>
              <w:bottom w:val="nil"/>
              <w:right w:val="nil"/>
            </w:tcBorders>
            <w:shd w:val="clear" w:color="auto" w:fill="auto"/>
            <w:noWrap/>
            <w:vAlign w:val="center"/>
          </w:tcPr>
          <w:p w14:paraId="6588F4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38649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E34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A72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6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5E0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4CF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08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37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44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97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99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D0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3F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81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1393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C7B4">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1B388">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4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BCB9">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89B6">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9271">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B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E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67AC">
            <w:pPr>
              <w:jc w:val="center"/>
              <w:rPr>
                <w:rFonts w:hint="eastAsia" w:ascii="宋体" w:hAnsi="宋体" w:eastAsia="宋体" w:cs="宋体"/>
                <w:i w:val="0"/>
                <w:iCs w:val="0"/>
                <w:color w:val="000000"/>
                <w:sz w:val="22"/>
                <w:szCs w:val="22"/>
                <w:u w:val="none"/>
              </w:rPr>
            </w:pPr>
          </w:p>
        </w:tc>
      </w:tr>
      <w:tr w14:paraId="7D99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0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7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1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2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A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6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8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F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2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659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9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0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91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8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B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6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1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C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F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0D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5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A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r>
      <w:tr w14:paraId="7B95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640" w:type="dxa"/>
            <w:gridSpan w:val="12"/>
            <w:tcBorders>
              <w:top w:val="nil"/>
              <w:left w:val="nil"/>
              <w:bottom w:val="nil"/>
              <w:right w:val="nil"/>
            </w:tcBorders>
            <w:shd w:val="clear" w:color="auto" w:fill="auto"/>
            <w:vAlign w:val="center"/>
          </w:tcPr>
          <w:p w14:paraId="49C3D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5962B1A">
      <w:pPr>
        <w:widowControl/>
        <w:jc w:val="center"/>
        <w:rPr>
          <w:rFonts w:hint="eastAsia" w:ascii="Times New Roman" w:hAnsi="Times New Roman" w:eastAsia="方正小标宋_GBK" w:cs="Times New Roman"/>
          <w:color w:val="000000"/>
          <w:kern w:val="0"/>
          <w:sz w:val="36"/>
          <w:szCs w:val="36"/>
        </w:rPr>
      </w:pPr>
    </w:p>
    <w:p w14:paraId="12848983">
      <w:pPr>
        <w:widowControl/>
        <w:jc w:val="center"/>
        <w:rPr>
          <w:rFonts w:hint="eastAsia" w:ascii="Times New Roman" w:hAnsi="Times New Roman" w:eastAsia="方正小标宋_GBK" w:cs="Times New Roman"/>
          <w:color w:val="000000"/>
          <w:kern w:val="0"/>
          <w:sz w:val="36"/>
          <w:szCs w:val="36"/>
        </w:rPr>
      </w:pPr>
    </w:p>
    <w:p w14:paraId="01C3E6E4">
      <w:pPr>
        <w:autoSpaceDE w:val="0"/>
        <w:autoSpaceDN w:val="0"/>
        <w:adjustRightInd w:val="0"/>
        <w:ind w:left="315" w:leftChars="150"/>
        <w:jc w:val="left"/>
        <w:rPr>
          <w:rFonts w:ascii="宋体" w:eastAsia="宋体" w:cs="宋体"/>
          <w:kern w:val="0"/>
          <w:sz w:val="24"/>
          <w:szCs w:val="24"/>
        </w:rPr>
      </w:pPr>
    </w:p>
    <w:p w14:paraId="762121C2">
      <w:pPr>
        <w:autoSpaceDE w:val="0"/>
        <w:autoSpaceDN w:val="0"/>
        <w:adjustRightInd w:val="0"/>
        <w:ind w:left="315" w:leftChars="150"/>
        <w:jc w:val="left"/>
        <w:rPr>
          <w:rFonts w:ascii="宋体" w:eastAsia="宋体" w:cs="宋体"/>
          <w:kern w:val="0"/>
          <w:sz w:val="24"/>
          <w:szCs w:val="24"/>
        </w:rPr>
      </w:pPr>
    </w:p>
    <w:p w14:paraId="2257DDA8">
      <w:pPr>
        <w:autoSpaceDE w:val="0"/>
        <w:autoSpaceDN w:val="0"/>
        <w:adjustRightInd w:val="0"/>
        <w:ind w:left="315" w:leftChars="150"/>
        <w:jc w:val="left"/>
        <w:rPr>
          <w:rFonts w:ascii="宋体" w:eastAsia="宋体" w:cs="宋体"/>
          <w:kern w:val="0"/>
          <w:sz w:val="24"/>
          <w:szCs w:val="24"/>
        </w:rPr>
      </w:pPr>
    </w:p>
    <w:p w14:paraId="263ADB91">
      <w:pPr>
        <w:autoSpaceDE w:val="0"/>
        <w:autoSpaceDN w:val="0"/>
        <w:adjustRightInd w:val="0"/>
        <w:ind w:left="315" w:leftChars="150"/>
        <w:jc w:val="left"/>
        <w:rPr>
          <w:rFonts w:ascii="宋体" w:eastAsia="宋体" w:cs="宋体"/>
          <w:kern w:val="0"/>
          <w:sz w:val="24"/>
          <w:szCs w:val="24"/>
        </w:rPr>
      </w:pPr>
    </w:p>
    <w:p w14:paraId="05C40C31">
      <w:pPr>
        <w:autoSpaceDE w:val="0"/>
        <w:autoSpaceDN w:val="0"/>
        <w:adjustRightInd w:val="0"/>
        <w:ind w:left="315" w:leftChars="150"/>
        <w:jc w:val="left"/>
        <w:rPr>
          <w:rFonts w:ascii="宋体" w:eastAsia="宋体" w:cs="宋体"/>
          <w:kern w:val="0"/>
          <w:sz w:val="24"/>
          <w:szCs w:val="24"/>
        </w:rPr>
      </w:pPr>
    </w:p>
    <w:p w14:paraId="5DE4163D">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5F5C7C0">
      <w:pPr>
        <w:pStyle w:val="15"/>
        <w:rPr>
          <w:sz w:val="72"/>
          <w:szCs w:val="72"/>
        </w:rPr>
      </w:pPr>
    </w:p>
    <w:p w14:paraId="431CE2A8">
      <w:pPr>
        <w:pStyle w:val="15"/>
        <w:rPr>
          <w:sz w:val="72"/>
          <w:szCs w:val="72"/>
        </w:rPr>
      </w:pPr>
    </w:p>
    <w:p w14:paraId="67FB86D3">
      <w:pPr>
        <w:pStyle w:val="15"/>
        <w:rPr>
          <w:sz w:val="72"/>
          <w:szCs w:val="72"/>
        </w:rPr>
      </w:pPr>
    </w:p>
    <w:p w14:paraId="111BE663">
      <w:pPr>
        <w:pStyle w:val="15"/>
        <w:rPr>
          <w:sz w:val="72"/>
          <w:szCs w:val="72"/>
        </w:rPr>
      </w:pPr>
    </w:p>
    <w:p w14:paraId="1034F506">
      <w:pPr>
        <w:pStyle w:val="15"/>
        <w:jc w:val="center"/>
        <w:rPr>
          <w:sz w:val="72"/>
          <w:szCs w:val="72"/>
        </w:rPr>
      </w:pPr>
    </w:p>
    <w:p w14:paraId="209C7FBB">
      <w:pPr>
        <w:pStyle w:val="15"/>
        <w:jc w:val="center"/>
        <w:rPr>
          <w:rFonts w:hint="eastAsia" w:ascii="方正小标宋_GBK" w:hAnsi="方正小标宋_GBK" w:eastAsia="方正小标宋_GBK" w:cs="方正小标宋_GBK"/>
          <w:sz w:val="72"/>
          <w:szCs w:val="72"/>
        </w:rPr>
      </w:pPr>
    </w:p>
    <w:p w14:paraId="5120D449">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ABF0FB4">
      <w:pPr>
        <w:pStyle w:val="15"/>
        <w:jc w:val="center"/>
        <w:rPr>
          <w:rFonts w:hint="eastAsia" w:ascii="方正小标宋_GBK" w:hAnsi="方正小标宋_GBK" w:eastAsia="方正小标宋_GBK" w:cs="方正小标宋_GBK"/>
          <w:sz w:val="70"/>
          <w:szCs w:val="70"/>
        </w:rPr>
      </w:pPr>
    </w:p>
    <w:p w14:paraId="04034C8E">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2023</w:t>
      </w:r>
      <w:r>
        <w:rPr>
          <w:rFonts w:hint="eastAsia" w:ascii="方正小标宋_GBK" w:hAnsi="方正小标宋_GBK" w:eastAsia="方正小标宋_GBK" w:cs="方正小标宋_GBK"/>
          <w:sz w:val="70"/>
          <w:szCs w:val="70"/>
        </w:rPr>
        <w:t>年度部门决算情况说明</w:t>
      </w:r>
    </w:p>
    <w:p w14:paraId="0D002B3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2132E1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3D01C1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4656.01</w:t>
      </w:r>
      <w:r>
        <w:rPr>
          <w:rFonts w:hint="eastAsia" w:ascii="Times New Roman" w:hAnsi="Times New Roman" w:eastAsia="仿宋_GB2312"/>
          <w:sz w:val="32"/>
          <w:szCs w:val="32"/>
        </w:rPr>
        <w:t>万元。与上年相比，</w:t>
      </w:r>
      <w:bookmarkStart w:id="3" w:name="OLE_LINK2"/>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175.34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3.63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项目减少</w:t>
      </w:r>
      <w:bookmarkEnd w:id="3"/>
      <w:r>
        <w:rPr>
          <w:rFonts w:hint="eastAsia" w:ascii="Times New Roman" w:hAnsi="Times New Roman" w:eastAsia="仿宋_GB2312"/>
          <w:sz w:val="32"/>
          <w:szCs w:val="32"/>
          <w:lang w:eastAsia="zh-CN"/>
        </w:rPr>
        <w:t>。</w:t>
      </w:r>
    </w:p>
    <w:p w14:paraId="2A2F251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98C8BC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4656.01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4617.62</w:t>
      </w:r>
      <w:r>
        <w:rPr>
          <w:rFonts w:hint="eastAsia" w:ascii="Times New Roman" w:hAnsi="Times New Roman" w:eastAsia="仿宋_GB2312"/>
          <w:sz w:val="32"/>
          <w:szCs w:val="32"/>
        </w:rPr>
        <w:t>万元，占99.</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%；上级补助收入0万元，占0%；事业收入0万元，占0%；经营收入0万元，占0%；附属单位上缴收入0万元，占0%；其他收入</w:t>
      </w:r>
      <w:r>
        <w:rPr>
          <w:rFonts w:hint="eastAsia" w:ascii="Times New Roman" w:hAnsi="Times New Roman" w:eastAsia="仿宋_GB2312"/>
          <w:sz w:val="32"/>
          <w:szCs w:val="32"/>
          <w:lang w:val="en-US" w:eastAsia="zh-CN"/>
        </w:rPr>
        <w:t>38.39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0.82</w:t>
      </w:r>
      <w:r>
        <w:rPr>
          <w:rFonts w:hint="eastAsia" w:ascii="Times New Roman" w:hAnsi="Times New Roman" w:eastAsia="仿宋_GB2312"/>
          <w:sz w:val="32"/>
          <w:szCs w:val="32"/>
        </w:rPr>
        <w:t>%。</w:t>
      </w:r>
    </w:p>
    <w:p w14:paraId="73295C3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C73022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4656.01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4236.33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90.98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419.68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9.02</w:t>
      </w:r>
      <w:r>
        <w:rPr>
          <w:rFonts w:hint="eastAsia" w:ascii="Times New Roman" w:hAnsi="Times New Roman" w:eastAsia="仿宋_GB2312"/>
          <w:sz w:val="32"/>
          <w:szCs w:val="32"/>
        </w:rPr>
        <w:t>%；上缴上级支出0万元，占0%；经营支出0万元，占0%；对附属单位补助支出0万元，占0%。</w:t>
      </w:r>
    </w:p>
    <w:p w14:paraId="029DB4A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7E68FA5">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4617.62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190.84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3.97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项目减少。</w:t>
      </w:r>
    </w:p>
    <w:p w14:paraId="6067598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C55940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64905DA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w:t>
      </w:r>
      <w:r>
        <w:rPr>
          <w:rFonts w:hint="eastAsia" w:ascii="Times New Roman" w:hAnsi="Times New Roman" w:eastAsia="仿宋_GB2312"/>
          <w:sz w:val="32"/>
          <w:szCs w:val="32"/>
          <w:highlight w:val="none"/>
        </w:rPr>
        <w:t>财政拨款支出</w:t>
      </w:r>
      <w:r>
        <w:rPr>
          <w:rFonts w:hint="eastAsia" w:ascii="Times New Roman" w:hAnsi="Times New Roman" w:eastAsia="仿宋_GB2312"/>
          <w:sz w:val="32"/>
          <w:szCs w:val="32"/>
          <w:highlight w:val="none"/>
          <w:lang w:val="en-US" w:eastAsia="zh-CN"/>
        </w:rPr>
        <w:t>4808.46</w:t>
      </w:r>
      <w:r>
        <w:rPr>
          <w:rFonts w:hint="eastAsia" w:ascii="Times New Roman" w:hAnsi="Times New Roman" w:eastAsia="仿宋_GB2312"/>
          <w:sz w:val="32"/>
          <w:szCs w:val="32"/>
          <w:highlight w:val="none"/>
        </w:rPr>
        <w:t>万元，占本年支出合计的</w:t>
      </w:r>
      <w:r>
        <w:rPr>
          <w:rFonts w:hint="eastAsia" w:ascii="Times New Roman" w:hAnsi="Times New Roman" w:eastAsia="仿宋_GB2312"/>
          <w:sz w:val="32"/>
          <w:szCs w:val="32"/>
          <w:highlight w:val="none"/>
          <w:lang w:val="en-US" w:eastAsia="zh-CN"/>
        </w:rPr>
        <w:t>99.53</w:t>
      </w:r>
      <w:r>
        <w:rPr>
          <w:rFonts w:hint="eastAsia" w:ascii="Times New Roman" w:hAnsi="Times New Roman" w:eastAsia="仿宋_GB2312"/>
          <w:sz w:val="32"/>
          <w:szCs w:val="32"/>
          <w:highlight w:val="none"/>
        </w:rPr>
        <w:t>%，与上年相比，财政拨款支出增加</w:t>
      </w:r>
      <w:r>
        <w:rPr>
          <w:rFonts w:hint="eastAsia" w:ascii="Times New Roman" w:hAnsi="Times New Roman" w:eastAsia="仿宋_GB2312"/>
          <w:sz w:val="32"/>
          <w:szCs w:val="32"/>
          <w:highlight w:val="none"/>
          <w:lang w:val="en-US" w:eastAsia="zh-CN"/>
        </w:rPr>
        <w:t>1365.2</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39.65</w:t>
      </w:r>
      <w:r>
        <w:rPr>
          <w:rFonts w:hint="eastAsia" w:ascii="Times New Roman" w:hAnsi="Times New Roman" w:eastAsia="仿宋_GB2312"/>
          <w:sz w:val="32"/>
          <w:szCs w:val="32"/>
          <w:highlight w:val="none"/>
        </w:rPr>
        <w:t>%，主要是因为财政局机房、网络租借及系统维护</w:t>
      </w:r>
      <w:r>
        <w:rPr>
          <w:rFonts w:hint="eastAsia" w:ascii="Times New Roman" w:hAnsi="Times New Roman" w:eastAsia="仿宋_GB2312"/>
          <w:sz w:val="32"/>
          <w:szCs w:val="32"/>
          <w:highlight w:val="none"/>
          <w:lang w:eastAsia="zh-CN"/>
        </w:rPr>
        <w:t>、财政数据中心及历年数据清洗、财政投资评审工作费、财政专网业务终端虚拟化等希希软件开支增</w:t>
      </w:r>
      <w:bookmarkStart w:id="20" w:name="_GoBack"/>
      <w:bookmarkEnd w:id="20"/>
      <w:r>
        <w:rPr>
          <w:rFonts w:hint="eastAsia" w:ascii="Times New Roman" w:hAnsi="Times New Roman" w:eastAsia="仿宋_GB2312"/>
          <w:sz w:val="32"/>
          <w:szCs w:val="32"/>
          <w:highlight w:val="none"/>
          <w:lang w:eastAsia="zh-CN"/>
        </w:rPr>
        <w:t>加。</w:t>
      </w:r>
    </w:p>
    <w:p w14:paraId="5497B562">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（二）财政拨款支出决算结构情况</w:t>
      </w:r>
    </w:p>
    <w:p w14:paraId="38B0B1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2023年</w:t>
      </w:r>
      <w:r>
        <w:rPr>
          <w:rFonts w:hint="eastAsia" w:ascii="Times New Roman" w:hAnsi="Times New Roman" w:eastAsia="仿宋_GB2312"/>
          <w:sz w:val="32"/>
          <w:szCs w:val="32"/>
          <w:highlight w:val="none"/>
        </w:rPr>
        <w:t>度财政拨款支出</w:t>
      </w:r>
      <w:r>
        <w:rPr>
          <w:rFonts w:hint="eastAsia" w:ascii="Times New Roman" w:hAnsi="Times New Roman" w:eastAsia="仿宋_GB2312"/>
          <w:sz w:val="32"/>
          <w:szCs w:val="32"/>
          <w:highlight w:val="none"/>
          <w:lang w:val="en-US" w:eastAsia="zh-CN"/>
        </w:rPr>
        <w:t>4617.62</w:t>
      </w:r>
      <w:r>
        <w:rPr>
          <w:rFonts w:hint="eastAsia" w:ascii="Times New Roman" w:hAnsi="Times New Roman" w:eastAsia="仿宋_GB2312"/>
          <w:sz w:val="32"/>
          <w:szCs w:val="32"/>
          <w:highlight w:val="none"/>
        </w:rPr>
        <w:t>万元，主要用于以下方面：一般公共服务（类）支出</w:t>
      </w:r>
      <w:r>
        <w:rPr>
          <w:rFonts w:hint="eastAsia" w:ascii="Times New Roman" w:hAnsi="Times New Roman" w:eastAsia="仿宋_GB2312"/>
          <w:sz w:val="32"/>
          <w:szCs w:val="32"/>
          <w:highlight w:val="none"/>
          <w:lang w:val="en-US" w:eastAsia="zh-CN"/>
        </w:rPr>
        <w:t>3884.42</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84.12</w:t>
      </w:r>
      <w:r>
        <w:rPr>
          <w:rFonts w:hint="eastAsia" w:ascii="Times New Roman" w:hAnsi="Times New Roman" w:eastAsia="仿宋_GB2312"/>
          <w:sz w:val="32"/>
          <w:szCs w:val="32"/>
          <w:highlight w:val="none"/>
        </w:rPr>
        <w:t>%；社会保障和就业支出（类）支出</w:t>
      </w:r>
      <w:r>
        <w:rPr>
          <w:rFonts w:hint="eastAsia" w:ascii="Times New Roman" w:hAnsi="Times New Roman" w:eastAsia="仿宋_GB2312"/>
          <w:sz w:val="32"/>
          <w:szCs w:val="32"/>
          <w:highlight w:val="none"/>
          <w:lang w:val="en-US" w:eastAsia="zh-CN"/>
        </w:rPr>
        <w:t>451.97</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9.78</w:t>
      </w:r>
      <w:r>
        <w:rPr>
          <w:rFonts w:hint="eastAsia" w:ascii="Times New Roman" w:hAnsi="Times New Roman" w:eastAsia="仿宋_GB2312"/>
          <w:sz w:val="32"/>
          <w:szCs w:val="32"/>
          <w:highlight w:val="none"/>
        </w:rPr>
        <w:t>%;卫生健康支出（类）</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lang w:val="en-US" w:eastAsia="zh-CN"/>
        </w:rPr>
        <w:t>141.39</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3.06</w:t>
      </w:r>
      <w:r>
        <w:rPr>
          <w:rFonts w:hint="eastAsia" w:ascii="Times New Roman" w:hAnsi="Times New Roman" w:eastAsia="仿宋_GB2312"/>
          <w:sz w:val="32"/>
          <w:szCs w:val="32"/>
          <w:highlight w:val="none"/>
        </w:rPr>
        <w:t>%；住房保障支出（类）</w:t>
      </w:r>
      <w:r>
        <w:rPr>
          <w:rFonts w:hint="eastAsia" w:ascii="Times New Roman" w:hAnsi="Times New Roman" w:eastAsia="仿宋_GB2312"/>
          <w:sz w:val="32"/>
          <w:szCs w:val="32"/>
          <w:highlight w:val="none"/>
          <w:lang w:eastAsia="zh-CN"/>
        </w:rPr>
        <w:t>支出139.81</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3.02</w:t>
      </w:r>
      <w:r>
        <w:rPr>
          <w:rFonts w:hint="eastAsia" w:ascii="Times New Roman" w:hAnsi="Times New Roman" w:eastAsia="仿宋_GB2312"/>
          <w:sz w:val="32"/>
          <w:szCs w:val="32"/>
          <w:highlight w:val="none"/>
        </w:rPr>
        <w:t>%；其他支出（类）</w:t>
      </w:r>
      <w:r>
        <w:rPr>
          <w:rFonts w:hint="eastAsia" w:ascii="Times New Roman" w:hAnsi="Times New Roman" w:eastAsia="仿宋_GB2312"/>
          <w:sz w:val="32"/>
          <w:szCs w:val="32"/>
          <w:highlight w:val="none"/>
          <w:lang w:eastAsia="zh-CN"/>
        </w:rPr>
        <w:t>支出0.02</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0.0004</w:t>
      </w:r>
      <w:r>
        <w:rPr>
          <w:rFonts w:hint="eastAsia" w:ascii="Times New Roman" w:hAnsi="Times New Roman" w:eastAsia="仿宋_GB2312"/>
          <w:sz w:val="32"/>
          <w:szCs w:val="32"/>
          <w:highlight w:val="none"/>
        </w:rPr>
        <w:t>%；</w:t>
      </w:r>
    </w:p>
    <w:p w14:paraId="536A3C7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（三）财政拨款支出决算具体情况</w:t>
      </w:r>
    </w:p>
    <w:p w14:paraId="7E98061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2023年</w:t>
      </w:r>
      <w:r>
        <w:rPr>
          <w:rFonts w:hint="eastAsia" w:ascii="Times New Roman" w:hAnsi="Times New Roman" w:eastAsia="仿宋_GB2312"/>
          <w:sz w:val="32"/>
          <w:szCs w:val="32"/>
          <w:highlight w:val="none"/>
        </w:rPr>
        <w:t>度财政拨款支出年初预算数为</w:t>
      </w:r>
      <w:r>
        <w:rPr>
          <w:rFonts w:hint="eastAsia" w:ascii="Times New Roman" w:hAnsi="Times New Roman" w:eastAsia="仿宋_GB2312"/>
          <w:sz w:val="32"/>
          <w:szCs w:val="32"/>
          <w:highlight w:val="none"/>
          <w:lang w:val="en-US" w:eastAsia="zh-CN"/>
        </w:rPr>
        <w:t>4617.62</w:t>
      </w:r>
      <w:r>
        <w:rPr>
          <w:rFonts w:hint="eastAsia" w:ascii="Times New Roman" w:hAnsi="Times New Roman" w:eastAsia="仿宋_GB2312"/>
          <w:sz w:val="32"/>
          <w:szCs w:val="32"/>
          <w:highlight w:val="none"/>
        </w:rPr>
        <w:t>万元，支出决算数为</w:t>
      </w:r>
      <w:r>
        <w:rPr>
          <w:rFonts w:hint="eastAsia" w:ascii="Times New Roman" w:hAnsi="Times New Roman" w:eastAsia="仿宋_GB2312"/>
          <w:sz w:val="32"/>
          <w:szCs w:val="32"/>
          <w:highlight w:val="none"/>
          <w:lang w:val="en-US" w:eastAsia="zh-CN"/>
        </w:rPr>
        <w:t>4617.62</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w:t>
      </w:r>
    </w:p>
    <w:p w14:paraId="03AFB27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1、一般公共服务支出（类）政府办公厅（室）及相关机构事务（款）行政运行（项）。</w:t>
      </w:r>
    </w:p>
    <w:p w14:paraId="7AD3285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00974B9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2、一般公共服务支出（类）政府办公厅（室）及相关机构事务（款）其他政府办公厅（室）及相关机构事务支出（项）。</w:t>
      </w:r>
    </w:p>
    <w:p w14:paraId="2B7D32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5FC95F6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3、一般公共服务支出（类）财政事务（款）行政运行（项）。</w:t>
      </w:r>
    </w:p>
    <w:p w14:paraId="37FA1F7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年初预算为3671.89万元，支出决算为</w:t>
      </w:r>
      <w:r>
        <w:rPr>
          <w:rFonts w:hint="eastAsia" w:ascii="Times New Roman" w:hAnsi="Times New Roman" w:eastAsia="仿宋_GB2312"/>
          <w:sz w:val="32"/>
          <w:szCs w:val="32"/>
          <w:highlight w:val="none"/>
          <w:lang w:val="en-US" w:eastAsia="zh-CN"/>
        </w:rPr>
        <w:t>3671.89</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3D4F906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、一般公共服务支出（类）财政事务（款）一般行政管理事务（项）。</w:t>
      </w:r>
    </w:p>
    <w:p w14:paraId="67E93AB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184.64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184.64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670AAA9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、一般公共服务支出（类）财政事务（款）信息化建设（项）。</w:t>
      </w:r>
    </w:p>
    <w:p w14:paraId="6D2E7DC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4.96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4.96</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31E12AB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、一般公共服务支出（类）财政事务（款）其他财政事务支出（项）。</w:t>
      </w:r>
    </w:p>
    <w:p w14:paraId="183A820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1.63</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1.63</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04BEA2D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一般公共服务支出（类）其他一般公共服务支出（款）其他一般公共服务支出（项）。</w:t>
      </w:r>
    </w:p>
    <w:p w14:paraId="380AA9A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0.3</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0.3</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3516FE0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、社会保障和就业支出（类）</w:t>
      </w:r>
      <w:r>
        <w:rPr>
          <w:rFonts w:hint="eastAsia" w:ascii="Times New Roman" w:hAnsi="Times New Roman" w:eastAsia="仿宋_GB2312"/>
          <w:sz w:val="32"/>
          <w:szCs w:val="32"/>
          <w:highlight w:val="none"/>
          <w:lang w:eastAsia="zh-CN"/>
        </w:rPr>
        <w:t>行政事业单位养老支出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机关事业单位基本养老保险缴费支出</w:t>
      </w:r>
      <w:r>
        <w:rPr>
          <w:rFonts w:hint="eastAsia" w:ascii="Times New Roman" w:hAnsi="Times New Roman" w:eastAsia="仿宋_GB2312"/>
          <w:sz w:val="32"/>
          <w:szCs w:val="32"/>
          <w:highlight w:val="none"/>
        </w:rPr>
        <w:t>（项）。</w:t>
      </w:r>
    </w:p>
    <w:p w14:paraId="7573DC2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年初预算为379.48万元，支出决算为</w:t>
      </w:r>
      <w:r>
        <w:rPr>
          <w:rFonts w:hint="eastAsia" w:ascii="Times New Roman" w:hAnsi="Times New Roman" w:eastAsia="仿宋_GB2312"/>
          <w:sz w:val="32"/>
          <w:szCs w:val="32"/>
          <w:highlight w:val="none"/>
          <w:lang w:val="en-US" w:eastAsia="zh-CN"/>
        </w:rPr>
        <w:t>379.48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0593D2E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、社会保障和就业支出（类）</w:t>
      </w:r>
      <w:r>
        <w:rPr>
          <w:rFonts w:hint="eastAsia" w:ascii="Times New Roman" w:hAnsi="Times New Roman" w:eastAsia="仿宋_GB2312"/>
          <w:sz w:val="32"/>
          <w:szCs w:val="32"/>
          <w:highlight w:val="none"/>
          <w:lang w:eastAsia="zh-CN"/>
        </w:rPr>
        <w:t>行政事业单位养老支出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其他行政事业单位养老支出</w:t>
      </w:r>
      <w:r>
        <w:rPr>
          <w:rFonts w:hint="eastAsia" w:ascii="Times New Roman" w:hAnsi="Times New Roman" w:eastAsia="仿宋_GB2312"/>
          <w:sz w:val="32"/>
          <w:szCs w:val="32"/>
          <w:highlight w:val="none"/>
        </w:rPr>
        <w:t>（项）。</w:t>
      </w:r>
    </w:p>
    <w:p w14:paraId="53B73EF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1.31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1.31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307A328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、社会保障和就业支出（类）</w:t>
      </w:r>
      <w:r>
        <w:rPr>
          <w:rFonts w:hint="eastAsia" w:ascii="Times New Roman" w:hAnsi="Times New Roman" w:eastAsia="仿宋_GB2312"/>
          <w:sz w:val="32"/>
          <w:szCs w:val="32"/>
          <w:highlight w:val="none"/>
          <w:lang w:eastAsia="zh-CN"/>
        </w:rPr>
        <w:t>抚恤</w:t>
      </w:r>
      <w:r>
        <w:rPr>
          <w:rFonts w:hint="eastAsia" w:ascii="Times New Roman" w:hAnsi="Times New Roman" w:eastAsia="仿宋_GB2312"/>
          <w:sz w:val="32"/>
          <w:szCs w:val="32"/>
          <w:highlight w:val="none"/>
        </w:rPr>
        <w:t>（款）死亡抚恤（项）。</w:t>
      </w:r>
    </w:p>
    <w:p w14:paraId="41AB64D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71.19</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71.19</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76C2362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rPr>
        <w:t>、卫生健康支出（类）行政事业单位医疗（款）行政单位医疗（项）。</w:t>
      </w:r>
    </w:p>
    <w:p w14:paraId="2B53BE3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年初预算为141.39万元，支出决算为</w:t>
      </w:r>
      <w:r>
        <w:rPr>
          <w:rFonts w:hint="eastAsia" w:ascii="Times New Roman" w:hAnsi="Times New Roman" w:eastAsia="仿宋_GB2312"/>
          <w:sz w:val="32"/>
          <w:szCs w:val="32"/>
          <w:highlight w:val="none"/>
          <w:lang w:val="en-US" w:eastAsia="zh-CN"/>
        </w:rPr>
        <w:t>141.39</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6F91DCA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、住房保障支出（类）住房改革支出（款）</w:t>
      </w:r>
      <w:r>
        <w:rPr>
          <w:rFonts w:hint="eastAsia" w:ascii="Times New Roman" w:hAnsi="Times New Roman" w:eastAsia="仿宋_GB2312"/>
          <w:sz w:val="32"/>
          <w:szCs w:val="32"/>
          <w:highlight w:val="none"/>
          <w:lang w:eastAsia="zh-CN"/>
        </w:rPr>
        <w:t>住房公积金</w:t>
      </w:r>
      <w:r>
        <w:rPr>
          <w:rFonts w:hint="eastAsia" w:ascii="Times New Roman" w:hAnsi="Times New Roman" w:eastAsia="仿宋_GB2312"/>
          <w:sz w:val="32"/>
          <w:szCs w:val="32"/>
          <w:highlight w:val="none"/>
        </w:rPr>
        <w:t>（项）。</w:t>
      </w:r>
    </w:p>
    <w:p w14:paraId="3177083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139.81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139.81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w:t>
      </w:r>
    </w:p>
    <w:p w14:paraId="7FF8365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lang w:eastAsia="zh-CN"/>
        </w:rPr>
        <w:t>其他</w:t>
      </w:r>
      <w:r>
        <w:rPr>
          <w:rFonts w:hint="eastAsia" w:ascii="Times New Roman" w:hAnsi="Times New Roman" w:eastAsia="仿宋_GB2312"/>
          <w:sz w:val="32"/>
          <w:szCs w:val="32"/>
          <w:highlight w:val="none"/>
        </w:rPr>
        <w:t>支出（类）</w:t>
      </w:r>
      <w:r>
        <w:rPr>
          <w:rFonts w:hint="eastAsia" w:ascii="Times New Roman" w:hAnsi="Times New Roman" w:eastAsia="仿宋_GB2312"/>
          <w:sz w:val="32"/>
          <w:szCs w:val="32"/>
          <w:highlight w:val="none"/>
          <w:lang w:eastAsia="zh-CN"/>
        </w:rPr>
        <w:t>其他</w:t>
      </w:r>
      <w:r>
        <w:rPr>
          <w:rFonts w:hint="eastAsia" w:ascii="Times New Roman" w:hAnsi="Times New Roman" w:eastAsia="仿宋_GB2312"/>
          <w:sz w:val="32"/>
          <w:szCs w:val="32"/>
          <w:highlight w:val="none"/>
        </w:rPr>
        <w:t>支出（款）</w:t>
      </w:r>
      <w:r>
        <w:rPr>
          <w:rFonts w:hint="eastAsia" w:ascii="Times New Roman" w:hAnsi="Times New Roman" w:eastAsia="仿宋_GB2312"/>
          <w:sz w:val="32"/>
          <w:szCs w:val="32"/>
          <w:highlight w:val="none"/>
          <w:lang w:eastAsia="zh-CN"/>
        </w:rPr>
        <w:t>其他</w:t>
      </w:r>
      <w:r>
        <w:rPr>
          <w:rFonts w:hint="eastAsia" w:ascii="Times New Roman" w:hAnsi="Times New Roman" w:eastAsia="仿宋_GB2312"/>
          <w:sz w:val="32"/>
          <w:szCs w:val="32"/>
          <w:highlight w:val="none"/>
        </w:rPr>
        <w:t>支出（项）。</w:t>
      </w:r>
    </w:p>
    <w:p w14:paraId="789D093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0.02</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0.02</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等于</w:t>
      </w:r>
      <w:r>
        <w:rPr>
          <w:rFonts w:hint="eastAsia" w:ascii="Times New Roman" w:hAnsi="Times New Roman" w:eastAsia="仿宋_GB2312"/>
          <w:sz w:val="32"/>
          <w:szCs w:val="32"/>
          <w:highlight w:val="none"/>
        </w:rPr>
        <w:t>年初预算数。</w:t>
      </w:r>
    </w:p>
    <w:p w14:paraId="03BD04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93AB75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4197.94</w:t>
      </w:r>
      <w:r>
        <w:rPr>
          <w:rFonts w:hint="eastAsia" w:ascii="Times New Roman" w:hAnsi="Times New Roman" w:eastAsia="仿宋_GB2312"/>
          <w:sz w:val="32"/>
          <w:szCs w:val="32"/>
        </w:rPr>
        <w:t>万元，其中：</w:t>
      </w:r>
    </w:p>
    <w:p w14:paraId="68CD9B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2880.04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68.61</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1040.22万元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522.1万元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171.07万元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42.9万元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154.83万元、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380.97万元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143.65万元</w:t>
      </w:r>
      <w:r>
        <w:rPr>
          <w:rFonts w:hint="eastAsia" w:ascii="Times New Roman" w:hAnsi="Times New Roman" w:eastAsia="仿宋_GB2312"/>
          <w:sz w:val="32"/>
          <w:szCs w:val="32"/>
        </w:rPr>
        <w:t>、其他社会保障缴费</w:t>
      </w:r>
      <w:r>
        <w:rPr>
          <w:rFonts w:hint="eastAsia" w:ascii="Times New Roman" w:hAnsi="Times New Roman" w:eastAsia="仿宋_GB2312"/>
          <w:sz w:val="32"/>
          <w:szCs w:val="32"/>
          <w:lang w:val="en-US" w:eastAsia="zh-CN"/>
        </w:rPr>
        <w:t>3.86万元</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260.05万元</w:t>
      </w:r>
      <w:r>
        <w:rPr>
          <w:rFonts w:hint="eastAsia" w:ascii="Times New Roman" w:hAnsi="Times New Roman" w:eastAsia="仿宋_GB2312"/>
          <w:sz w:val="32"/>
          <w:szCs w:val="32"/>
        </w:rPr>
        <w:t>、抚恤金</w:t>
      </w:r>
      <w:r>
        <w:rPr>
          <w:rFonts w:hint="eastAsia" w:ascii="Times New Roman" w:hAnsi="Times New Roman" w:eastAsia="仿宋_GB2312"/>
          <w:sz w:val="32"/>
          <w:szCs w:val="32"/>
          <w:lang w:val="en-US" w:eastAsia="zh-CN"/>
        </w:rPr>
        <w:t>61.39万元</w:t>
      </w:r>
      <w:r>
        <w:rPr>
          <w:rFonts w:hint="eastAsia" w:ascii="Times New Roman" w:hAnsi="Times New Roman" w:eastAsia="仿宋_GB2312"/>
          <w:sz w:val="32"/>
          <w:szCs w:val="32"/>
        </w:rPr>
        <w:t>、生活补助</w:t>
      </w:r>
      <w:r>
        <w:rPr>
          <w:rFonts w:hint="eastAsia" w:ascii="Times New Roman" w:hAnsi="Times New Roman" w:eastAsia="仿宋_GB2312"/>
          <w:sz w:val="32"/>
          <w:szCs w:val="32"/>
          <w:lang w:val="en-US" w:eastAsia="zh-CN"/>
        </w:rPr>
        <w:t>68.2万元</w:t>
      </w:r>
      <w:r>
        <w:rPr>
          <w:rFonts w:hint="eastAsia" w:ascii="Times New Roman" w:hAnsi="Times New Roman" w:eastAsia="仿宋_GB2312"/>
          <w:sz w:val="32"/>
          <w:szCs w:val="32"/>
        </w:rPr>
        <w:t>、救济费</w:t>
      </w:r>
      <w:r>
        <w:rPr>
          <w:rFonts w:hint="eastAsia" w:ascii="Times New Roman" w:hAnsi="Times New Roman" w:eastAsia="仿宋_GB2312"/>
          <w:sz w:val="32"/>
          <w:szCs w:val="32"/>
          <w:lang w:val="en-US" w:eastAsia="zh-CN"/>
        </w:rPr>
        <w:t>1.8万元</w:t>
      </w:r>
      <w:r>
        <w:rPr>
          <w:rFonts w:hint="eastAsia" w:ascii="Times New Roman" w:hAnsi="Times New Roman" w:eastAsia="仿宋_GB2312"/>
          <w:sz w:val="32"/>
          <w:szCs w:val="32"/>
        </w:rPr>
        <w:t>、奖励金</w:t>
      </w:r>
      <w:r>
        <w:rPr>
          <w:rFonts w:hint="eastAsia" w:ascii="Times New Roman" w:hAnsi="Times New Roman" w:eastAsia="仿宋_GB2312"/>
          <w:sz w:val="32"/>
          <w:szCs w:val="32"/>
          <w:lang w:val="en-US" w:eastAsia="zh-CN"/>
        </w:rPr>
        <w:t>10.45万元</w:t>
      </w:r>
      <w:r>
        <w:rPr>
          <w:rFonts w:hint="eastAsia" w:ascii="Times New Roman" w:hAnsi="Times New Roman" w:eastAsia="仿宋_GB2312"/>
          <w:sz w:val="32"/>
          <w:szCs w:val="32"/>
        </w:rPr>
        <w:t>、其他对个人和家庭的补助</w:t>
      </w:r>
      <w:r>
        <w:rPr>
          <w:rFonts w:hint="eastAsia" w:ascii="Times New Roman" w:hAnsi="Times New Roman" w:eastAsia="仿宋_GB2312"/>
          <w:sz w:val="32"/>
          <w:szCs w:val="32"/>
          <w:lang w:val="en-US" w:eastAsia="zh-CN"/>
        </w:rPr>
        <w:t>1.2万元</w:t>
      </w:r>
    </w:p>
    <w:p w14:paraId="5DF17E1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1317.89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31.39</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42.97万元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76.1万元</w:t>
      </w:r>
      <w:r>
        <w:rPr>
          <w:rFonts w:hint="eastAsia" w:ascii="Times New Roman" w:hAnsi="Times New Roman" w:eastAsia="仿宋_GB2312"/>
          <w:sz w:val="32"/>
          <w:szCs w:val="32"/>
        </w:rPr>
        <w:t>、水费</w:t>
      </w:r>
      <w:r>
        <w:rPr>
          <w:rFonts w:hint="eastAsia" w:ascii="Times New Roman" w:hAnsi="Times New Roman" w:eastAsia="仿宋_GB2312"/>
          <w:sz w:val="32"/>
          <w:szCs w:val="32"/>
          <w:lang w:val="en-US" w:eastAsia="zh-CN"/>
        </w:rPr>
        <w:t>3.36万元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25.35万元</w:t>
      </w:r>
      <w:r>
        <w:rPr>
          <w:rFonts w:hint="eastAsia" w:ascii="Times New Roman" w:hAnsi="Times New Roman" w:eastAsia="仿宋_GB2312"/>
          <w:sz w:val="32"/>
          <w:szCs w:val="32"/>
        </w:rPr>
        <w:t>、邮电费</w:t>
      </w:r>
      <w:r>
        <w:rPr>
          <w:rFonts w:hint="eastAsia" w:ascii="Times New Roman" w:hAnsi="Times New Roman" w:eastAsia="仿宋_GB2312"/>
          <w:sz w:val="32"/>
          <w:szCs w:val="32"/>
          <w:lang w:val="en-US" w:eastAsia="zh-CN"/>
        </w:rPr>
        <w:t>38.07万元</w:t>
      </w:r>
      <w:r>
        <w:rPr>
          <w:rFonts w:hint="eastAsia" w:ascii="Times New Roman" w:hAnsi="Times New Roman" w:eastAsia="仿宋_GB2312"/>
          <w:sz w:val="32"/>
          <w:szCs w:val="32"/>
        </w:rPr>
        <w:t>、差旅费</w:t>
      </w:r>
      <w:r>
        <w:rPr>
          <w:rFonts w:hint="eastAsia" w:ascii="Times New Roman" w:hAnsi="Times New Roman" w:eastAsia="仿宋_GB2312"/>
          <w:sz w:val="32"/>
          <w:szCs w:val="32"/>
          <w:lang w:val="en-US" w:eastAsia="zh-CN"/>
        </w:rPr>
        <w:t>200.56万元</w:t>
      </w:r>
      <w:r>
        <w:rPr>
          <w:rFonts w:hint="eastAsia" w:ascii="Times New Roman" w:hAnsi="Times New Roman" w:eastAsia="仿宋_GB2312"/>
          <w:sz w:val="32"/>
          <w:szCs w:val="32"/>
        </w:rPr>
        <w:t>、维修费</w:t>
      </w:r>
      <w:r>
        <w:rPr>
          <w:rFonts w:hint="eastAsia" w:ascii="Times New Roman" w:hAnsi="Times New Roman" w:eastAsia="仿宋_GB2312"/>
          <w:sz w:val="32"/>
          <w:szCs w:val="32"/>
          <w:lang w:val="en-US" w:eastAsia="zh-CN"/>
        </w:rPr>
        <w:t>160.77万元</w:t>
      </w:r>
      <w:r>
        <w:rPr>
          <w:rFonts w:hint="eastAsia" w:ascii="Times New Roman" w:hAnsi="Times New Roman" w:eastAsia="仿宋_GB2312"/>
          <w:sz w:val="32"/>
          <w:szCs w:val="32"/>
        </w:rPr>
        <w:t>、会议费</w:t>
      </w:r>
      <w:r>
        <w:rPr>
          <w:rFonts w:hint="eastAsia" w:ascii="Times New Roman" w:hAnsi="Times New Roman" w:eastAsia="仿宋_GB2312"/>
          <w:sz w:val="32"/>
          <w:szCs w:val="32"/>
          <w:lang w:val="en-US" w:eastAsia="zh-CN"/>
        </w:rPr>
        <w:t>4.83万元</w:t>
      </w:r>
      <w:r>
        <w:rPr>
          <w:rFonts w:hint="eastAsia" w:ascii="Times New Roman" w:hAnsi="Times New Roman" w:eastAsia="仿宋_GB2312"/>
          <w:sz w:val="32"/>
          <w:szCs w:val="32"/>
        </w:rPr>
        <w:t>、培训费</w:t>
      </w:r>
      <w:r>
        <w:rPr>
          <w:rFonts w:hint="eastAsia" w:ascii="Times New Roman" w:hAnsi="Times New Roman" w:eastAsia="仿宋_GB2312"/>
          <w:sz w:val="32"/>
          <w:szCs w:val="32"/>
          <w:lang w:val="en-US" w:eastAsia="zh-CN"/>
        </w:rPr>
        <w:t>5.29万元</w:t>
      </w:r>
      <w:r>
        <w:rPr>
          <w:rFonts w:hint="eastAsia" w:ascii="Times New Roman" w:hAnsi="Times New Roman" w:eastAsia="仿宋_GB2312"/>
          <w:sz w:val="32"/>
          <w:szCs w:val="32"/>
        </w:rPr>
        <w:t>、公务招待费</w:t>
      </w:r>
      <w:r>
        <w:rPr>
          <w:rFonts w:hint="eastAsia" w:ascii="Times New Roman" w:hAnsi="Times New Roman" w:eastAsia="仿宋_GB2312"/>
          <w:sz w:val="32"/>
          <w:szCs w:val="32"/>
          <w:lang w:val="en-US" w:eastAsia="zh-CN"/>
        </w:rPr>
        <w:t>1.92万元</w:t>
      </w:r>
      <w:r>
        <w:rPr>
          <w:rFonts w:hint="eastAsia" w:ascii="Times New Roman" w:hAnsi="Times New Roman" w:eastAsia="仿宋_GB2312"/>
          <w:sz w:val="32"/>
          <w:szCs w:val="32"/>
        </w:rPr>
        <w:t>、劳务费</w:t>
      </w:r>
      <w:r>
        <w:rPr>
          <w:rFonts w:hint="eastAsia" w:ascii="Times New Roman" w:hAnsi="Times New Roman" w:eastAsia="仿宋_GB2312"/>
          <w:sz w:val="32"/>
          <w:szCs w:val="32"/>
          <w:lang w:val="en-US" w:eastAsia="zh-CN"/>
        </w:rPr>
        <w:t>85.58万元</w:t>
      </w:r>
      <w:r>
        <w:rPr>
          <w:rFonts w:hint="eastAsia" w:ascii="Times New Roman" w:hAnsi="Times New Roman" w:eastAsia="仿宋_GB2312"/>
          <w:sz w:val="32"/>
          <w:szCs w:val="32"/>
        </w:rPr>
        <w:t>、委托业务费</w:t>
      </w:r>
      <w:r>
        <w:rPr>
          <w:rFonts w:hint="eastAsia" w:ascii="Times New Roman" w:hAnsi="Times New Roman" w:eastAsia="仿宋_GB2312"/>
          <w:sz w:val="32"/>
          <w:szCs w:val="32"/>
          <w:lang w:val="en-US" w:eastAsia="zh-CN"/>
        </w:rPr>
        <w:t>188.82万元</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val="en-US" w:eastAsia="zh-CN"/>
        </w:rPr>
        <w:t>90.88万元</w:t>
      </w:r>
      <w:r>
        <w:rPr>
          <w:rFonts w:hint="eastAsia" w:ascii="Times New Roman" w:hAnsi="Times New Roman" w:eastAsia="仿宋_GB2312"/>
          <w:sz w:val="32"/>
          <w:szCs w:val="32"/>
        </w:rPr>
        <w:t>、福利费</w:t>
      </w:r>
      <w:r>
        <w:rPr>
          <w:rFonts w:hint="eastAsia" w:ascii="Times New Roman" w:hAnsi="Times New Roman" w:eastAsia="仿宋_GB2312"/>
          <w:sz w:val="32"/>
          <w:szCs w:val="32"/>
          <w:lang w:val="en-US" w:eastAsia="zh-CN"/>
        </w:rPr>
        <w:t>48.43万元</w:t>
      </w:r>
      <w:r>
        <w:rPr>
          <w:rFonts w:hint="eastAsia" w:ascii="Times New Roman" w:hAnsi="Times New Roman" w:eastAsia="仿宋_GB2312"/>
          <w:sz w:val="32"/>
          <w:szCs w:val="32"/>
        </w:rPr>
        <w:t>、其他交通费</w:t>
      </w:r>
      <w:r>
        <w:rPr>
          <w:rFonts w:hint="eastAsia" w:ascii="Times New Roman" w:hAnsi="Times New Roman" w:eastAsia="仿宋_GB2312"/>
          <w:sz w:val="32"/>
          <w:szCs w:val="32"/>
          <w:lang w:val="en-US" w:eastAsia="zh-CN"/>
        </w:rPr>
        <w:t>193.17万元</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val="en-US" w:eastAsia="zh-CN"/>
        </w:rPr>
        <w:t>101.53万元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信息网络及</w:t>
      </w:r>
      <w:r>
        <w:rPr>
          <w:rFonts w:hint="eastAsia" w:ascii="Times New Roman" w:hAnsi="Times New Roman" w:eastAsia="仿宋_GB2312"/>
          <w:sz w:val="32"/>
          <w:szCs w:val="32"/>
        </w:rPr>
        <w:t>软件购置</w:t>
      </w:r>
      <w:r>
        <w:rPr>
          <w:rFonts w:hint="eastAsia" w:ascii="Times New Roman" w:hAnsi="Times New Roman" w:eastAsia="仿宋_GB2312"/>
          <w:sz w:val="32"/>
          <w:szCs w:val="32"/>
          <w:lang w:eastAsia="zh-CN"/>
        </w:rPr>
        <w:t>更新</w:t>
      </w:r>
      <w:r>
        <w:rPr>
          <w:rFonts w:hint="eastAsia" w:ascii="Times New Roman" w:hAnsi="Times New Roman" w:eastAsia="仿宋_GB2312"/>
          <w:sz w:val="32"/>
          <w:szCs w:val="32"/>
          <w:lang w:val="en-US" w:eastAsia="zh-CN"/>
        </w:rPr>
        <w:t>14.92万元。</w:t>
      </w:r>
    </w:p>
    <w:p w14:paraId="1F40E53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67B3602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B0ABD9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3C5222A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4" w:name="OLE_LINK3"/>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bookmarkEnd w:id="4"/>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1B51C52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1.61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rPr>
        <w:t>的主要原因</w:t>
      </w:r>
      <w:r>
        <w:rPr>
          <w:rFonts w:hint="eastAsia" w:ascii="Times New Roman" w:hAnsi="Times New Roman" w:eastAsia="仿宋_GB2312"/>
          <w:sz w:val="32"/>
          <w:szCs w:val="32"/>
          <w:lang w:eastAsia="zh-CN"/>
        </w:rPr>
        <w:t>是检查增多。</w:t>
      </w:r>
    </w:p>
    <w:p w14:paraId="1DCA9F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7323165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3DB0818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8AE51A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876FFC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38D6AB7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县级以及上级审计检查</w:t>
      </w:r>
      <w:r>
        <w:rPr>
          <w:rFonts w:hint="eastAsia" w:ascii="Times New Roman" w:hAnsi="Times New Roman" w:eastAsia="仿宋_GB2312"/>
          <w:sz w:val="32"/>
          <w:szCs w:val="32"/>
        </w:rPr>
        <w:t>的接待支出。</w:t>
      </w:r>
    </w:p>
    <w:p w14:paraId="7D17685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83B4DF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507A1EE">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01C4836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本单位无政府性基金收支</w:t>
      </w:r>
    </w:p>
    <w:p w14:paraId="2905889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12040D8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1317.89</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294.65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28.8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维修费、其他交通费用等增加</w:t>
      </w:r>
      <w:r>
        <w:rPr>
          <w:rFonts w:hint="eastAsia" w:ascii="Times New Roman" w:hAnsi="Times New Roman" w:eastAsia="仿宋_GB2312"/>
          <w:sz w:val="32"/>
          <w:szCs w:val="32"/>
        </w:rPr>
        <w:t>。</w:t>
      </w:r>
    </w:p>
    <w:p w14:paraId="3973BFD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2E3D20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4.83</w:t>
      </w:r>
      <w:r>
        <w:rPr>
          <w:rFonts w:hint="eastAsia" w:ascii="Times New Roman" w:hAnsi="Times New Roman" w:eastAsia="仿宋_GB2312"/>
          <w:sz w:val="32"/>
          <w:szCs w:val="32"/>
        </w:rPr>
        <w:t>万元，用于召开内控工作会议、综合财务报告编制、决算相关工作会议等财政业务工作会议，人数</w:t>
      </w:r>
      <w:r>
        <w:rPr>
          <w:rFonts w:hint="eastAsia" w:ascii="Times New Roman" w:hAnsi="Times New Roman" w:eastAsia="仿宋_GB2312"/>
          <w:sz w:val="32"/>
          <w:szCs w:val="32"/>
          <w:lang w:val="en-US" w:eastAsia="zh-CN"/>
        </w:rPr>
        <w:t>1120</w:t>
      </w:r>
      <w:r>
        <w:rPr>
          <w:rFonts w:hint="eastAsia" w:ascii="Times New Roman" w:hAnsi="Times New Roman" w:eastAsia="仿宋_GB2312"/>
          <w:sz w:val="32"/>
          <w:szCs w:val="32"/>
        </w:rPr>
        <w:t>人，内容为内控工作、综合财务报告编制、决算相关工作；</w:t>
      </w:r>
    </w:p>
    <w:p w14:paraId="07C9EB5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5.29</w:t>
      </w:r>
      <w:r>
        <w:rPr>
          <w:rFonts w:hint="eastAsia" w:ascii="Times New Roman" w:hAnsi="Times New Roman" w:eastAsia="仿宋_GB2312"/>
          <w:sz w:val="32"/>
          <w:szCs w:val="32"/>
        </w:rPr>
        <w:t>万元，用于开展用于开展内控工作会议、决算工作会议、乡村财会人员等培训，人数</w:t>
      </w:r>
      <w:r>
        <w:rPr>
          <w:rFonts w:hint="eastAsia" w:ascii="Times New Roman" w:hAnsi="Times New Roman" w:eastAsia="仿宋_GB2312"/>
          <w:sz w:val="32"/>
          <w:szCs w:val="32"/>
          <w:lang w:val="en-US" w:eastAsia="zh-CN"/>
        </w:rPr>
        <w:t>840</w:t>
      </w:r>
      <w:r>
        <w:rPr>
          <w:rFonts w:hint="eastAsia" w:ascii="Times New Roman" w:hAnsi="Times New Roman" w:eastAsia="仿宋_GB2312"/>
          <w:sz w:val="32"/>
          <w:szCs w:val="32"/>
        </w:rPr>
        <w:t>人，内容为内控工作、综合财务报告编制、决算相关工作；</w:t>
      </w:r>
    </w:p>
    <w:p w14:paraId="4FD4F9F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039E9E6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653BD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FF"/>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万元，其中：政府采购货物支出</w:t>
      </w:r>
      <w:bookmarkStart w:id="5" w:name="OLE_LINK4"/>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 xml:space="preserve"> </w:t>
      </w:r>
      <w:bookmarkEnd w:id="5"/>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6F7B55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5C6A27B8">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5624511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lang w:eastAsia="zh-CN"/>
        </w:rPr>
        <w:t>2023</w:t>
      </w:r>
      <w:r>
        <w:rPr>
          <w:rFonts w:hint="eastAsia" w:ascii="黑体" w:hAnsi="黑体" w:eastAsia="黑体" w:cs="黑体"/>
          <w:b w:val="0"/>
          <w:bCs/>
          <w:sz w:val="32"/>
          <w:szCs w:val="32"/>
        </w:rPr>
        <w:t>年度预算绩效情况的说明</w:t>
      </w:r>
    </w:p>
    <w:p w14:paraId="6095A23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6" w:name="OLE_LINK13"/>
      <w:bookmarkStart w:id="7" w:name="OLE_LINK50"/>
      <w:bookmarkStart w:id="8" w:name="OLE_LINK45"/>
      <w:r>
        <w:rPr>
          <w:rFonts w:hint="eastAsia" w:ascii="楷体" w:hAnsi="楷体" w:eastAsia="楷体" w:cs="楷体"/>
          <w:b/>
          <w:bCs/>
          <w:sz w:val="32"/>
          <w:szCs w:val="32"/>
          <w:lang w:eastAsia="zh-CN"/>
        </w:rPr>
        <w:t>（一）</w:t>
      </w:r>
      <w:bookmarkStart w:id="9" w:name="OLE_LINK5"/>
      <w:r>
        <w:rPr>
          <w:rFonts w:hint="eastAsia" w:ascii="楷体" w:hAnsi="楷体" w:eastAsia="楷体" w:cs="楷体"/>
          <w:b/>
          <w:bCs/>
          <w:sz w:val="32"/>
          <w:szCs w:val="32"/>
          <w:lang w:eastAsia="zh-CN"/>
        </w:rPr>
        <w:t>绩效管理工作开展情况</w:t>
      </w:r>
      <w:bookmarkEnd w:id="6"/>
      <w:bookmarkEnd w:id="9"/>
    </w:p>
    <w:p w14:paraId="3322148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00B0F0"/>
          <w:sz w:val="32"/>
          <w:szCs w:val="32"/>
          <w:lang w:eastAsia="zh-CN"/>
        </w:rPr>
      </w:pPr>
      <w:bookmarkStart w:id="10" w:name="OLE_LINK40"/>
      <w:r>
        <w:rPr>
          <w:rFonts w:hint="eastAsia" w:ascii="Times New Roman" w:hAnsi="Times New Roman" w:eastAsia="仿宋_GB2312"/>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7"/>
      <w:r>
        <w:rPr>
          <w:rFonts w:hint="eastAsia" w:ascii="Times New Roman" w:hAnsi="Times New Roman" w:eastAsia="仿宋_GB2312"/>
          <w:sz w:val="32"/>
          <w:szCs w:val="32"/>
          <w:lang w:eastAsia="zh-CN"/>
        </w:rPr>
        <w:t>。</w:t>
      </w:r>
      <w:bookmarkEnd w:id="10"/>
    </w:p>
    <w:bookmarkEnd w:id="8"/>
    <w:p w14:paraId="353E2F7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1" w:name="OLE_LINK46"/>
      <w:bookmarkStart w:id="12" w:name="OLE_LINK51"/>
      <w:r>
        <w:rPr>
          <w:rFonts w:hint="eastAsia" w:ascii="楷体" w:hAnsi="楷体" w:eastAsia="楷体" w:cs="楷体"/>
          <w:b/>
          <w:bCs/>
          <w:sz w:val="32"/>
          <w:szCs w:val="32"/>
          <w:lang w:eastAsia="zh-CN"/>
        </w:rPr>
        <w:t>（二）</w:t>
      </w:r>
      <w:bookmarkStart w:id="13"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13"/>
    </w:p>
    <w:bookmarkEnd w:id="11"/>
    <w:p w14:paraId="3534405D">
      <w:pPr>
        <w:pStyle w:val="8"/>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黑体"/>
          <w:color w:val="000000"/>
          <w:kern w:val="0"/>
          <w:sz w:val="32"/>
          <w:szCs w:val="32"/>
          <w:lang w:val="en-US" w:eastAsia="zh-CN" w:bidi="ar-SA"/>
        </w:rPr>
        <w:t>202</w:t>
      </w:r>
      <w:r>
        <w:rPr>
          <w:rFonts w:hint="eastAsia" w:ascii="Times New Roman" w:hAnsi="Times New Roman" w:eastAsia="仿宋_GB2312" w:cs="黑体"/>
          <w:color w:val="000000"/>
          <w:kern w:val="0"/>
          <w:sz w:val="32"/>
          <w:szCs w:val="32"/>
          <w:lang w:val="en-US" w:eastAsia="zh-CN" w:bidi="ar-SA"/>
        </w:rPr>
        <w:t>3</w:t>
      </w:r>
      <w:r>
        <w:rPr>
          <w:rFonts w:hint="default" w:ascii="Times New Roman" w:hAnsi="Times New Roman" w:eastAsia="仿宋_GB2312" w:cs="黑体"/>
          <w:color w:val="000000"/>
          <w:kern w:val="0"/>
          <w:sz w:val="32"/>
          <w:szCs w:val="32"/>
          <w:lang w:val="en-US" w:eastAsia="zh-CN" w:bidi="ar-SA"/>
        </w:rPr>
        <w:t>年，部门预算整体支出进度</w:t>
      </w:r>
      <w:r>
        <w:rPr>
          <w:rFonts w:hint="eastAsia" w:ascii="Times New Roman" w:hAnsi="Times New Roman" w:eastAsia="仿宋_GB2312" w:cs="黑体"/>
          <w:color w:val="000000"/>
          <w:kern w:val="0"/>
          <w:sz w:val="32"/>
          <w:szCs w:val="32"/>
          <w:lang w:val="en-US" w:eastAsia="zh-CN" w:bidi="ar-SA"/>
        </w:rPr>
        <w:t xml:space="preserve">100 </w:t>
      </w:r>
      <w:r>
        <w:rPr>
          <w:rFonts w:hint="default" w:ascii="Times New Roman" w:hAnsi="Times New Roman" w:eastAsia="仿宋_GB2312" w:cs="黑体"/>
          <w:color w:val="000000"/>
          <w:kern w:val="0"/>
          <w:sz w:val="32"/>
          <w:szCs w:val="32"/>
          <w:lang w:val="en-US" w:eastAsia="zh-CN" w:bidi="ar-SA"/>
        </w:rPr>
        <w:t>%，在服务财政改革，保障</w:t>
      </w:r>
      <w:r>
        <w:rPr>
          <w:rFonts w:hint="eastAsia" w:ascii="Times New Roman" w:hAnsi="Times New Roman" w:eastAsia="仿宋_GB2312" w:cs="黑体"/>
          <w:color w:val="000000"/>
          <w:kern w:val="0"/>
          <w:sz w:val="32"/>
          <w:szCs w:val="32"/>
          <w:lang w:val="en-US" w:eastAsia="zh-CN" w:bidi="ar-SA"/>
        </w:rPr>
        <w:t>局</w:t>
      </w:r>
      <w:r>
        <w:rPr>
          <w:rFonts w:hint="default" w:ascii="Times New Roman" w:hAnsi="Times New Roman" w:eastAsia="仿宋_GB2312" w:cs="黑体"/>
          <w:color w:val="000000"/>
          <w:kern w:val="0"/>
          <w:sz w:val="32"/>
          <w:szCs w:val="32"/>
          <w:lang w:val="en-US" w:eastAsia="zh-CN" w:bidi="ar-SA"/>
        </w:rPr>
        <w:t>机关的正常运转等方面发挥了积极作用，总体支出绩效良好</w:t>
      </w:r>
      <w:r>
        <w:rPr>
          <w:rFonts w:hint="default" w:ascii="Times New Roman" w:hAnsi="Times New Roman" w:eastAsia="仿宋_GB2312" w:cs="Times New Roman"/>
          <w:snapToGrid w:val="0"/>
          <w:color w:val="auto"/>
          <w:kern w:val="0"/>
          <w:sz w:val="32"/>
          <w:szCs w:val="32"/>
          <w:lang w:val="en-US" w:eastAsia="zh-CN"/>
        </w:rPr>
        <w:t>。</w:t>
      </w:r>
    </w:p>
    <w:p w14:paraId="2E558369">
      <w:pPr>
        <w:numPr>
          <w:ilvl w:val="0"/>
          <w:numId w:val="2"/>
        </w:numPr>
        <w:shd w:val="clear"/>
        <w:spacing w:line="560" w:lineRule="exact"/>
        <w:ind w:left="840" w:leftChars="0" w:right="105" w:rightChars="50"/>
        <w:jc w:val="left"/>
        <w:rPr>
          <w:rFonts w:hint="eastAsia" w:ascii="仿宋" w:hAnsi="仿宋" w:eastAsia="仿宋" w:cs="仿宋_GB2312"/>
          <w:color w:val="000000"/>
          <w:kern w:val="0"/>
          <w:sz w:val="32"/>
          <w:szCs w:val="32"/>
        </w:rPr>
      </w:pPr>
      <w:r>
        <w:rPr>
          <w:rFonts w:hint="eastAsia" w:ascii="楷体" w:hAnsi="楷体" w:eastAsia="楷体" w:cs="楷体"/>
          <w:sz w:val="32"/>
          <w:szCs w:val="32"/>
          <w:lang w:val="en-US" w:eastAsia="zh-CN"/>
        </w:rPr>
        <w:t>效率性分析</w:t>
      </w:r>
    </w:p>
    <w:p w14:paraId="46C53F30">
      <w:pPr>
        <w:numPr>
          <w:ilvl w:val="0"/>
          <w:numId w:val="0"/>
        </w:numPr>
        <w:shd w:val="clear"/>
        <w:spacing w:line="560" w:lineRule="exact"/>
        <w:ind w:left="0" w:leftChars="0" w:right="105" w:rightChars="5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仿宋" w:hAnsi="仿宋" w:eastAsia="仿宋" w:cs="仿宋_GB2312"/>
          <w:color w:val="000000"/>
          <w:kern w:val="0"/>
          <w:sz w:val="32"/>
          <w:szCs w:val="32"/>
        </w:rPr>
        <w:t>2023年，我县地方一般公共预算收入完成106052万元，同比增长8.54%，为全年征收计划的110.37%。其中地方税收完成 76851 万元，同比增长8.55 %，为全年征收计划的 113.87 %；非税收入完成29201 万元，同比增</w:t>
      </w:r>
      <w:r>
        <w:rPr>
          <w:rFonts w:hint="eastAsia" w:ascii="Times New Roman" w:hAnsi="Times New Roman" w:eastAsia="仿宋_GB2312" w:cs="黑体"/>
          <w:color w:val="000000"/>
          <w:kern w:val="0"/>
          <w:sz w:val="32"/>
          <w:szCs w:val="32"/>
          <w:lang w:val="en-US" w:eastAsia="zh-CN" w:bidi="ar-SA"/>
        </w:rPr>
        <w:t>长8.50 %。非税占比为27.53%。</w:t>
      </w:r>
    </w:p>
    <w:p w14:paraId="51371AD8">
      <w:pPr>
        <w:numPr>
          <w:numId w:val="0"/>
        </w:numPr>
        <w:shd w:val="clear"/>
        <w:spacing w:line="560" w:lineRule="exact"/>
        <w:ind w:right="105" w:rightChars="5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（2）经济效益分析</w:t>
      </w:r>
    </w:p>
    <w:p w14:paraId="1AF17F1C">
      <w:pPr>
        <w:numPr>
          <w:ilvl w:val="0"/>
          <w:numId w:val="0"/>
        </w:numPr>
        <w:shd w:val="clear"/>
        <w:spacing w:line="560" w:lineRule="exact"/>
        <w:ind w:left="0" w:leftChars="0" w:right="105" w:rightChars="5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支出总额控制在预算总额以内，“三公”经费总体控制较好，比上年有所下降，未超过预算控制数。</w:t>
      </w:r>
    </w:p>
    <w:p w14:paraId="0D711E23">
      <w:pPr>
        <w:keepNext/>
        <w:keepLines w:val="0"/>
        <w:pageBreakBefore w:val="0"/>
        <w:numPr>
          <w:ilvl w:val="0"/>
          <w:numId w:val="0"/>
        </w:numPr>
        <w:shd w:val="clear"/>
        <w:kinsoku/>
        <w:wordWrap/>
        <w:topLinePunct w:val="0"/>
        <w:bidi w:val="0"/>
        <w:snapToGrid/>
        <w:spacing w:line="600" w:lineRule="exact"/>
        <w:ind w:firstLine="640"/>
        <w:textAlignment w:val="auto"/>
        <w:rPr>
          <w:rFonts w:hint="default" w:ascii="楷体" w:hAnsi="楷体" w:eastAsia="楷体" w:cs="楷体"/>
          <w:sz w:val="32"/>
          <w:szCs w:val="32"/>
          <w:lang w:val="en-US" w:eastAsia="zh-CN"/>
        </w:rPr>
      </w:pPr>
      <w:r>
        <w:rPr>
          <w:rFonts w:hint="eastAsia" w:ascii="Times New Roman" w:hAnsi="Times New Roman" w:eastAsia="仿宋_GB2312" w:cs="黑体"/>
          <w:color w:val="000000"/>
          <w:kern w:val="0"/>
          <w:sz w:val="32"/>
          <w:szCs w:val="32"/>
          <w:lang w:val="en-US" w:eastAsia="zh-CN" w:bidi="ar-SA"/>
        </w:rPr>
        <w:t>（3）</w:t>
      </w:r>
      <w:r>
        <w:rPr>
          <w:rFonts w:hint="eastAsia" w:ascii="楷体" w:hAnsi="楷体" w:eastAsia="楷体" w:cs="楷体"/>
          <w:sz w:val="32"/>
          <w:szCs w:val="32"/>
          <w:lang w:val="en-US" w:eastAsia="zh-CN"/>
        </w:rPr>
        <w:t>社会效益分析</w:t>
      </w:r>
    </w:p>
    <w:p w14:paraId="2C297F54">
      <w:pPr>
        <w:numPr>
          <w:ilvl w:val="0"/>
          <w:numId w:val="0"/>
        </w:numPr>
        <w:shd w:val="clear"/>
        <w:spacing w:line="560" w:lineRule="exact"/>
        <w:ind w:left="0" w:leftChars="0" w:right="105" w:rightChars="50" w:firstLine="640" w:firstLineChars="200"/>
        <w:jc w:val="left"/>
        <w:rPr>
          <w:rFonts w:hint="eastAsia" w:ascii="仿宋" w:hAnsi="仿宋" w:eastAsia="仿宋"/>
          <w:sz w:val="32"/>
          <w:szCs w:val="32"/>
        </w:rPr>
      </w:pPr>
      <w:r>
        <w:rPr>
          <w:rFonts w:hint="eastAsia" w:ascii="Times New Roman" w:hAnsi="Times New Roman" w:eastAsia="仿宋_GB2312" w:cs="黑体"/>
          <w:color w:val="000000"/>
          <w:kern w:val="0"/>
          <w:sz w:val="32"/>
          <w:szCs w:val="32"/>
          <w:lang w:val="en-US" w:eastAsia="zh-CN" w:bidi="ar-SA"/>
        </w:rPr>
        <w:t>1.攻艰克难，全力组织收入。通过分解落实收入任务、强化非税收入征管、盘活国有资源资产等方式，大力组织财税收入。2023年我县地方一般公共预算收入首次突破10亿元，完成了10.</w:t>
      </w:r>
      <w:r>
        <w:rPr>
          <w:rFonts w:hint="eastAsia" w:ascii="仿宋" w:hAnsi="仿宋" w:eastAsia="仿宋"/>
          <w:bCs/>
          <w:sz w:val="32"/>
          <w:szCs w:val="32"/>
          <w:lang w:val="en-US" w:eastAsia="zh-CN"/>
        </w:rPr>
        <w:t>6亿元，同比增长8.54%。</w:t>
      </w:r>
      <w:r>
        <w:rPr>
          <w:rFonts w:hint="eastAsia" w:ascii="仿宋" w:hAnsi="仿宋" w:eastAsia="仿宋"/>
          <w:bCs/>
          <w:sz w:val="32"/>
          <w:szCs w:val="32"/>
        </w:rPr>
        <w:t>非税占比</w:t>
      </w:r>
      <w:r>
        <w:rPr>
          <w:rFonts w:hint="eastAsia" w:ascii="仿宋" w:hAnsi="仿宋" w:eastAsia="仿宋"/>
          <w:bCs/>
          <w:sz w:val="32"/>
          <w:szCs w:val="32"/>
          <w:lang w:val="en-US" w:eastAsia="zh-CN"/>
        </w:rPr>
        <w:t>27.54</w:t>
      </w:r>
      <w:r>
        <w:rPr>
          <w:rFonts w:hint="eastAsia" w:ascii="仿宋" w:hAnsi="仿宋" w:eastAsia="仿宋"/>
          <w:bCs/>
          <w:sz w:val="32"/>
          <w:szCs w:val="32"/>
        </w:rPr>
        <w:t>%。</w:t>
      </w:r>
    </w:p>
    <w:p w14:paraId="394C8A6B">
      <w:pPr>
        <w:pStyle w:val="2"/>
        <w:widowControl/>
        <w:shd w:val="clear"/>
        <w:autoSpaceDE w:val="0"/>
        <w:spacing w:line="600" w:lineRule="exact"/>
        <w:ind w:firstLine="640"/>
        <w:textAlignment w:val="baseline"/>
        <w:rPr>
          <w:rFonts w:hint="eastAsia" w:ascii="仿宋" w:hAnsi="仿宋" w:eastAsia="仿宋" w:cs="Times New Roman"/>
          <w:kern w:val="2"/>
          <w:sz w:val="32"/>
          <w:szCs w:val="32"/>
          <w:lang w:val="en-US" w:eastAsia="zh-CN" w:bidi="ar-SA"/>
        </w:rPr>
      </w:pPr>
      <w:r>
        <w:rPr>
          <w:rFonts w:hint="eastAsia" w:ascii="楷体" w:hAnsi="楷体" w:eastAsia="楷体"/>
        </w:rPr>
        <w:t>2.调优结构，保障重点民生。</w:t>
      </w:r>
      <w:r>
        <w:rPr>
          <w:rFonts w:hint="eastAsia" w:ascii="仿宋" w:hAnsi="仿宋" w:eastAsia="仿宋"/>
        </w:rPr>
        <w:t>一是树牢“过紧日子”思想，坚持厉行节约。坚持“三保”支出优先地位，优化支出结构，进一步压减一般性支出和非急需、非刚性支出，确保“三公”经费只减不增，切实兜牢“三保”底线。2023年我县“三公”经费预算较2022年减少94万元。</w:t>
      </w:r>
      <w:r>
        <w:rPr>
          <w:rFonts w:hint="eastAsia" w:ascii="仿宋" w:hAnsi="仿宋" w:eastAsia="仿宋"/>
          <w:b/>
          <w:bCs/>
        </w:rPr>
        <w:t>二是</w:t>
      </w:r>
      <w:r>
        <w:rPr>
          <w:rFonts w:hint="eastAsia" w:ascii="仿宋" w:hAnsi="仿宋" w:eastAsia="仿宋"/>
        </w:rPr>
        <w:t>优化结构，确保重点支出。按照“量入为出、收支平衡、统筹兼顾、突出重点”的原则，优先安排人员经费和单位基本运转经费，以及义务教育学校保障机制、城乡居民医保、新农保、三农等民生配套资金，确保民生保障。</w:t>
      </w:r>
      <w:r>
        <w:rPr>
          <w:rFonts w:hint="eastAsia" w:ascii="仿宋" w:hAnsi="仿宋" w:eastAsia="仿宋" w:cs="Times New Roman"/>
        </w:rPr>
        <w:t>2023年，全县一般公共预算支出完成</w:t>
      </w:r>
      <w:r>
        <w:rPr>
          <w:rFonts w:hint="eastAsia" w:ascii="仿宋" w:hAnsi="仿宋" w:eastAsia="仿宋" w:cs="Times New Roman"/>
          <w:lang w:val="en-US" w:eastAsia="zh-CN"/>
        </w:rPr>
        <w:t>58.66亿元</w:t>
      </w:r>
      <w:r>
        <w:rPr>
          <w:rFonts w:hint="eastAsia" w:ascii="仿宋" w:hAnsi="仿宋" w:eastAsia="仿宋" w:cs="Times New Roman"/>
        </w:rPr>
        <w:t>，“三保”支出</w:t>
      </w:r>
      <w:r>
        <w:rPr>
          <w:rFonts w:hint="eastAsia" w:ascii="仿宋" w:hAnsi="仿宋" w:eastAsia="仿宋" w:cs="Times New Roman"/>
          <w:lang w:val="en-US" w:eastAsia="zh-CN"/>
        </w:rPr>
        <w:t>33.34亿元</w:t>
      </w:r>
      <w:r>
        <w:rPr>
          <w:rFonts w:hint="eastAsia" w:ascii="仿宋" w:hAnsi="仿宋" w:eastAsia="仿宋" w:cs="Times New Roman"/>
        </w:rPr>
        <w:t>，其中</w:t>
      </w:r>
      <w:r>
        <w:rPr>
          <w:rFonts w:hint="eastAsia" w:ascii="仿宋" w:hAnsi="仿宋" w:eastAsia="仿宋" w:cs="Times New Roman"/>
          <w:lang w:eastAsia="zh-CN"/>
        </w:rPr>
        <w:t>：</w:t>
      </w:r>
      <w:r>
        <w:rPr>
          <w:rFonts w:hint="eastAsia" w:ascii="仿宋" w:hAnsi="仿宋" w:eastAsia="仿宋" w:cs="Times New Roman"/>
        </w:rPr>
        <w:t>保基本民生支出</w:t>
      </w:r>
      <w:r>
        <w:rPr>
          <w:rFonts w:hint="eastAsia" w:ascii="仿宋" w:hAnsi="仿宋" w:eastAsia="仿宋" w:cs="Times New Roman"/>
          <w:lang w:val="en-US" w:eastAsia="zh-CN"/>
        </w:rPr>
        <w:t>15.63亿元</w:t>
      </w:r>
      <w:r>
        <w:rPr>
          <w:rFonts w:hint="eastAsia" w:ascii="仿宋" w:hAnsi="仿宋" w:eastAsia="仿宋" w:cs="Times New Roman"/>
          <w:lang w:eastAsia="zh-CN"/>
        </w:rPr>
        <w:t>、</w:t>
      </w:r>
      <w:r>
        <w:rPr>
          <w:rFonts w:hint="eastAsia" w:ascii="仿宋" w:hAnsi="仿宋" w:eastAsia="仿宋" w:cs="Times New Roman"/>
        </w:rPr>
        <w:t>保工资支出</w:t>
      </w:r>
      <w:r>
        <w:rPr>
          <w:rFonts w:hint="eastAsia" w:ascii="仿宋" w:hAnsi="仿宋" w:eastAsia="仿宋" w:cs="Times New Roman"/>
          <w:lang w:val="en-US" w:eastAsia="zh-CN"/>
        </w:rPr>
        <w:t>16.67亿元</w:t>
      </w:r>
      <w:r>
        <w:rPr>
          <w:rFonts w:hint="eastAsia" w:ascii="仿宋" w:hAnsi="仿宋" w:eastAsia="仿宋" w:cs="Times New Roman"/>
        </w:rPr>
        <w:t>、保运转支出</w:t>
      </w:r>
      <w:r>
        <w:rPr>
          <w:rFonts w:hint="eastAsia" w:ascii="仿宋" w:hAnsi="仿宋" w:eastAsia="仿宋" w:cs="Times New Roman"/>
          <w:lang w:val="en-US" w:eastAsia="zh-CN"/>
        </w:rPr>
        <w:t>1.04亿元，“三保”重点支出保障到位</w:t>
      </w:r>
      <w:r>
        <w:rPr>
          <w:rFonts w:hint="eastAsia" w:ascii="仿宋" w:hAnsi="仿宋" w:eastAsia="仿宋" w:cs="Times New Roman"/>
        </w:rPr>
        <w:t>。</w:t>
      </w:r>
      <w:r>
        <w:rPr>
          <w:rFonts w:hint="eastAsia" w:ascii="仿宋" w:hAnsi="仿宋" w:eastAsia="仿宋"/>
          <w:b/>
          <w:bCs/>
        </w:rPr>
        <w:t>三是</w:t>
      </w:r>
      <w:r>
        <w:rPr>
          <w:rFonts w:hint="eastAsia" w:ascii="仿宋" w:hAnsi="仿宋" w:eastAsia="仿宋"/>
        </w:rPr>
        <w:t>加大“三农”投入，推进乡村振兴。</w:t>
      </w:r>
      <w:r>
        <w:rPr>
          <w:rFonts w:hint="eastAsia" w:ascii="仿宋" w:hAnsi="仿宋" w:eastAsia="仿宋"/>
          <w:color w:val="auto"/>
          <w:lang w:val="en-US" w:eastAsia="zh-CN"/>
        </w:rPr>
        <w:t>2023年</w:t>
      </w:r>
      <w:r>
        <w:rPr>
          <w:rFonts w:hint="eastAsia" w:ascii="仿宋" w:hAnsi="仿宋" w:eastAsia="仿宋"/>
          <w:color w:val="auto"/>
        </w:rPr>
        <w:t>，全县通过“一卡通”发放各类补贴项目98项，补贴资金5.21亿元，惠及群众124.85万人次。</w:t>
      </w:r>
      <w:r>
        <w:rPr>
          <w:rFonts w:hint="eastAsia" w:ascii="仿宋" w:hAnsi="仿宋" w:eastAsia="仿宋"/>
        </w:rPr>
        <w:t>2023年共整合涉农资金27938万元，主要用于乡村建设15259万元、产业发展10634万元、三保障1500万元、就业增收545万元。支持“农信担”为新型农业经营主体提供融资担保服务，助推农业产业做大、做强、做优。</w:t>
      </w:r>
      <w:r>
        <w:rPr>
          <w:rFonts w:hint="eastAsia" w:ascii="仿宋" w:hAnsi="仿宋" w:eastAsia="仿宋"/>
          <w:color w:val="auto"/>
          <w:lang w:val="en-US" w:eastAsia="zh-CN"/>
        </w:rPr>
        <w:t>2023年</w:t>
      </w:r>
      <w:r>
        <w:rPr>
          <w:rFonts w:hint="eastAsia" w:ascii="仿宋" w:hAnsi="仿宋" w:eastAsia="仿宋"/>
          <w:color w:val="auto"/>
        </w:rPr>
        <w:t>完成在保余额1.42亿元</w:t>
      </w:r>
      <w:r>
        <w:rPr>
          <w:rFonts w:hint="eastAsia" w:ascii="仿宋" w:hAnsi="仿宋" w:eastAsia="仿宋" w:cs="Times New Roman"/>
          <w:kern w:val="2"/>
          <w:sz w:val="32"/>
          <w:szCs w:val="32"/>
          <w:lang w:val="en-US" w:eastAsia="zh-CN" w:bidi="ar-SA"/>
        </w:rPr>
        <w:t>，解保额0.42亿元。为49家企业及个体经营户授信1.25亿元，放贷1.21亿元。</w:t>
      </w:r>
    </w:p>
    <w:p w14:paraId="3FEEF1D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楷体" w:hAnsi="楷体" w:eastAsia="楷体"/>
          <w:sz w:val="32"/>
          <w:szCs w:val="32"/>
        </w:rPr>
        <w:t>3.积极防范,打好政府债务风险“阻击仗”</w:t>
      </w:r>
      <w:r>
        <w:rPr>
          <w:rFonts w:hint="eastAsia" w:ascii="仿宋" w:hAnsi="仿宋" w:eastAsia="仿宋"/>
          <w:b/>
          <w:bCs/>
          <w:sz w:val="32"/>
          <w:szCs w:val="32"/>
        </w:rPr>
        <w:t>。</w:t>
      </w:r>
      <w:r>
        <w:rPr>
          <w:rFonts w:hint="eastAsia" w:ascii="仿宋" w:hAnsi="仿宋" w:eastAsia="仿宋"/>
          <w:sz w:val="32"/>
          <w:szCs w:val="32"/>
        </w:rPr>
        <w:t>通过综合运用预算偿还、处置资产、债券替换、市场转化等多种方式积极防范化解债务风险。</w:t>
      </w:r>
      <w:r>
        <w:rPr>
          <w:rFonts w:hint="eastAsia" w:ascii="仿宋" w:hAnsi="仿宋" w:eastAsia="仿宋" w:cs="仿宋"/>
          <w:sz w:val="32"/>
          <w:szCs w:val="32"/>
        </w:rPr>
        <w:t>一是我县2023年度偿还政府债券0.7亿元，通过向省厅申请发行再融资债券缓释政府债务12.49亿元。二是2023我县共发行政府债券10.73亿元（一般债券1.96亿元，专项债券8.77亿元）。政府债务余额为72.3</w:t>
      </w:r>
      <w:r>
        <w:rPr>
          <w:rFonts w:hint="eastAsia" w:ascii="仿宋" w:hAnsi="仿宋" w:eastAsia="仿宋" w:cs="仿宋"/>
          <w:sz w:val="32"/>
          <w:szCs w:val="32"/>
          <w:lang w:val="en-US" w:eastAsia="zh-CN"/>
        </w:rPr>
        <w:t>8</w:t>
      </w:r>
      <w:r>
        <w:rPr>
          <w:rFonts w:hint="eastAsia" w:ascii="仿宋" w:hAnsi="仿宋" w:eastAsia="仿宋" w:cs="仿宋"/>
          <w:sz w:val="32"/>
          <w:szCs w:val="32"/>
        </w:rPr>
        <w:t>亿元，其中一般债务36.49亿元，专项债务35.89亿元。</w:t>
      </w:r>
    </w:p>
    <w:p w14:paraId="432D4DE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4" w:name="OLE_LINK7"/>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bookmarkEnd w:id="12"/>
      <w:bookmarkEnd w:id="14"/>
    </w:p>
    <w:p w14:paraId="59086AAA">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1.专项资金执行进度较慢</w:t>
      </w:r>
    </w:p>
    <w:p w14:paraId="7F7171C8">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一是对项目资金执行进度的监管力度有所欠缺；二是财政部门因财政资金紧张未及时拨付专项资金。</w:t>
      </w:r>
    </w:p>
    <w:p w14:paraId="56FC8F11">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2.部分资金使用管理不够规范</w:t>
      </w:r>
    </w:p>
    <w:p w14:paraId="7E2EDCC9">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一是验收程序不够完善；二是对项目资金的监督、检查力度有所不足。</w:t>
      </w:r>
    </w:p>
    <w:p w14:paraId="434ED717">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3.部分项目实施管理不够规范</w:t>
      </w:r>
    </w:p>
    <w:p w14:paraId="06082422">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项目管理机制不够完善，在实施项目全过程管理，包括项目申报、政府采购、合同签订、项目验收等各环节，及时发现问题、及时协调处理问题的能力仍需加强。</w:t>
      </w:r>
    </w:p>
    <w:p w14:paraId="322B143E">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4.绩效管理工作不够到位</w:t>
      </w:r>
    </w:p>
    <w:p w14:paraId="7494F4B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一是基础工作不够扎实，业务工作中仍存在个别漏洞；二是预算绩效运行监控力度不够，对绩效运行情况、项目绩效运行监控汇总分析不够。</w:t>
      </w:r>
    </w:p>
    <w:p w14:paraId="15D5D685">
      <w:pPr>
        <w:pStyle w:val="15"/>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14:paraId="573B8262">
      <w:pPr>
        <w:pStyle w:val="15"/>
        <w:jc w:val="center"/>
        <w:rPr>
          <w:sz w:val="72"/>
          <w:szCs w:val="72"/>
        </w:rPr>
      </w:pPr>
    </w:p>
    <w:p w14:paraId="314689A5">
      <w:pPr>
        <w:pStyle w:val="15"/>
        <w:jc w:val="center"/>
        <w:rPr>
          <w:sz w:val="72"/>
          <w:szCs w:val="72"/>
        </w:rPr>
      </w:pPr>
    </w:p>
    <w:p w14:paraId="327DDCD6">
      <w:pPr>
        <w:pStyle w:val="15"/>
        <w:jc w:val="center"/>
        <w:rPr>
          <w:rFonts w:hint="eastAsia" w:ascii="方正小标宋_GBK" w:hAnsi="方正小标宋_GBK" w:eastAsia="方正小标宋_GBK" w:cs="方正小标宋_GBK"/>
          <w:sz w:val="72"/>
          <w:szCs w:val="72"/>
          <w:lang w:eastAsia="zh-CN"/>
        </w:rPr>
      </w:pPr>
    </w:p>
    <w:p w14:paraId="04B9DF0C">
      <w:pPr>
        <w:pStyle w:val="15"/>
        <w:jc w:val="center"/>
        <w:rPr>
          <w:rFonts w:hint="eastAsia" w:ascii="方正小标宋_GBK" w:hAnsi="方正小标宋_GBK" w:eastAsia="方正小标宋_GBK" w:cs="方正小标宋_GBK"/>
          <w:sz w:val="72"/>
          <w:szCs w:val="72"/>
          <w:lang w:eastAsia="zh-CN"/>
        </w:rPr>
      </w:pPr>
    </w:p>
    <w:p w14:paraId="7ABDDB4A">
      <w:pPr>
        <w:pStyle w:val="15"/>
        <w:jc w:val="both"/>
        <w:rPr>
          <w:rFonts w:hint="eastAsia" w:ascii="方正小标宋_GBK" w:hAnsi="方正小标宋_GBK" w:eastAsia="方正小标宋_GBK" w:cs="方正小标宋_GBK"/>
          <w:sz w:val="72"/>
          <w:szCs w:val="72"/>
          <w:lang w:eastAsia="zh-CN"/>
        </w:rPr>
      </w:pPr>
    </w:p>
    <w:p w14:paraId="3817431E">
      <w:pPr>
        <w:pStyle w:val="15"/>
        <w:jc w:val="center"/>
        <w:rPr>
          <w:rFonts w:hint="eastAsia" w:ascii="方正小标宋_GBK" w:hAnsi="方正小标宋_GBK" w:eastAsia="方正小标宋_GBK" w:cs="方正小标宋_GBK"/>
          <w:sz w:val="72"/>
          <w:szCs w:val="72"/>
          <w:lang w:eastAsia="zh-CN"/>
        </w:rPr>
      </w:pPr>
    </w:p>
    <w:p w14:paraId="3A6EB4BF">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85781EA">
      <w:pPr>
        <w:jc w:val="center"/>
        <w:rPr>
          <w:rFonts w:hint="eastAsia" w:ascii="方正小标宋_GBK" w:hAnsi="方正小标宋_GBK" w:eastAsia="方正小标宋_GBK" w:cs="方正小标宋_GBK"/>
          <w:color w:val="000000"/>
          <w:kern w:val="0"/>
          <w:sz w:val="70"/>
          <w:szCs w:val="70"/>
        </w:rPr>
      </w:pPr>
    </w:p>
    <w:p w14:paraId="2EFBE10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3AB4C4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54B00EE">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1、财政拨款收入：指县财政当年拨付的资金。</w:t>
      </w:r>
    </w:p>
    <w:p w14:paraId="65C1C574">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2、基本支出：指部门为保障其机构正常运转、完成日常工作任务的年度基本支出，包括人员经费和公用经费两部分。</w:t>
      </w:r>
    </w:p>
    <w:p w14:paraId="6FD08CA3">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4AEC0D11">
      <w:pPr>
        <w:pStyle w:val="1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AA54F6">
      <w:pPr>
        <w:pStyle w:val="15"/>
        <w:jc w:val="center"/>
        <w:rPr>
          <w:sz w:val="72"/>
          <w:szCs w:val="72"/>
        </w:rPr>
      </w:pPr>
    </w:p>
    <w:p w14:paraId="6B3FA610">
      <w:pPr>
        <w:pStyle w:val="15"/>
        <w:jc w:val="center"/>
        <w:rPr>
          <w:sz w:val="72"/>
          <w:szCs w:val="72"/>
        </w:rPr>
      </w:pPr>
    </w:p>
    <w:p w14:paraId="7B16577B">
      <w:pPr>
        <w:pStyle w:val="15"/>
        <w:jc w:val="center"/>
        <w:rPr>
          <w:sz w:val="72"/>
          <w:szCs w:val="72"/>
        </w:rPr>
      </w:pPr>
    </w:p>
    <w:p w14:paraId="33BA891D">
      <w:pPr>
        <w:pStyle w:val="15"/>
        <w:jc w:val="center"/>
        <w:rPr>
          <w:sz w:val="72"/>
          <w:szCs w:val="72"/>
        </w:rPr>
      </w:pPr>
    </w:p>
    <w:p w14:paraId="6F725C64">
      <w:pPr>
        <w:pStyle w:val="15"/>
        <w:jc w:val="center"/>
        <w:rPr>
          <w:sz w:val="72"/>
          <w:szCs w:val="72"/>
        </w:rPr>
      </w:pPr>
    </w:p>
    <w:p w14:paraId="6F487EFD">
      <w:pPr>
        <w:pStyle w:val="15"/>
        <w:jc w:val="center"/>
        <w:rPr>
          <w:sz w:val="72"/>
          <w:szCs w:val="72"/>
        </w:rPr>
      </w:pPr>
    </w:p>
    <w:p w14:paraId="24BE4EE3">
      <w:pPr>
        <w:pStyle w:val="15"/>
        <w:jc w:val="center"/>
        <w:rPr>
          <w:sz w:val="72"/>
          <w:szCs w:val="72"/>
        </w:rPr>
      </w:pPr>
    </w:p>
    <w:p w14:paraId="3D4E167F">
      <w:pPr>
        <w:pStyle w:val="15"/>
        <w:jc w:val="center"/>
        <w:rPr>
          <w:sz w:val="72"/>
          <w:szCs w:val="72"/>
        </w:rPr>
      </w:pPr>
    </w:p>
    <w:p w14:paraId="257F16B1">
      <w:pPr>
        <w:pStyle w:val="15"/>
        <w:jc w:val="center"/>
        <w:rPr>
          <w:sz w:val="72"/>
          <w:szCs w:val="72"/>
        </w:rPr>
      </w:pPr>
    </w:p>
    <w:p w14:paraId="23217D4B">
      <w:pPr>
        <w:pStyle w:val="15"/>
        <w:jc w:val="center"/>
        <w:rPr>
          <w:sz w:val="72"/>
          <w:szCs w:val="72"/>
        </w:rPr>
      </w:pPr>
    </w:p>
    <w:p w14:paraId="536E7A5B">
      <w:pPr>
        <w:pStyle w:val="15"/>
        <w:jc w:val="center"/>
        <w:rPr>
          <w:sz w:val="72"/>
          <w:szCs w:val="72"/>
        </w:rPr>
      </w:pPr>
    </w:p>
    <w:p w14:paraId="13F1EF49">
      <w:pPr>
        <w:pStyle w:val="15"/>
        <w:jc w:val="center"/>
        <w:rPr>
          <w:rFonts w:hint="eastAsia" w:ascii="方正小标宋_GBK" w:hAnsi="方正小标宋_GBK" w:eastAsia="方正小标宋_GBK" w:cs="方正小标宋_GBK"/>
          <w:sz w:val="72"/>
          <w:szCs w:val="72"/>
        </w:rPr>
      </w:pPr>
      <w:bookmarkStart w:id="15" w:name="OLE_LINK33"/>
      <w:bookmarkStart w:id="16" w:name="OLE_LINK30"/>
      <w:bookmarkStart w:id="17" w:name="OLE_LINK15"/>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5"/>
        <w:jc w:val="center"/>
        <w:rPr>
          <w:rFonts w:hint="eastAsia" w:ascii="方正小标宋_GBK" w:hAnsi="方正小标宋_GBK" w:eastAsia="方正小标宋_GBK" w:cs="方正小标宋_GBK"/>
          <w:sz w:val="70"/>
          <w:szCs w:val="70"/>
        </w:rPr>
      </w:pPr>
    </w:p>
    <w:p w14:paraId="335CAE6D">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15"/>
    </w:p>
    <w:p w14:paraId="4C38E8F2">
      <w:pPr>
        <w:rPr>
          <w:sz w:val="72"/>
          <w:szCs w:val="72"/>
        </w:rPr>
      </w:pPr>
      <w:r>
        <w:rPr>
          <w:sz w:val="72"/>
          <w:szCs w:val="72"/>
        </w:rPr>
        <w:br w:type="page"/>
      </w:r>
    </w:p>
    <w:p w14:paraId="3940BBBB">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18" w:name="OLE_LINK34"/>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16"/>
      <w:bookmarkEnd w:id="18"/>
    </w:p>
    <w:bookmarkEnd w:id="17"/>
    <w:p w14:paraId="3968AF41">
      <w:pPr>
        <w:widowControl/>
        <w:shd w:val="clear"/>
        <w:spacing w:line="560" w:lineRule="exact"/>
        <w:jc w:val="center"/>
        <w:rPr>
          <w:rFonts w:hint="eastAsia" w:ascii="仿宋" w:hAnsi="仿宋" w:eastAsia="仿宋" w:cs="仿宋"/>
          <w:b/>
          <w:bCs/>
          <w:kern w:val="0"/>
          <w:sz w:val="44"/>
          <w:szCs w:val="44"/>
        </w:rPr>
      </w:pPr>
      <w:r>
        <w:rPr>
          <w:rFonts w:hint="eastAsia" w:ascii="仿宋" w:hAnsi="仿宋" w:eastAsia="仿宋" w:cs="仿宋"/>
          <w:b/>
          <w:bCs/>
          <w:kern w:val="0"/>
          <w:sz w:val="44"/>
          <w:szCs w:val="44"/>
        </w:rPr>
        <w:t>溆浦县财政局</w:t>
      </w:r>
    </w:p>
    <w:p w14:paraId="2DEE9BC1">
      <w:pPr>
        <w:widowControl/>
        <w:shd w:val="clear"/>
        <w:spacing w:line="560" w:lineRule="exact"/>
        <w:jc w:val="center"/>
        <w:rPr>
          <w:rFonts w:hint="eastAsia" w:ascii="仿宋_GB2312" w:hAnsi="宋体" w:eastAsia="仿宋_GB2312" w:cs="宋体"/>
          <w:kern w:val="0"/>
          <w:sz w:val="44"/>
          <w:szCs w:val="44"/>
        </w:rPr>
      </w:pPr>
      <w:r>
        <w:rPr>
          <w:rFonts w:hint="eastAsia" w:ascii="仿宋" w:hAnsi="仿宋" w:eastAsia="仿宋" w:cs="仿宋"/>
          <w:b/>
          <w:bCs/>
          <w:kern w:val="0"/>
          <w:sz w:val="44"/>
          <w:szCs w:val="44"/>
        </w:rPr>
        <w:t>202</w:t>
      </w:r>
      <w:r>
        <w:rPr>
          <w:rFonts w:hint="eastAsia" w:ascii="仿宋" w:hAnsi="仿宋" w:eastAsia="仿宋" w:cs="仿宋"/>
          <w:b/>
          <w:bCs/>
          <w:kern w:val="0"/>
          <w:sz w:val="44"/>
          <w:szCs w:val="44"/>
          <w:lang w:val="en-US" w:eastAsia="zh-CN"/>
        </w:rPr>
        <w:t>3</w:t>
      </w:r>
      <w:r>
        <w:rPr>
          <w:rFonts w:hint="eastAsia" w:ascii="仿宋" w:hAnsi="仿宋" w:eastAsia="仿宋" w:cs="仿宋"/>
          <w:b/>
          <w:bCs/>
          <w:kern w:val="0"/>
          <w:sz w:val="44"/>
          <w:szCs w:val="44"/>
        </w:rPr>
        <w:t>年整体支出绩效自评报告</w:t>
      </w:r>
    </w:p>
    <w:p w14:paraId="63B86FA3">
      <w:pPr>
        <w:widowControl/>
        <w:shd w:val="clear"/>
        <w:spacing w:line="560" w:lineRule="exact"/>
        <w:rPr>
          <w:rFonts w:hint="eastAsia" w:ascii="仿宋" w:hAnsi="仿宋" w:eastAsia="仿宋" w:cs="仿宋"/>
          <w:b/>
          <w:bCs/>
          <w:kern w:val="0"/>
          <w:sz w:val="32"/>
          <w:szCs w:val="32"/>
        </w:rPr>
      </w:pPr>
    </w:p>
    <w:p w14:paraId="5B150049">
      <w:pPr>
        <w:widowControl/>
        <w:shd w:val="clear" w:color="auto"/>
        <w:spacing w:line="600" w:lineRule="exact"/>
        <w:ind w:firstLine="640"/>
        <w:jc w:val="left"/>
        <w:rPr>
          <w:rFonts w:hint="eastAsia" w:ascii="仿宋" w:hAnsi="仿宋" w:eastAsia="仿宋" w:cs="仿宋"/>
          <w:b/>
          <w:bCs/>
          <w:kern w:val="0"/>
          <w:sz w:val="32"/>
          <w:szCs w:val="32"/>
        </w:rPr>
      </w:pPr>
      <w:r>
        <w:rPr>
          <w:rFonts w:hint="eastAsia" w:ascii="仿宋_GB2312" w:hAnsi="宋体" w:eastAsia="仿宋_GB2312" w:cs="宋体"/>
          <w:color w:val="000000"/>
          <w:kern w:val="0"/>
          <w:sz w:val="32"/>
          <w:szCs w:val="32"/>
        </w:rPr>
        <w:t>根据《中共湖南省委办公厅 湖南省人民政府办公厅关于全面实施预算绩效管理的实施意见》湘办发【2019】10号和《溆浦县财政局关于开展202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年度部门整体支出绩效评价工作的通知》（溆财绩</w:t>
      </w:r>
      <w:r>
        <w:rPr>
          <w:rFonts w:hint="eastAsia" w:ascii="仿宋_GB2312" w:hAnsi="宋体" w:eastAsia="仿宋_GB2312" w:cs="宋体"/>
          <w:color w:val="000000"/>
          <w:kern w:val="0"/>
          <w:sz w:val="32"/>
          <w:szCs w:val="32"/>
          <w:lang w:eastAsia="zh-CN"/>
        </w:rPr>
        <w:t>函</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24</w:t>
      </w:r>
      <w:r>
        <w:rPr>
          <w:rFonts w:hint="eastAsia" w:ascii="仿宋_GB2312" w:hAnsi="宋体" w:eastAsia="仿宋_GB2312" w:cs="宋体"/>
          <w:color w:val="000000"/>
          <w:kern w:val="0"/>
          <w:sz w:val="32"/>
          <w:szCs w:val="32"/>
        </w:rPr>
        <w:t>号）的文件精神，我局对202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年整体支出进行了绩效评价，现报告如下： </w:t>
      </w:r>
    </w:p>
    <w:p w14:paraId="0F7D75E7">
      <w:pPr>
        <w:widowControl/>
        <w:shd w:val="clear"/>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一、单位概况</w:t>
      </w:r>
    </w:p>
    <w:p w14:paraId="470C14FD">
      <w:pPr>
        <w:widowControl/>
        <w:shd w:val="clear" w:color="auto"/>
        <w:spacing w:line="600" w:lineRule="exact"/>
        <w:ind w:firstLine="64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（一）单位基本情况</w:t>
      </w:r>
    </w:p>
    <w:p w14:paraId="5DFAD2DC">
      <w:pPr>
        <w:widowControl/>
        <w:shd w:val="clear" w:color="auto"/>
        <w:spacing w:line="600" w:lineRule="exact"/>
        <w:ind w:firstLine="640"/>
        <w:rPr>
          <w:rFonts w:hint="eastAsia" w:ascii="仿宋_GB2312" w:hAnsi="宋体" w:eastAsia="仿宋_GB2312" w:cs="宋体"/>
          <w:color w:val="000000"/>
          <w:kern w:val="0"/>
          <w:sz w:val="32"/>
          <w:szCs w:val="32"/>
        </w:rPr>
      </w:pPr>
      <w:bookmarkStart w:id="19" w:name="OLE_LINK8"/>
      <w:r>
        <w:rPr>
          <w:rFonts w:hint="eastAsia" w:ascii="仿宋_GB2312" w:hAnsi="宋体" w:eastAsia="仿宋_GB2312" w:cs="宋体"/>
          <w:color w:val="000000"/>
          <w:kern w:val="0"/>
          <w:sz w:val="32"/>
          <w:szCs w:val="32"/>
        </w:rPr>
        <w:t>溆浦县财政局下辖</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个副科级二级机构，25个乡镇财政所，内设18个职能股室，核定编制</w:t>
      </w:r>
      <w:r>
        <w:rPr>
          <w:rFonts w:hint="eastAsia" w:ascii="仿宋_GB2312" w:hAnsi="宋体" w:eastAsia="仿宋_GB2312" w:cs="宋体"/>
          <w:color w:val="000000"/>
          <w:kern w:val="0"/>
          <w:sz w:val="32"/>
          <w:szCs w:val="32"/>
          <w:lang w:val="en-US" w:eastAsia="zh-CN"/>
        </w:rPr>
        <w:t>342</w:t>
      </w:r>
      <w:r>
        <w:rPr>
          <w:rFonts w:hint="eastAsia" w:ascii="仿宋_GB2312" w:hAnsi="宋体" w:eastAsia="仿宋_GB2312" w:cs="宋体"/>
          <w:color w:val="000000"/>
          <w:kern w:val="0"/>
          <w:sz w:val="32"/>
          <w:szCs w:val="32"/>
        </w:rPr>
        <w:t>人，实有在职人员28</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人，离退休</w:t>
      </w:r>
      <w:r>
        <w:rPr>
          <w:rFonts w:hint="eastAsia" w:ascii="仿宋_GB2312" w:hAnsi="宋体" w:eastAsia="仿宋_GB2312" w:cs="宋体"/>
          <w:color w:val="000000"/>
          <w:kern w:val="0"/>
          <w:sz w:val="32"/>
          <w:szCs w:val="32"/>
          <w:lang w:val="en-US" w:eastAsia="zh-CN"/>
        </w:rPr>
        <w:t>185</w:t>
      </w:r>
      <w:r>
        <w:rPr>
          <w:rFonts w:hint="eastAsia" w:ascii="仿宋_GB2312" w:hAnsi="宋体" w:eastAsia="仿宋_GB2312" w:cs="宋体"/>
          <w:color w:val="000000"/>
          <w:kern w:val="0"/>
          <w:sz w:val="32"/>
          <w:szCs w:val="32"/>
        </w:rPr>
        <w:t>人(含提前离退休)。</w:t>
      </w:r>
      <w:bookmarkEnd w:id="19"/>
      <w:r>
        <w:rPr>
          <w:rFonts w:hint="eastAsia" w:ascii="仿宋_GB2312" w:hAnsi="宋体" w:eastAsia="仿宋_GB2312" w:cs="宋体"/>
          <w:color w:val="000000"/>
          <w:kern w:val="0"/>
          <w:sz w:val="32"/>
          <w:szCs w:val="32"/>
        </w:rPr>
        <w:t>主要职能是：贯彻执行中央有关财税政策、法规，制定具体实施办法；制定和执行本县有关财政、财务、会计等方面规章制度；管理各项财政收入和财政</w:t>
      </w:r>
      <w:r>
        <w:rPr>
          <w:rFonts w:hint="eastAsia" w:ascii="仿宋" w:hAnsi="仿宋" w:eastAsia="仿宋" w:cs="仿宋"/>
          <w:sz w:val="32"/>
          <w:szCs w:val="32"/>
        </w:rPr>
        <w:t>专户；管理有关政策性基金；协同有关部门审批收费项目，参与制订、调整收费标准；管理收费票据，承担彩票监管工作；编制年度县级预决算草案并组织执行；监督财税方针政策、法律法规的执行</w:t>
      </w:r>
      <w:r>
        <w:rPr>
          <w:rFonts w:hint="eastAsia" w:ascii="仿宋_GB2312" w:hAnsi="宋体" w:eastAsia="仿宋_GB2312" w:cs="宋体"/>
          <w:color w:val="000000"/>
          <w:kern w:val="0"/>
          <w:sz w:val="32"/>
          <w:szCs w:val="32"/>
        </w:rPr>
        <w:t>情况；检查反映财政收支管理中的重大问题；提出加强财政管理的政策建议；受县政府委托，向县人大代表大会报告财政预算及其执行情况，向县人大常委会报告财政决算等。</w:t>
      </w:r>
    </w:p>
    <w:p w14:paraId="72CE437E">
      <w:pPr>
        <w:numPr>
          <w:ilvl w:val="0"/>
          <w:numId w:val="3"/>
        </w:numPr>
        <w:shd w:val="clear"/>
        <w:spacing w:line="600" w:lineRule="exact"/>
        <w:ind w:firstLine="640" w:firstLineChars="200"/>
        <w:rPr>
          <w:rFonts w:hint="eastAsia" w:ascii="楷体" w:hAnsi="楷体" w:eastAsia="楷体"/>
          <w:color w:val="000000"/>
          <w:sz w:val="32"/>
          <w:szCs w:val="32"/>
          <w:shd w:val="clear" w:color="auto" w:fill="FFFFFF"/>
          <w:lang w:eastAsia="zh-CN"/>
        </w:rPr>
      </w:pPr>
      <w:r>
        <w:rPr>
          <w:rFonts w:hint="eastAsia" w:ascii="楷体" w:hAnsi="楷体" w:eastAsia="楷体"/>
          <w:color w:val="000000"/>
          <w:sz w:val="32"/>
          <w:szCs w:val="32"/>
          <w:shd w:val="clear" w:color="auto" w:fill="FFFFFF"/>
          <w:lang w:eastAsia="zh-CN"/>
        </w:rPr>
        <w:t>部门整体支出情况</w:t>
      </w:r>
    </w:p>
    <w:p w14:paraId="2F570644">
      <w:pPr>
        <w:numPr>
          <w:ilvl w:val="0"/>
          <w:numId w:val="0"/>
        </w:numPr>
        <w:shd w:val="clea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年收入总计</w:t>
      </w:r>
      <w:r>
        <w:rPr>
          <w:rFonts w:hint="eastAsia" w:ascii="仿宋_GB2312" w:hAnsi="仿宋_GB2312" w:eastAsia="仿宋_GB2312" w:cs="仿宋_GB2312"/>
          <w:bCs/>
          <w:color w:val="000000"/>
          <w:sz w:val="32"/>
          <w:szCs w:val="32"/>
          <w:lang w:val="en-US" w:eastAsia="zh-CN"/>
        </w:rPr>
        <w:t>4656</w:t>
      </w:r>
      <w:r>
        <w:rPr>
          <w:rFonts w:hint="eastAsia" w:ascii="仿宋_GB2312" w:hAnsi="仿宋_GB2312" w:eastAsia="仿宋_GB2312" w:cs="仿宋_GB2312"/>
          <w:bCs/>
          <w:color w:val="000000"/>
          <w:sz w:val="32"/>
          <w:szCs w:val="32"/>
        </w:rPr>
        <w:t>万元。其中</w:t>
      </w:r>
      <w:r>
        <w:rPr>
          <w:rFonts w:hint="eastAsia" w:ascii="仿宋_GB2312" w:hAnsi="仿宋_GB2312" w:eastAsia="仿宋_GB2312" w:cs="仿宋_GB2312"/>
          <w:bCs/>
          <w:color w:val="000000"/>
          <w:sz w:val="32"/>
          <w:szCs w:val="32"/>
          <w:lang w:eastAsia="zh-CN"/>
        </w:rPr>
        <w:t>：一般公共预算财政拨款</w:t>
      </w:r>
      <w:r>
        <w:rPr>
          <w:rFonts w:hint="eastAsia" w:ascii="仿宋_GB2312" w:hAnsi="仿宋_GB2312" w:eastAsia="仿宋_GB2312" w:cs="仿宋_GB2312"/>
          <w:bCs/>
          <w:color w:val="000000"/>
          <w:sz w:val="32"/>
          <w:szCs w:val="32"/>
        </w:rPr>
        <w:t>收入</w:t>
      </w:r>
      <w:r>
        <w:rPr>
          <w:rFonts w:hint="eastAsia" w:ascii="仿宋_GB2312" w:hAnsi="仿宋_GB2312" w:eastAsia="仿宋_GB2312" w:cs="仿宋_GB2312"/>
          <w:bCs/>
          <w:color w:val="000000"/>
          <w:sz w:val="32"/>
          <w:szCs w:val="32"/>
          <w:lang w:val="en-US" w:eastAsia="zh-CN"/>
        </w:rPr>
        <w:t>4617.62</w:t>
      </w:r>
      <w:r>
        <w:rPr>
          <w:rFonts w:hint="eastAsia" w:ascii="仿宋_GB2312" w:hAnsi="仿宋_GB2312" w:eastAsia="仿宋_GB2312" w:cs="仿宋_GB2312"/>
          <w:bCs/>
          <w:color w:val="000000"/>
          <w:sz w:val="32"/>
          <w:szCs w:val="32"/>
        </w:rPr>
        <w:t>万元，</w:t>
      </w:r>
      <w:r>
        <w:rPr>
          <w:rFonts w:hint="eastAsia" w:ascii="仿宋_GB2312" w:hAnsi="仿宋_GB2312" w:eastAsia="仿宋_GB2312" w:cs="仿宋_GB2312"/>
          <w:bCs/>
          <w:color w:val="000000"/>
          <w:sz w:val="32"/>
          <w:szCs w:val="32"/>
          <w:lang w:eastAsia="zh-CN"/>
        </w:rPr>
        <w:t>其他收入</w:t>
      </w:r>
      <w:r>
        <w:rPr>
          <w:rFonts w:hint="eastAsia" w:ascii="仿宋_GB2312" w:hAnsi="仿宋_GB2312" w:eastAsia="仿宋_GB2312" w:cs="仿宋_GB2312"/>
          <w:bCs/>
          <w:color w:val="000000"/>
          <w:sz w:val="32"/>
          <w:szCs w:val="32"/>
          <w:lang w:val="en-US" w:eastAsia="zh-CN"/>
        </w:rPr>
        <w:t>38.39</w:t>
      </w:r>
      <w:r>
        <w:rPr>
          <w:rFonts w:hint="eastAsia" w:ascii="仿宋_GB2312" w:hAnsi="仿宋_GB2312" w:eastAsia="仿宋_GB2312" w:cs="仿宋_GB2312"/>
          <w:bCs/>
          <w:color w:val="000000"/>
          <w:sz w:val="32"/>
          <w:szCs w:val="32"/>
        </w:rPr>
        <w:t>万元。本年支出</w:t>
      </w:r>
      <w:r>
        <w:rPr>
          <w:rFonts w:hint="eastAsia" w:ascii="仿宋_GB2312" w:hAnsi="仿宋_GB2312" w:eastAsia="仿宋_GB2312" w:cs="仿宋_GB2312"/>
          <w:bCs/>
          <w:color w:val="000000"/>
          <w:sz w:val="32"/>
          <w:szCs w:val="32"/>
          <w:lang w:eastAsia="zh-CN"/>
        </w:rPr>
        <w:t>总计</w:t>
      </w:r>
      <w:r>
        <w:rPr>
          <w:rFonts w:hint="eastAsia" w:ascii="仿宋_GB2312" w:hAnsi="仿宋_GB2312" w:eastAsia="仿宋_GB2312" w:cs="仿宋_GB2312"/>
          <w:bCs/>
          <w:color w:val="000000"/>
          <w:sz w:val="32"/>
          <w:szCs w:val="32"/>
          <w:lang w:val="en-US" w:eastAsia="zh-CN"/>
        </w:rPr>
        <w:t>4656</w:t>
      </w:r>
      <w:r>
        <w:rPr>
          <w:rFonts w:hint="eastAsia" w:ascii="仿宋_GB2312" w:hAnsi="仿宋_GB2312" w:eastAsia="仿宋_GB2312" w:cs="仿宋_GB2312"/>
          <w:bCs/>
          <w:color w:val="000000"/>
          <w:sz w:val="32"/>
          <w:szCs w:val="32"/>
        </w:rPr>
        <w:t>万元，</w:t>
      </w:r>
      <w:r>
        <w:rPr>
          <w:rFonts w:hint="eastAsia" w:ascii="仿宋_GB2312" w:hAnsi="仿宋_GB2312" w:eastAsia="仿宋_GB2312" w:cs="仿宋_GB2312"/>
          <w:bCs/>
          <w:color w:val="000000"/>
          <w:sz w:val="32"/>
          <w:szCs w:val="32"/>
          <w:lang w:eastAsia="zh-CN"/>
        </w:rPr>
        <w:t>其中：基本支出</w:t>
      </w:r>
      <w:r>
        <w:rPr>
          <w:rFonts w:hint="eastAsia" w:ascii="仿宋_GB2312" w:hAnsi="仿宋_GB2312" w:eastAsia="仿宋_GB2312" w:cs="仿宋_GB2312"/>
          <w:bCs/>
          <w:color w:val="000000"/>
          <w:sz w:val="32"/>
          <w:szCs w:val="32"/>
          <w:lang w:val="en-US" w:eastAsia="zh-CN"/>
        </w:rPr>
        <w:t>4236.33</w:t>
      </w:r>
      <w:r>
        <w:rPr>
          <w:rFonts w:hint="eastAsia" w:ascii="仿宋_GB2312" w:hAnsi="仿宋_GB2312" w:eastAsia="仿宋_GB2312" w:cs="仿宋_GB2312"/>
          <w:bCs/>
          <w:color w:val="000000"/>
          <w:sz w:val="32"/>
          <w:szCs w:val="32"/>
        </w:rPr>
        <w:t>万元</w:t>
      </w:r>
      <w:r>
        <w:rPr>
          <w:rFonts w:hint="eastAsia" w:ascii="仿宋_GB2312" w:hAnsi="仿宋_GB2312" w:eastAsia="仿宋_GB2312" w:cs="仿宋_GB2312"/>
          <w:bCs/>
          <w:color w:val="000000"/>
          <w:sz w:val="32"/>
          <w:szCs w:val="32"/>
          <w:lang w:eastAsia="zh-CN"/>
        </w:rPr>
        <w:t>，项目支出</w:t>
      </w:r>
      <w:r>
        <w:rPr>
          <w:rFonts w:hint="eastAsia" w:ascii="仿宋_GB2312" w:hAnsi="仿宋_GB2312" w:eastAsia="仿宋_GB2312" w:cs="仿宋_GB2312"/>
          <w:bCs/>
          <w:color w:val="000000"/>
          <w:sz w:val="32"/>
          <w:szCs w:val="32"/>
          <w:lang w:val="en-US" w:eastAsia="zh-CN"/>
        </w:rPr>
        <w:t>419.68万元</w:t>
      </w:r>
      <w:r>
        <w:rPr>
          <w:rFonts w:hint="eastAsia" w:ascii="仿宋_GB2312" w:hAnsi="仿宋_GB2312" w:eastAsia="仿宋_GB2312" w:cs="仿宋_GB2312"/>
          <w:bCs/>
          <w:color w:val="000000"/>
          <w:sz w:val="32"/>
          <w:szCs w:val="32"/>
        </w:rPr>
        <w:t>。</w:t>
      </w:r>
    </w:p>
    <w:p w14:paraId="09B4AA61">
      <w:pPr>
        <w:shd w:val="clea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严格落实《预算法》及省、市、县绩效管理工作的有关规定，进一步规范财政资金的管理，强化财政支出绩效理念，提升单位责任意识，提高资金使用效益，促进全县经济健康发展。</w:t>
      </w:r>
    </w:p>
    <w:p w14:paraId="754C6923">
      <w:pPr>
        <w:widowControl/>
        <w:shd w:val="clear"/>
        <w:spacing w:line="600" w:lineRule="exact"/>
        <w:ind w:firstLine="640" w:firstLineChars="200"/>
        <w:jc w:val="left"/>
        <w:rPr>
          <w:rFonts w:hint="eastAsia" w:ascii="仿宋" w:hAnsi="仿宋" w:eastAsia="仿宋" w:cs="仿宋"/>
          <w:b/>
          <w:sz w:val="32"/>
          <w:szCs w:val="32"/>
        </w:rPr>
      </w:pPr>
      <w:r>
        <w:rPr>
          <w:rFonts w:hint="eastAsia" w:ascii="仿宋" w:hAnsi="仿宋" w:eastAsia="仿宋" w:cs="仿宋"/>
          <w:b/>
          <w:sz w:val="32"/>
          <w:szCs w:val="32"/>
          <w:lang w:eastAsia="zh-CN"/>
        </w:rPr>
        <w:t>二、一般公共预算支出</w:t>
      </w:r>
      <w:r>
        <w:rPr>
          <w:rFonts w:hint="eastAsia" w:ascii="仿宋" w:hAnsi="仿宋" w:eastAsia="仿宋" w:cs="仿宋"/>
          <w:b/>
          <w:sz w:val="32"/>
          <w:szCs w:val="32"/>
        </w:rPr>
        <w:t>情况</w:t>
      </w:r>
    </w:p>
    <w:p w14:paraId="0F4AF430">
      <w:pPr>
        <w:shd w:val="clea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eastAsia="zh-CN"/>
        </w:rPr>
        <w:t>基本支出</w:t>
      </w:r>
    </w:p>
    <w:p w14:paraId="3D4671DD">
      <w:pPr>
        <w:shd w:val="clear"/>
        <w:spacing w:line="600" w:lineRule="exact"/>
        <w:ind w:firstLine="640" w:firstLineChars="200"/>
        <w:rPr>
          <w:rFonts w:hint="eastAsia" w:ascii="仿宋" w:hAnsi="仿宋" w:eastAsia="仿宋" w:cs="仿宋"/>
          <w:bCs/>
          <w:sz w:val="32"/>
          <w:szCs w:val="32"/>
          <w:lang w:val="en-US" w:eastAsia="zh-CN"/>
        </w:rPr>
      </w:pPr>
      <w:r>
        <w:rPr>
          <w:rFonts w:hint="eastAsia" w:ascii="仿宋_GB2312" w:hAnsi="仿宋_GB2312" w:eastAsia="仿宋_GB2312" w:cs="仿宋_GB2312"/>
          <w:bCs/>
          <w:sz w:val="32"/>
          <w:szCs w:val="32"/>
          <w:lang w:val="en-US" w:eastAsia="zh-CN"/>
        </w:rPr>
        <w:t>2023年基本支出4197.94万元，其中：工资福利支出2724.66万元，商品和服务支出1299.28万元，对个人和家庭的补助支出155.38万元，资本性支出18.61万元。人员经费主要用于</w:t>
      </w:r>
      <w:r>
        <w:rPr>
          <w:rFonts w:hint="eastAsia" w:ascii="仿宋" w:hAnsi="仿宋" w:eastAsia="仿宋" w:cs="仿宋"/>
          <w:i w:val="0"/>
          <w:iCs w:val="0"/>
          <w:caps w:val="0"/>
          <w:color w:val="3D3D3D"/>
          <w:spacing w:val="0"/>
          <w:sz w:val="32"/>
          <w:szCs w:val="32"/>
          <w:shd w:val="clear" w:color="auto" w:fill="FFFFFF"/>
        </w:rPr>
        <w:t>主要用于干部职工工资及政策规定的奖金、社会保障缴费支出、福利费发放等</w:t>
      </w:r>
      <w:r>
        <w:rPr>
          <w:rFonts w:hint="eastAsia" w:ascii="仿宋" w:hAnsi="仿宋" w:eastAsia="仿宋" w:cs="仿宋"/>
          <w:i w:val="0"/>
          <w:iCs w:val="0"/>
          <w:caps w:val="0"/>
          <w:color w:val="3D3D3D"/>
          <w:spacing w:val="0"/>
          <w:sz w:val="32"/>
          <w:szCs w:val="32"/>
          <w:shd w:val="clear" w:color="auto" w:fill="FFFFFF"/>
          <w:lang w:eastAsia="zh-CN"/>
        </w:rPr>
        <w:t>；公用经费</w:t>
      </w:r>
      <w:r>
        <w:rPr>
          <w:rFonts w:hint="eastAsia" w:ascii="仿宋" w:hAnsi="仿宋" w:eastAsia="仿宋" w:cs="仿宋"/>
          <w:i w:val="0"/>
          <w:iCs w:val="0"/>
          <w:caps w:val="0"/>
          <w:color w:val="3D3D3D"/>
          <w:spacing w:val="0"/>
          <w:sz w:val="32"/>
          <w:szCs w:val="32"/>
          <w:shd w:val="clear" w:color="auto" w:fill="FFFFFF"/>
        </w:rPr>
        <w:t>主要用于单位的运转及日常性工作开支</w:t>
      </w:r>
      <w:r>
        <w:rPr>
          <w:rFonts w:hint="eastAsia" w:ascii="仿宋" w:hAnsi="仿宋" w:eastAsia="仿宋" w:cs="仿宋"/>
          <w:i w:val="0"/>
          <w:iCs w:val="0"/>
          <w:caps w:val="0"/>
          <w:color w:val="3D3D3D"/>
          <w:spacing w:val="0"/>
          <w:sz w:val="32"/>
          <w:szCs w:val="32"/>
          <w:shd w:val="clear" w:color="auto" w:fill="FFFFFF"/>
          <w:lang w:eastAsia="zh-CN"/>
        </w:rPr>
        <w:t>。</w:t>
      </w:r>
    </w:p>
    <w:p w14:paraId="3C1BFBF5">
      <w:pPr>
        <w:shd w:val="clear"/>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年“三公经费”支出</w:t>
      </w:r>
      <w:r>
        <w:rPr>
          <w:rFonts w:hint="eastAsia" w:ascii="仿宋_GB2312" w:hAnsi="仿宋_GB2312" w:eastAsia="仿宋_GB2312" w:cs="仿宋_GB2312"/>
          <w:bCs/>
          <w:color w:val="000000"/>
          <w:sz w:val="32"/>
          <w:szCs w:val="32"/>
          <w:lang w:val="en-US" w:eastAsia="zh-CN"/>
        </w:rPr>
        <w:t>1.92</w:t>
      </w:r>
      <w:r>
        <w:rPr>
          <w:rFonts w:hint="eastAsia" w:ascii="仿宋_GB2312" w:hAnsi="仿宋_GB2312" w:eastAsia="仿宋_GB2312" w:cs="仿宋_GB2312"/>
          <w:bCs/>
          <w:color w:val="000000"/>
          <w:sz w:val="32"/>
          <w:szCs w:val="32"/>
        </w:rPr>
        <w:t>万元：其中公务接待费开支</w:t>
      </w:r>
      <w:r>
        <w:rPr>
          <w:rFonts w:hint="eastAsia" w:ascii="仿宋_GB2312" w:hAnsi="仿宋_GB2312" w:eastAsia="仿宋_GB2312" w:cs="仿宋_GB2312"/>
          <w:bCs/>
          <w:color w:val="000000"/>
          <w:sz w:val="32"/>
          <w:szCs w:val="32"/>
          <w:lang w:val="en-US" w:eastAsia="zh-CN"/>
        </w:rPr>
        <w:t>1.92</w:t>
      </w:r>
      <w:r>
        <w:rPr>
          <w:rFonts w:hint="eastAsia" w:ascii="仿宋_GB2312" w:hAnsi="仿宋_GB2312" w:eastAsia="仿宋_GB2312" w:cs="仿宋_GB2312"/>
          <w:bCs/>
          <w:color w:val="000000"/>
          <w:sz w:val="32"/>
          <w:szCs w:val="32"/>
        </w:rPr>
        <w:t>万元，在厉行节约控制指标内。由于实行公务用车改革及中央“八项规定”要求，公务用车购置及运行维护费、出国境费均为零。</w:t>
      </w:r>
    </w:p>
    <w:p w14:paraId="05C56CBC">
      <w:pPr>
        <w:shd w:val="clear"/>
        <w:spacing w:line="600" w:lineRule="exact"/>
        <w:ind w:firstLine="640"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（二）专项支出</w:t>
      </w:r>
    </w:p>
    <w:p w14:paraId="0C7B5441">
      <w:pPr>
        <w:shd w:val="clear"/>
        <w:spacing w:line="600" w:lineRule="exact"/>
        <w:ind w:firstLine="640" w:firstLineChars="200"/>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eastAsia="zh-CN"/>
        </w:rPr>
        <w:t>项目</w:t>
      </w:r>
      <w:r>
        <w:rPr>
          <w:rFonts w:hint="eastAsia" w:ascii="仿宋_GB2312" w:hAnsi="仿宋_GB2312" w:eastAsia="仿宋_GB2312" w:cs="仿宋_GB2312"/>
          <w:bCs/>
          <w:color w:val="000000"/>
          <w:sz w:val="32"/>
          <w:szCs w:val="32"/>
        </w:rPr>
        <w:t>支出</w:t>
      </w:r>
      <w:r>
        <w:rPr>
          <w:rFonts w:hint="eastAsia" w:ascii="仿宋_GB2312" w:hAnsi="仿宋_GB2312" w:eastAsia="仿宋_GB2312" w:cs="仿宋_GB2312"/>
          <w:bCs/>
          <w:color w:val="000000"/>
          <w:sz w:val="32"/>
          <w:szCs w:val="32"/>
          <w:lang w:val="en-US" w:eastAsia="zh-CN"/>
        </w:rPr>
        <w:t>419.68万</w:t>
      </w:r>
      <w:r>
        <w:rPr>
          <w:rFonts w:hint="eastAsia" w:ascii="仿宋_GB2312" w:hAnsi="仿宋_GB2312" w:eastAsia="仿宋_GB2312" w:cs="仿宋_GB2312"/>
          <w:bCs/>
          <w:color w:val="000000"/>
          <w:sz w:val="32"/>
          <w:szCs w:val="32"/>
        </w:rPr>
        <w:t>元。</w:t>
      </w:r>
      <w:r>
        <w:rPr>
          <w:rFonts w:hint="eastAsia" w:ascii="仿宋_GB2312" w:hAnsi="仿宋_GB2312" w:eastAsia="仿宋_GB2312" w:cs="仿宋_GB2312"/>
          <w:bCs/>
          <w:color w:val="000000"/>
          <w:sz w:val="32"/>
          <w:szCs w:val="32"/>
          <w:lang w:eastAsia="zh-CN"/>
        </w:rPr>
        <w:t>其中：工资福利支出</w:t>
      </w:r>
      <w:r>
        <w:rPr>
          <w:rFonts w:hint="eastAsia" w:ascii="仿宋_GB2312" w:hAnsi="仿宋_GB2312" w:eastAsia="仿宋_GB2312" w:cs="仿宋_GB2312"/>
          <w:bCs/>
          <w:color w:val="000000"/>
          <w:sz w:val="32"/>
          <w:szCs w:val="32"/>
          <w:lang w:val="en-US" w:eastAsia="zh-CN"/>
        </w:rPr>
        <w:t>184.64万元，资本性支出235.04万元，</w:t>
      </w:r>
      <w:r>
        <w:rPr>
          <w:rFonts w:hint="eastAsia" w:ascii="仿宋_GB2312" w:hAnsi="仿宋_GB2312" w:eastAsia="仿宋_GB2312" w:cs="仿宋_GB2312"/>
          <w:bCs/>
          <w:color w:val="000000"/>
          <w:sz w:val="32"/>
          <w:szCs w:val="32"/>
          <w:lang w:eastAsia="zh-CN"/>
        </w:rPr>
        <w:t>主要用于财政开展日常工作、办理各项财政业务及开展预算一体化工作</w:t>
      </w:r>
      <w:r>
        <w:rPr>
          <w:rFonts w:hint="eastAsia" w:ascii="仿宋_GB2312" w:hAnsi="仿宋_GB2312" w:eastAsia="仿宋_GB2312" w:cs="仿宋_GB2312"/>
          <w:bCs/>
          <w:color w:val="000000"/>
          <w:sz w:val="32"/>
          <w:szCs w:val="32"/>
          <w:lang w:val="en-US" w:eastAsia="zh-CN"/>
        </w:rPr>
        <w:t>。</w:t>
      </w:r>
    </w:p>
    <w:p w14:paraId="6B133F1C">
      <w:pPr>
        <w:shd w:val="clear"/>
        <w:spacing w:line="60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i w:val="0"/>
          <w:iCs w:val="0"/>
          <w:caps w:val="0"/>
          <w:color w:val="3D3D3D"/>
          <w:spacing w:val="0"/>
          <w:sz w:val="32"/>
          <w:szCs w:val="32"/>
          <w:shd w:val="clear" w:color="auto" w:fill="FFFFFF"/>
        </w:rPr>
        <w:t>我局严格按照会计核算制度管理项目资金，并严格按照资金文件下达的开支标准范围进行开支，</w:t>
      </w:r>
      <w:r>
        <w:rPr>
          <w:rFonts w:hint="eastAsia" w:ascii="仿宋" w:hAnsi="仿宋" w:eastAsia="仿宋" w:cs="仿宋"/>
          <w:i w:val="0"/>
          <w:iCs w:val="0"/>
          <w:caps w:val="0"/>
          <w:color w:val="3D3D3D"/>
          <w:spacing w:val="0"/>
          <w:sz w:val="32"/>
          <w:szCs w:val="32"/>
          <w:shd w:val="clear" w:color="auto" w:fill="FFFFFF"/>
          <w:lang w:eastAsia="zh-CN"/>
        </w:rPr>
        <w:t>按</w:t>
      </w:r>
      <w:r>
        <w:rPr>
          <w:rFonts w:hint="eastAsia" w:ascii="仿宋" w:hAnsi="仿宋" w:eastAsia="仿宋" w:cs="仿宋"/>
          <w:i w:val="0"/>
          <w:iCs w:val="0"/>
          <w:caps w:val="0"/>
          <w:color w:val="3D3D3D"/>
          <w:spacing w:val="0"/>
          <w:sz w:val="32"/>
          <w:szCs w:val="32"/>
          <w:shd w:val="clear" w:color="auto" w:fill="FFFFFF"/>
        </w:rPr>
        <w:t>要求实行专款专用，严格执行项目资金批准的使用计划和项目批复内容，不准擅自调项、扩项、缩项，更不准拆借、挪用、挤占，资金拨付严格按专项资金的要求执行，无超标准开支情况。</w:t>
      </w:r>
    </w:p>
    <w:p w14:paraId="1F258BA3">
      <w:pPr>
        <w:keepNext w:val="0"/>
        <w:keepLines w:val="0"/>
        <w:pageBreakBefore w:val="0"/>
        <w:widowControl w:val="0"/>
        <w:numPr>
          <w:ilvl w:val="0"/>
          <w:numId w:val="4"/>
        </w:numPr>
        <w:shd w:val="clear" w:color="auto"/>
        <w:kinsoku/>
        <w:wordWrap/>
        <w:overflowPunct/>
        <w:topLinePunct w:val="0"/>
        <w:autoSpaceDE/>
        <w:autoSpaceDN/>
        <w:bidi w:val="0"/>
        <w:adjustRightInd/>
        <w:spacing w:line="240" w:lineRule="auto"/>
        <w:ind w:firstLine="640"/>
        <w:textAlignment w:val="auto"/>
        <w:rPr>
          <w:rFonts w:hint="eastAsia" w:ascii="仿宋" w:hAnsi="仿宋" w:eastAsia="仿宋" w:cs="仿宋"/>
          <w:b/>
          <w:bCs/>
          <w:spacing w:val="-2"/>
          <w:sz w:val="32"/>
          <w:szCs w:val="32"/>
        </w:rPr>
      </w:pPr>
      <w:r>
        <w:rPr>
          <w:rFonts w:hint="eastAsia" w:ascii="仿宋" w:hAnsi="仿宋" w:eastAsia="仿宋" w:cs="仿宋"/>
          <w:b/>
          <w:bCs/>
          <w:spacing w:val="-2"/>
          <w:sz w:val="32"/>
          <w:szCs w:val="32"/>
          <w:lang w:eastAsia="zh-CN"/>
        </w:rPr>
        <w:t>政府性基金预算支出</w:t>
      </w:r>
      <w:r>
        <w:rPr>
          <w:rFonts w:hint="eastAsia" w:ascii="仿宋" w:hAnsi="仿宋" w:eastAsia="仿宋" w:cs="仿宋"/>
          <w:b/>
          <w:bCs/>
          <w:spacing w:val="-2"/>
          <w:sz w:val="32"/>
          <w:szCs w:val="32"/>
        </w:rPr>
        <w:t>情况</w:t>
      </w:r>
    </w:p>
    <w:p w14:paraId="785DCB75">
      <w:pPr>
        <w:pStyle w:val="8"/>
        <w:keepNext w:val="0"/>
        <w:keepLines w:val="0"/>
        <w:pageBreakBefore w:val="0"/>
        <w:widowControl w:val="0"/>
        <w:numPr>
          <w:ilvl w:val="0"/>
          <w:numId w:val="0"/>
        </w:numPr>
        <w:shd w:val="clear"/>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本单位无政府性基金支出</w:t>
      </w:r>
    </w:p>
    <w:p w14:paraId="0E561C75">
      <w:pPr>
        <w:keepNext w:val="0"/>
        <w:keepLines w:val="0"/>
        <w:pageBreakBefore w:val="0"/>
        <w:widowControl w:val="0"/>
        <w:numPr>
          <w:ilvl w:val="0"/>
          <w:numId w:val="4"/>
        </w:numPr>
        <w:shd w:val="clear" w:color="auto"/>
        <w:kinsoku/>
        <w:wordWrap/>
        <w:overflowPunct/>
        <w:topLinePunct w:val="0"/>
        <w:autoSpaceDE/>
        <w:autoSpaceDN/>
        <w:bidi w:val="0"/>
        <w:adjustRightInd/>
        <w:spacing w:line="240" w:lineRule="auto"/>
        <w:ind w:left="0" w:leftChars="0" w:firstLine="64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社会保险基金预算支出情况</w:t>
      </w:r>
    </w:p>
    <w:p w14:paraId="2845AA7D">
      <w:pPr>
        <w:pStyle w:val="8"/>
        <w:keepNext w:val="0"/>
        <w:keepLines w:val="0"/>
        <w:pageBreakBefore w:val="0"/>
        <w:widowControl w:val="0"/>
        <w:numPr>
          <w:ilvl w:val="0"/>
          <w:numId w:val="0"/>
        </w:numPr>
        <w:shd w:val="clear"/>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本单位无社会保险基金支出</w:t>
      </w:r>
    </w:p>
    <w:p w14:paraId="62A4EB85">
      <w:pPr>
        <w:keepNext w:val="0"/>
        <w:keepLines w:val="0"/>
        <w:pageBreakBefore w:val="0"/>
        <w:widowControl w:val="0"/>
        <w:numPr>
          <w:ilvl w:val="0"/>
          <w:numId w:val="4"/>
        </w:numPr>
        <w:shd w:val="clear" w:color="auto"/>
        <w:kinsoku/>
        <w:wordWrap/>
        <w:overflowPunct/>
        <w:topLinePunct w:val="0"/>
        <w:autoSpaceDE/>
        <w:autoSpaceDN/>
        <w:bidi w:val="0"/>
        <w:adjustRightInd/>
        <w:spacing w:line="240" w:lineRule="auto"/>
        <w:ind w:left="0" w:leftChars="0" w:firstLine="640" w:firstLineChars="0"/>
        <w:textAlignment w:val="auto"/>
        <w:rPr>
          <w:rFonts w:hint="eastAsia" w:ascii="仿宋" w:hAnsi="仿宋" w:eastAsia="仿宋" w:cs="仿宋"/>
          <w:b/>
          <w:bCs/>
          <w:spacing w:val="-2"/>
          <w:sz w:val="32"/>
          <w:szCs w:val="32"/>
          <w:lang w:eastAsia="zh-CN"/>
        </w:rPr>
      </w:pPr>
      <w:r>
        <w:rPr>
          <w:rFonts w:hint="eastAsia" w:ascii="仿宋" w:hAnsi="仿宋" w:eastAsia="仿宋" w:cs="仿宋"/>
          <w:b/>
          <w:bCs/>
          <w:spacing w:val="-2"/>
          <w:sz w:val="32"/>
          <w:szCs w:val="32"/>
          <w:lang w:eastAsia="zh-CN"/>
        </w:rPr>
        <w:t>国有资本经营预算支出情况</w:t>
      </w:r>
    </w:p>
    <w:p w14:paraId="60CB6557">
      <w:pPr>
        <w:pStyle w:val="8"/>
        <w:keepNext w:val="0"/>
        <w:keepLines w:val="0"/>
        <w:pageBreakBefore w:val="0"/>
        <w:widowControl w:val="0"/>
        <w:numPr>
          <w:ilvl w:val="0"/>
          <w:numId w:val="0"/>
        </w:numPr>
        <w:shd w:val="clear"/>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本单位无国有资本经营预算支出</w:t>
      </w:r>
    </w:p>
    <w:p w14:paraId="6F7AF93E">
      <w:pPr>
        <w:keepNext/>
        <w:numPr>
          <w:ilvl w:val="0"/>
          <w:numId w:val="0"/>
        </w:numPr>
        <w:shd w:val="clear"/>
        <w:spacing w:line="60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六、资产管理情况</w:t>
      </w:r>
    </w:p>
    <w:p w14:paraId="54A3BCEE">
      <w:pPr>
        <w:shd w:val="clear"/>
        <w:spacing w:line="560" w:lineRule="exact"/>
        <w:ind w:right="105" w:rightChars="5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年底，我单位固定资产</w:t>
      </w:r>
      <w:r>
        <w:rPr>
          <w:rFonts w:hint="eastAsia" w:ascii="仿宋_GB2312" w:hAnsi="宋体" w:eastAsia="仿宋_GB2312" w:cs="宋体"/>
          <w:kern w:val="0"/>
          <w:sz w:val="32"/>
          <w:szCs w:val="32"/>
          <w:lang w:eastAsia="zh-CN"/>
        </w:rPr>
        <w:t>原</w:t>
      </w:r>
      <w:r>
        <w:rPr>
          <w:rFonts w:hint="eastAsia" w:ascii="仿宋_GB2312" w:hAnsi="宋体" w:eastAsia="仿宋_GB2312" w:cs="宋体"/>
          <w:kern w:val="0"/>
          <w:sz w:val="32"/>
          <w:szCs w:val="32"/>
        </w:rPr>
        <w:t>值</w:t>
      </w:r>
      <w:r>
        <w:rPr>
          <w:rFonts w:hint="eastAsia" w:ascii="仿宋_GB2312" w:hAnsi="宋体" w:eastAsia="仿宋_GB2312" w:cs="宋体"/>
          <w:kern w:val="0"/>
          <w:sz w:val="32"/>
          <w:szCs w:val="32"/>
          <w:lang w:val="en-US" w:eastAsia="zh-CN"/>
        </w:rPr>
        <w:t>1036.4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净值</w:t>
      </w:r>
      <w:r>
        <w:rPr>
          <w:rFonts w:hint="eastAsia" w:ascii="仿宋_GB2312" w:hAnsi="宋体" w:eastAsia="仿宋_GB2312" w:cs="宋体"/>
          <w:kern w:val="0"/>
          <w:sz w:val="32"/>
          <w:szCs w:val="32"/>
          <w:lang w:val="en-US" w:eastAsia="zh-CN"/>
        </w:rPr>
        <w:t>248.52万元。</w:t>
      </w:r>
      <w:r>
        <w:rPr>
          <w:rFonts w:hint="eastAsia" w:ascii="仿宋_GB2312" w:hAnsi="宋体" w:eastAsia="仿宋_GB2312" w:cs="宋体"/>
          <w:kern w:val="0"/>
          <w:sz w:val="32"/>
          <w:szCs w:val="32"/>
        </w:rPr>
        <w:t>在资产管理上严格按照《固定资产管理办法》规定，由单位统一进行管理和配置，及时登记、更新台账，并立章建制，做到帐帐、帐证、帐实相符，基本无闲置浪费现象。</w:t>
      </w:r>
    </w:p>
    <w:p w14:paraId="300AD11D">
      <w:pPr>
        <w:keepNext w:val="0"/>
        <w:keepLines w:val="0"/>
        <w:pageBreakBefore w:val="0"/>
        <w:widowControl w:val="0"/>
        <w:numPr>
          <w:ilvl w:val="0"/>
          <w:numId w:val="5"/>
        </w:numPr>
        <w:shd w:val="clear"/>
        <w:kinsoku/>
        <w:wordWrap/>
        <w:overflowPunct/>
        <w:topLinePunct w:val="0"/>
        <w:autoSpaceDE/>
        <w:autoSpaceDN/>
        <w:bidi w:val="0"/>
        <w:adjustRightInd/>
        <w:spacing w:line="240" w:lineRule="auto"/>
        <w:ind w:left="0" w:leftChars="0" w:right="105" w:rightChars="50" w:firstLine="640" w:firstLineChars="200"/>
        <w:jc w:val="left"/>
        <w:textAlignment w:val="auto"/>
        <w:rPr>
          <w:rFonts w:hint="eastAsia" w:ascii="楷体" w:hAnsi="楷体" w:eastAsia="楷体" w:cs="楷体"/>
          <w:sz w:val="32"/>
          <w:szCs w:val="32"/>
          <w:lang w:val="en-US" w:eastAsia="zh-CN"/>
        </w:rPr>
      </w:pPr>
      <w:r>
        <w:rPr>
          <w:rFonts w:hint="eastAsia" w:ascii="仿宋" w:hAnsi="仿宋" w:eastAsia="仿宋" w:cs="仿宋"/>
          <w:b/>
          <w:sz w:val="32"/>
          <w:szCs w:val="32"/>
        </w:rPr>
        <w:t>整体支出绩效情况</w:t>
      </w:r>
    </w:p>
    <w:p w14:paraId="6A929CA5">
      <w:pPr>
        <w:pStyle w:val="8"/>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202</w:t>
      </w:r>
      <w:r>
        <w:rPr>
          <w:rFonts w:hint="eastAsia"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lang w:val="en-US" w:eastAsia="zh-CN"/>
        </w:rPr>
        <w:t>年，部门预算整体支出进度</w:t>
      </w:r>
      <w:r>
        <w:rPr>
          <w:rFonts w:hint="eastAsia" w:ascii="Times New Roman" w:hAnsi="Times New Roman" w:eastAsia="仿宋_GB2312" w:cs="Times New Roman"/>
          <w:snapToGrid w:val="0"/>
          <w:color w:val="auto"/>
          <w:kern w:val="0"/>
          <w:sz w:val="32"/>
          <w:szCs w:val="32"/>
          <w:lang w:val="en-US" w:eastAsia="zh-CN"/>
        </w:rPr>
        <w:t xml:space="preserve">100 </w:t>
      </w:r>
      <w:r>
        <w:rPr>
          <w:rFonts w:hint="default" w:ascii="Times New Roman" w:hAnsi="Times New Roman" w:eastAsia="仿宋_GB2312" w:cs="Times New Roman"/>
          <w:snapToGrid w:val="0"/>
          <w:color w:val="auto"/>
          <w:kern w:val="0"/>
          <w:sz w:val="32"/>
          <w:szCs w:val="32"/>
          <w:lang w:val="en-US" w:eastAsia="zh-CN"/>
        </w:rPr>
        <w:t>%，在</w:t>
      </w:r>
      <w:r>
        <w:rPr>
          <w:rFonts w:hint="default" w:ascii="Times New Roman" w:hAnsi="Times New Roman" w:eastAsia="仿宋_GB2312" w:cs="Times New Roman"/>
          <w:snapToGrid w:val="0"/>
          <w:kern w:val="0"/>
          <w:sz w:val="32"/>
          <w:szCs w:val="32"/>
          <w:lang w:val="en-US" w:eastAsia="zh-CN"/>
        </w:rPr>
        <w:t>服务财政改革，保障</w:t>
      </w:r>
      <w:r>
        <w:rPr>
          <w:rFonts w:hint="eastAsia" w:ascii="Times New Roman" w:hAnsi="Times New Roman" w:eastAsia="仿宋_GB2312" w:cs="Times New Roman"/>
          <w:snapToGrid w:val="0"/>
          <w:kern w:val="0"/>
          <w:sz w:val="32"/>
          <w:szCs w:val="32"/>
          <w:lang w:val="en-US" w:eastAsia="zh-CN"/>
        </w:rPr>
        <w:t>局</w:t>
      </w:r>
      <w:r>
        <w:rPr>
          <w:rFonts w:hint="default" w:ascii="Times New Roman" w:hAnsi="Times New Roman" w:eastAsia="仿宋_GB2312" w:cs="Times New Roman"/>
          <w:snapToGrid w:val="0"/>
          <w:kern w:val="0"/>
          <w:sz w:val="32"/>
          <w:szCs w:val="32"/>
          <w:lang w:val="en-US" w:eastAsia="zh-CN"/>
        </w:rPr>
        <w:t>机关的正常运转</w:t>
      </w:r>
      <w:r>
        <w:rPr>
          <w:rFonts w:hint="default" w:ascii="Times New Roman" w:hAnsi="Times New Roman" w:eastAsia="仿宋_GB2312" w:cs="Times New Roman"/>
          <w:snapToGrid w:val="0"/>
          <w:color w:val="auto"/>
          <w:kern w:val="0"/>
          <w:sz w:val="32"/>
          <w:szCs w:val="32"/>
          <w:lang w:val="en-US" w:eastAsia="zh-CN"/>
        </w:rPr>
        <w:t>等方面发挥了积极作用，总体支出绩效良好。</w:t>
      </w:r>
    </w:p>
    <w:p w14:paraId="0219E28A">
      <w:pPr>
        <w:numPr>
          <w:ilvl w:val="0"/>
          <w:numId w:val="2"/>
        </w:numPr>
        <w:shd w:val="clear"/>
        <w:spacing w:line="560" w:lineRule="exact"/>
        <w:ind w:left="840" w:leftChars="0" w:right="105" w:rightChars="50"/>
        <w:jc w:val="left"/>
        <w:rPr>
          <w:rFonts w:hint="eastAsia" w:ascii="仿宋" w:hAnsi="仿宋" w:eastAsia="仿宋" w:cs="仿宋_GB2312"/>
          <w:color w:val="000000"/>
          <w:kern w:val="0"/>
          <w:sz w:val="32"/>
          <w:szCs w:val="32"/>
        </w:rPr>
      </w:pPr>
      <w:r>
        <w:rPr>
          <w:rFonts w:hint="eastAsia" w:ascii="楷体" w:hAnsi="楷体" w:eastAsia="楷体" w:cs="楷体"/>
          <w:sz w:val="32"/>
          <w:szCs w:val="32"/>
          <w:lang w:val="en-US" w:eastAsia="zh-CN"/>
        </w:rPr>
        <w:t>效率性分析</w:t>
      </w:r>
    </w:p>
    <w:p w14:paraId="4768A10E">
      <w:pPr>
        <w:numPr>
          <w:ilvl w:val="0"/>
          <w:numId w:val="0"/>
        </w:numPr>
        <w:shd w:val="clear"/>
        <w:spacing w:line="560" w:lineRule="exact"/>
        <w:ind w:left="0" w:leftChars="0" w:right="105" w:rightChars="50"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2023年，我县地方一般公共预算收入完成106052万元，同比增长8.54%，为全年征收计划的110.37%。其中地方税收完成 76851 万元，同比增长8.55 %，为全年征收计划的 113.87 %；非税收入完成29201 万元，同比增长8.50 %。非税占比为27.53%。</w:t>
      </w:r>
    </w:p>
    <w:p w14:paraId="65BBD946">
      <w:pPr>
        <w:shd w:val="clear"/>
        <w:spacing w:line="560" w:lineRule="exact"/>
        <w:ind w:right="105" w:rightChars="5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（2）经济效益分析</w:t>
      </w:r>
    </w:p>
    <w:p w14:paraId="210EDA71">
      <w:pPr>
        <w:shd w:val="clear"/>
        <w:spacing w:line="560" w:lineRule="exact"/>
        <w:ind w:right="105" w:rightChars="5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支出总额控制在预算总额以内，“三公”经费总体控制较好，比上年有所下降，未超过预算控制数。</w:t>
      </w:r>
    </w:p>
    <w:p w14:paraId="0AC7AED7">
      <w:pPr>
        <w:shd w:val="clear"/>
        <w:spacing w:line="560" w:lineRule="exact"/>
        <w:ind w:right="105" w:rightChars="50"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（3）社会效益分析</w:t>
      </w:r>
    </w:p>
    <w:p w14:paraId="222EA4FE">
      <w:pPr>
        <w:shd w:val="clear"/>
        <w:spacing w:line="560" w:lineRule="exact"/>
        <w:ind w:right="105" w:rightChars="50" w:firstLine="640" w:firstLineChars="200"/>
        <w:jc w:val="left"/>
        <w:rPr>
          <w:rFonts w:hint="eastAsia" w:ascii="仿宋" w:hAnsi="仿宋" w:eastAsia="仿宋"/>
          <w:sz w:val="32"/>
          <w:szCs w:val="32"/>
        </w:rPr>
      </w:pPr>
      <w:r>
        <w:rPr>
          <w:rFonts w:hint="eastAsia" w:ascii="仿宋_GB2312" w:hAnsi="宋体" w:eastAsia="仿宋_GB2312" w:cs="宋体"/>
          <w:kern w:val="0"/>
          <w:sz w:val="32"/>
          <w:szCs w:val="32"/>
        </w:rPr>
        <w:t>1.攻艰克难，全力组织收入。通过分解落实收入任务、强化非税收入征管、盘活国有资源资产等方式，大力组织财税收入。2023</w:t>
      </w:r>
      <w:r>
        <w:rPr>
          <w:rFonts w:hint="eastAsia" w:ascii="仿宋" w:hAnsi="仿宋" w:eastAsia="仿宋"/>
          <w:bCs/>
          <w:sz w:val="32"/>
          <w:szCs w:val="32"/>
        </w:rPr>
        <w:t>年我县地方一般公共预算收入首次突破10亿元，</w:t>
      </w:r>
      <w:r>
        <w:rPr>
          <w:rFonts w:hint="eastAsia" w:ascii="仿宋" w:hAnsi="仿宋" w:eastAsia="仿宋"/>
          <w:bCs/>
          <w:sz w:val="32"/>
          <w:szCs w:val="32"/>
          <w:lang w:eastAsia="zh-CN"/>
        </w:rPr>
        <w:t>完成了</w:t>
      </w:r>
      <w:r>
        <w:rPr>
          <w:rFonts w:hint="eastAsia" w:ascii="仿宋" w:hAnsi="仿宋" w:eastAsia="仿宋"/>
          <w:bCs/>
          <w:sz w:val="32"/>
          <w:szCs w:val="32"/>
          <w:lang w:val="en-US" w:eastAsia="zh-CN"/>
        </w:rPr>
        <w:t>10.6亿元，同比增长8.54%。</w:t>
      </w:r>
      <w:r>
        <w:rPr>
          <w:rFonts w:hint="eastAsia" w:ascii="仿宋" w:hAnsi="仿宋" w:eastAsia="仿宋"/>
          <w:bCs/>
          <w:sz w:val="32"/>
          <w:szCs w:val="32"/>
        </w:rPr>
        <w:t>非税占比</w:t>
      </w:r>
      <w:r>
        <w:rPr>
          <w:rFonts w:hint="eastAsia" w:ascii="仿宋" w:hAnsi="仿宋" w:eastAsia="仿宋"/>
          <w:bCs/>
          <w:sz w:val="32"/>
          <w:szCs w:val="32"/>
          <w:lang w:val="en-US" w:eastAsia="zh-CN"/>
        </w:rPr>
        <w:t>27.54</w:t>
      </w:r>
      <w:r>
        <w:rPr>
          <w:rFonts w:hint="eastAsia" w:ascii="仿宋" w:hAnsi="仿宋" w:eastAsia="仿宋"/>
          <w:bCs/>
          <w:sz w:val="32"/>
          <w:szCs w:val="32"/>
        </w:rPr>
        <w:t>%。</w:t>
      </w:r>
    </w:p>
    <w:p w14:paraId="62AE415E">
      <w:pPr>
        <w:pStyle w:val="2"/>
        <w:widowControl/>
        <w:shd w:val="clear"/>
        <w:autoSpaceDE w:val="0"/>
        <w:spacing w:line="600" w:lineRule="exact"/>
        <w:ind w:firstLine="640"/>
        <w:textAlignment w:val="baseline"/>
        <w:rPr>
          <w:rFonts w:hint="eastAsia" w:ascii="仿宋" w:hAnsi="仿宋" w:eastAsia="仿宋" w:cs="Times New Roman"/>
          <w:kern w:val="2"/>
          <w:sz w:val="32"/>
          <w:szCs w:val="32"/>
          <w:lang w:val="en-US" w:eastAsia="zh-CN" w:bidi="ar-SA"/>
        </w:rPr>
      </w:pPr>
      <w:r>
        <w:rPr>
          <w:rFonts w:hint="eastAsia" w:ascii="楷体" w:hAnsi="楷体" w:eastAsia="楷体"/>
        </w:rPr>
        <w:t>2.调优结构，保障重点民生。</w:t>
      </w:r>
      <w:r>
        <w:rPr>
          <w:rFonts w:hint="eastAsia" w:ascii="仿宋" w:hAnsi="仿宋" w:eastAsia="仿宋"/>
        </w:rPr>
        <w:t>一是树牢“过紧日子”思想，坚持厉行节约。坚持“三保”支出优先地位，优化支出结构，进一步压减一般性支出和非急需、非刚性支出，确保“三公”经费只减不增，切实兜牢“三保”底线。2023年我县“三公”经费预算较2022年减少94万元。</w:t>
      </w:r>
      <w:r>
        <w:rPr>
          <w:rFonts w:hint="eastAsia" w:ascii="仿宋" w:hAnsi="仿宋" w:eastAsia="仿宋"/>
          <w:b/>
          <w:bCs/>
        </w:rPr>
        <w:t>二是</w:t>
      </w:r>
      <w:r>
        <w:rPr>
          <w:rFonts w:hint="eastAsia" w:ascii="仿宋" w:hAnsi="仿宋" w:eastAsia="仿宋"/>
        </w:rPr>
        <w:t>优化结构，确保重点支出。按照“量入为出、收支平衡、统筹兼顾、突出重点”的原则，优先安排人员经费和单位基本运转经费，以及义务教育学校保障机制、城乡居民医保、新农保、三农等民生配套资金，确保民生保障。</w:t>
      </w:r>
      <w:r>
        <w:rPr>
          <w:rFonts w:hint="eastAsia" w:ascii="仿宋" w:hAnsi="仿宋" w:eastAsia="仿宋" w:cs="Times New Roman"/>
        </w:rPr>
        <w:t>2023年，全县一般公共预算支出完成</w:t>
      </w:r>
      <w:r>
        <w:rPr>
          <w:rFonts w:hint="eastAsia" w:ascii="仿宋" w:hAnsi="仿宋" w:eastAsia="仿宋" w:cs="Times New Roman"/>
          <w:lang w:val="en-US" w:eastAsia="zh-CN"/>
        </w:rPr>
        <w:t>58.66亿元</w:t>
      </w:r>
      <w:r>
        <w:rPr>
          <w:rFonts w:hint="eastAsia" w:ascii="仿宋" w:hAnsi="仿宋" w:eastAsia="仿宋" w:cs="Times New Roman"/>
        </w:rPr>
        <w:t>，“三保”支出</w:t>
      </w:r>
      <w:r>
        <w:rPr>
          <w:rFonts w:hint="eastAsia" w:ascii="仿宋" w:hAnsi="仿宋" w:eastAsia="仿宋" w:cs="Times New Roman"/>
          <w:lang w:val="en-US" w:eastAsia="zh-CN"/>
        </w:rPr>
        <w:t>33.34亿元</w:t>
      </w:r>
      <w:r>
        <w:rPr>
          <w:rFonts w:hint="eastAsia" w:ascii="仿宋" w:hAnsi="仿宋" w:eastAsia="仿宋" w:cs="Times New Roman"/>
        </w:rPr>
        <w:t>，其中</w:t>
      </w:r>
      <w:r>
        <w:rPr>
          <w:rFonts w:hint="eastAsia" w:ascii="仿宋" w:hAnsi="仿宋" w:eastAsia="仿宋" w:cs="Times New Roman"/>
          <w:lang w:eastAsia="zh-CN"/>
        </w:rPr>
        <w:t>：</w:t>
      </w:r>
      <w:r>
        <w:rPr>
          <w:rFonts w:hint="eastAsia" w:ascii="仿宋" w:hAnsi="仿宋" w:eastAsia="仿宋" w:cs="Times New Roman"/>
        </w:rPr>
        <w:t>保基本民生支出</w:t>
      </w:r>
      <w:r>
        <w:rPr>
          <w:rFonts w:hint="eastAsia" w:ascii="仿宋" w:hAnsi="仿宋" w:eastAsia="仿宋" w:cs="Times New Roman"/>
          <w:lang w:val="en-US" w:eastAsia="zh-CN"/>
        </w:rPr>
        <w:t>15.63亿元</w:t>
      </w:r>
      <w:r>
        <w:rPr>
          <w:rFonts w:hint="eastAsia" w:ascii="仿宋" w:hAnsi="仿宋" w:eastAsia="仿宋" w:cs="Times New Roman"/>
          <w:lang w:eastAsia="zh-CN"/>
        </w:rPr>
        <w:t>、</w:t>
      </w:r>
      <w:r>
        <w:rPr>
          <w:rFonts w:hint="eastAsia" w:ascii="仿宋" w:hAnsi="仿宋" w:eastAsia="仿宋" w:cs="Times New Roman"/>
        </w:rPr>
        <w:t>保工资支出</w:t>
      </w:r>
      <w:r>
        <w:rPr>
          <w:rFonts w:hint="eastAsia" w:ascii="仿宋" w:hAnsi="仿宋" w:eastAsia="仿宋" w:cs="Times New Roman"/>
          <w:lang w:val="en-US" w:eastAsia="zh-CN"/>
        </w:rPr>
        <w:t>16.67亿元</w:t>
      </w:r>
      <w:r>
        <w:rPr>
          <w:rFonts w:hint="eastAsia" w:ascii="仿宋" w:hAnsi="仿宋" w:eastAsia="仿宋" w:cs="Times New Roman"/>
        </w:rPr>
        <w:t>、保运转支出</w:t>
      </w:r>
      <w:r>
        <w:rPr>
          <w:rFonts w:hint="eastAsia" w:ascii="仿宋" w:hAnsi="仿宋" w:eastAsia="仿宋" w:cs="Times New Roman"/>
          <w:lang w:val="en-US" w:eastAsia="zh-CN"/>
        </w:rPr>
        <w:t>1.04亿元，“三保”重点支出保障到位</w:t>
      </w:r>
      <w:r>
        <w:rPr>
          <w:rFonts w:hint="eastAsia" w:ascii="仿宋" w:hAnsi="仿宋" w:eastAsia="仿宋" w:cs="Times New Roman"/>
        </w:rPr>
        <w:t>。</w:t>
      </w:r>
      <w:r>
        <w:rPr>
          <w:rFonts w:hint="eastAsia" w:ascii="仿宋" w:hAnsi="仿宋" w:eastAsia="仿宋"/>
          <w:b/>
          <w:bCs/>
        </w:rPr>
        <w:t>三是</w:t>
      </w:r>
      <w:r>
        <w:rPr>
          <w:rFonts w:hint="eastAsia" w:ascii="仿宋" w:hAnsi="仿宋" w:eastAsia="仿宋"/>
        </w:rPr>
        <w:t>加大“三农”投入，推进乡村振兴。</w:t>
      </w:r>
      <w:r>
        <w:rPr>
          <w:rFonts w:hint="eastAsia" w:ascii="仿宋" w:hAnsi="仿宋" w:eastAsia="仿宋"/>
          <w:color w:val="auto"/>
          <w:lang w:val="en-US" w:eastAsia="zh-CN"/>
        </w:rPr>
        <w:t>2023年</w:t>
      </w:r>
      <w:r>
        <w:rPr>
          <w:rFonts w:hint="eastAsia" w:ascii="仿宋" w:hAnsi="仿宋" w:eastAsia="仿宋"/>
          <w:color w:val="auto"/>
        </w:rPr>
        <w:t>，全县通过“一卡通”发放各类补贴项目98项，补贴资金5.21亿元，惠及群众124.85万人次。</w:t>
      </w:r>
      <w:r>
        <w:rPr>
          <w:rFonts w:hint="eastAsia" w:ascii="仿宋" w:hAnsi="仿宋" w:eastAsia="仿宋"/>
        </w:rPr>
        <w:t>2023年共整合涉农资金27938万元，主要用于乡村建设15259万元、产业发展10634万元、三保障1500万元、就业增收545万元。支持“农信担”为新型农业经营主体提供融资担保服务，助推农业产业做大、做强、做优。</w:t>
      </w:r>
      <w:r>
        <w:rPr>
          <w:rFonts w:hint="eastAsia" w:ascii="仿宋" w:hAnsi="仿宋" w:eastAsia="仿宋"/>
          <w:color w:val="auto"/>
          <w:lang w:val="en-US" w:eastAsia="zh-CN"/>
        </w:rPr>
        <w:t>2023年</w:t>
      </w:r>
      <w:r>
        <w:rPr>
          <w:rFonts w:hint="eastAsia" w:ascii="仿宋" w:hAnsi="仿宋" w:eastAsia="仿宋"/>
          <w:color w:val="auto"/>
        </w:rPr>
        <w:t>完成在保余额1.42亿元</w:t>
      </w:r>
      <w:r>
        <w:rPr>
          <w:rFonts w:hint="eastAsia" w:ascii="仿宋" w:hAnsi="仿宋" w:eastAsia="仿宋" w:cs="Times New Roman"/>
          <w:kern w:val="2"/>
          <w:sz w:val="32"/>
          <w:szCs w:val="32"/>
          <w:lang w:val="en-US" w:eastAsia="zh-CN" w:bidi="ar-SA"/>
        </w:rPr>
        <w:t>，解保额0.42亿元。为49家企业及个体经营户授信1.25亿元，放贷1.21亿元。</w:t>
      </w:r>
    </w:p>
    <w:p w14:paraId="7A065B82">
      <w:pPr>
        <w:shd w:val="clear"/>
        <w:ind w:firstLine="640" w:firstLineChars="200"/>
        <w:rPr>
          <w:sz w:val="48"/>
          <w:szCs w:val="48"/>
        </w:rPr>
      </w:pPr>
      <w:r>
        <w:rPr>
          <w:rFonts w:hint="eastAsia" w:ascii="楷体" w:hAnsi="楷体" w:eastAsia="楷体"/>
          <w:sz w:val="32"/>
          <w:szCs w:val="32"/>
        </w:rPr>
        <w:t>3.积极防范,打好政府债务风险“阻击仗”</w:t>
      </w:r>
      <w:r>
        <w:rPr>
          <w:rFonts w:hint="eastAsia" w:ascii="仿宋" w:hAnsi="仿宋" w:eastAsia="仿宋"/>
          <w:b/>
          <w:bCs/>
          <w:sz w:val="32"/>
          <w:szCs w:val="32"/>
        </w:rPr>
        <w:t>。</w:t>
      </w:r>
      <w:r>
        <w:rPr>
          <w:rFonts w:hint="eastAsia" w:ascii="仿宋" w:hAnsi="仿宋" w:eastAsia="仿宋"/>
          <w:sz w:val="32"/>
          <w:szCs w:val="32"/>
        </w:rPr>
        <w:t>通过综合运用预算偿还、处置资产、债券替换、市场转化等多种方式积极防范化解债务风险。</w:t>
      </w:r>
      <w:r>
        <w:rPr>
          <w:rFonts w:hint="eastAsia" w:ascii="仿宋" w:hAnsi="仿宋" w:eastAsia="仿宋" w:cs="仿宋"/>
          <w:sz w:val="32"/>
          <w:szCs w:val="32"/>
        </w:rPr>
        <w:t>一是我县2023年度偿还政府债券0.7亿元，通过向省厅申请发行再融资债券缓释政府债务12.49亿元。二是2023我县共发行政府债券10.73亿元（一般债券1.96亿元，专项债券8.77亿元）。政府债务余额为72.3</w:t>
      </w:r>
      <w:r>
        <w:rPr>
          <w:rFonts w:hint="eastAsia" w:ascii="仿宋" w:hAnsi="仿宋" w:eastAsia="仿宋" w:cs="仿宋"/>
          <w:sz w:val="32"/>
          <w:szCs w:val="32"/>
          <w:lang w:val="en-US" w:eastAsia="zh-CN"/>
        </w:rPr>
        <w:t>8</w:t>
      </w:r>
      <w:r>
        <w:rPr>
          <w:rFonts w:hint="eastAsia" w:ascii="仿宋" w:hAnsi="仿宋" w:eastAsia="仿宋" w:cs="仿宋"/>
          <w:sz w:val="32"/>
          <w:szCs w:val="32"/>
        </w:rPr>
        <w:t>亿元，其中一般债务36.49亿元，专项债务35.89亿元。</w:t>
      </w:r>
    </w:p>
    <w:p w14:paraId="73059FD3">
      <w:pPr>
        <w:shd w:val="clear"/>
        <w:spacing w:line="600" w:lineRule="exact"/>
        <w:ind w:firstLine="640" w:firstLineChars="200"/>
        <w:rPr>
          <w:rFonts w:ascii="黑体" w:hAnsi="黑体" w:eastAsia="黑体"/>
          <w:sz w:val="32"/>
          <w:szCs w:val="32"/>
        </w:rPr>
      </w:pPr>
      <w:r>
        <w:rPr>
          <w:rFonts w:hint="eastAsia" w:ascii="黑体" w:hAnsi="黑体" w:eastAsia="黑体"/>
          <w:sz w:val="32"/>
          <w:szCs w:val="32"/>
        </w:rPr>
        <w:t>六、存在</w:t>
      </w:r>
      <w:r>
        <w:rPr>
          <w:rFonts w:hint="eastAsia" w:ascii="黑体" w:hAnsi="黑体" w:eastAsia="黑体"/>
          <w:sz w:val="32"/>
          <w:szCs w:val="32"/>
          <w:lang w:eastAsia="zh-CN"/>
        </w:rPr>
        <w:t>的主要</w:t>
      </w:r>
      <w:r>
        <w:rPr>
          <w:rFonts w:hint="eastAsia" w:ascii="黑体" w:hAnsi="黑体" w:eastAsia="黑体"/>
          <w:sz w:val="32"/>
          <w:szCs w:val="32"/>
        </w:rPr>
        <w:t>问题</w:t>
      </w:r>
    </w:p>
    <w:p w14:paraId="3D209127">
      <w:pPr>
        <w:pStyle w:val="9"/>
        <w:shd w:val="clear"/>
        <w:spacing w:before="0" w:beforeAutospacing="0" w:after="0" w:afterAutospacing="0" w:line="580" w:lineRule="atLeast"/>
        <w:ind w:firstLine="640"/>
        <w:jc w:val="both"/>
        <w:rPr>
          <w:rFonts w:hint="eastAsia" w:ascii="仿宋_GB2312" w:hAnsi="Times New Roman" w:eastAsia="仿宋_GB2312" w:cs="Times New Roman"/>
          <w:color w:val="333333"/>
          <w:sz w:val="32"/>
          <w:szCs w:val="32"/>
        </w:rPr>
      </w:pPr>
      <w:r>
        <w:rPr>
          <w:rFonts w:hint="eastAsia" w:ascii="仿宋_GB2312" w:hAnsi="Times New Roman" w:eastAsia="仿宋_GB2312" w:cs="Times New Roman"/>
          <w:color w:val="333333"/>
          <w:sz w:val="32"/>
          <w:szCs w:val="32"/>
        </w:rPr>
        <w:t>1.</w:t>
      </w:r>
      <w:r>
        <w:rPr>
          <w:rFonts w:ascii="仿宋_GB2312" w:hAnsi="Times New Roman" w:eastAsia="仿宋_GB2312" w:cs="Times New Roman"/>
          <w:color w:val="333333"/>
          <w:sz w:val="32"/>
          <w:szCs w:val="32"/>
        </w:rPr>
        <w:t>项目支出预算编制的基础工作</w:t>
      </w:r>
      <w:r>
        <w:rPr>
          <w:rFonts w:hint="eastAsia" w:ascii="仿宋_GB2312" w:hAnsi="Times New Roman" w:eastAsia="仿宋_GB2312" w:cs="Times New Roman"/>
          <w:color w:val="333333"/>
          <w:sz w:val="32"/>
          <w:szCs w:val="32"/>
        </w:rPr>
        <w:t>还需进一步加强</w:t>
      </w:r>
      <w:r>
        <w:rPr>
          <w:rFonts w:ascii="仿宋_GB2312" w:hAnsi="Times New Roman" w:eastAsia="仿宋_GB2312" w:cs="Times New Roman"/>
          <w:color w:val="333333"/>
          <w:sz w:val="32"/>
          <w:szCs w:val="32"/>
        </w:rPr>
        <w:t>。</w:t>
      </w:r>
    </w:p>
    <w:p w14:paraId="34E4E591">
      <w:pPr>
        <w:pStyle w:val="9"/>
        <w:shd w:val="clear"/>
        <w:spacing w:before="0" w:beforeAutospacing="0" w:after="0" w:afterAutospacing="0" w:line="580" w:lineRule="atLeast"/>
        <w:ind w:firstLine="640"/>
        <w:jc w:val="both"/>
        <w:rPr>
          <w:rFonts w:hint="eastAsia" w:ascii="黑体" w:hAnsi="黑体" w:eastAsia="黑体" w:cs="Times New Roman"/>
          <w:color w:val="333333"/>
          <w:sz w:val="32"/>
          <w:szCs w:val="32"/>
        </w:rPr>
      </w:pPr>
      <w:r>
        <w:rPr>
          <w:rFonts w:hint="eastAsia" w:ascii="仿宋_GB2312" w:hAnsi="仿宋_GB2312" w:eastAsia="仿宋_GB2312" w:cs="仿宋_GB2312"/>
          <w:bCs/>
          <w:sz w:val="32"/>
          <w:szCs w:val="32"/>
        </w:rPr>
        <w:t>2.资金使用效益有待进一步提高。</w:t>
      </w:r>
    </w:p>
    <w:p w14:paraId="33AD58E8">
      <w:pPr>
        <w:pStyle w:val="9"/>
        <w:shd w:val="clear"/>
        <w:spacing w:before="0" w:beforeAutospacing="0" w:after="0" w:afterAutospacing="0" w:line="58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333333"/>
          <w:sz w:val="32"/>
          <w:szCs w:val="32"/>
        </w:rPr>
        <w:t>七、改进措施和有关建议</w:t>
      </w:r>
    </w:p>
    <w:p w14:paraId="2FD940B3">
      <w:pPr>
        <w:pStyle w:val="9"/>
        <w:shd w:val="clear"/>
        <w:spacing w:before="0" w:beforeAutospacing="0" w:after="0" w:afterAutospacing="0" w:line="580" w:lineRule="atLeast"/>
        <w:ind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针对以上存在的问题，应把握以下重点：</w:t>
      </w:r>
    </w:p>
    <w:p w14:paraId="11A30C6C">
      <w:pPr>
        <w:pStyle w:val="9"/>
        <w:shd w:val="clear"/>
        <w:spacing w:before="0" w:beforeAutospacing="0" w:after="0" w:afterAutospacing="0" w:line="580" w:lineRule="atLeast"/>
        <w:ind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1.提高对预算编制重要性的认识，严格按照财政部门要求编制部门预算，认真做好编制前的准备工作，合理确定收入来源，预算收支数字必须依据充分确定的资料，努力提高预算的透明度。</w:t>
      </w:r>
    </w:p>
    <w:p w14:paraId="311F5EFE">
      <w:pPr>
        <w:pStyle w:val="9"/>
        <w:shd w:val="clear"/>
        <w:spacing w:before="0" w:beforeAutospacing="0" w:after="0" w:afterAutospacing="0" w:line="580" w:lineRule="atLeast"/>
        <w:ind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加强对部门预算执行情况的监督，既要加强对基本支出资金的合法性、合规性、效益性进行跟踪监督，又要监督项目资金是否使用于相关的项目、资金使用效益如何、效果怎样，确保有限的财政资金真正用在刀刃上，切实提高资金使用效益。</w:t>
      </w:r>
    </w:p>
    <w:p w14:paraId="19A140B8">
      <w:pPr>
        <w:pStyle w:val="8"/>
        <w:shd w:val="clear"/>
        <w:ind w:firstLine="632" w:firstLineChars="200"/>
        <w:rPr>
          <w:rFonts w:hint="eastAsia" w:eastAsia="仿宋_GB2312"/>
          <w:lang w:eastAsia="zh-CN"/>
        </w:rPr>
      </w:pPr>
      <w:r>
        <w:rPr>
          <w:rFonts w:hint="eastAsia" w:ascii="黑体" w:hAnsi="黑体" w:eastAsia="黑体" w:cs="黑体"/>
          <w:spacing w:val="-2"/>
          <w:sz w:val="32"/>
          <w:szCs w:val="32"/>
          <w:lang w:eastAsia="zh-CN"/>
        </w:rPr>
        <w:t>十、部门整体地出绩效自评结果拟应用和公开情况</w:t>
      </w:r>
    </w:p>
    <w:p w14:paraId="32736A46">
      <w:pPr>
        <w:keepNext w:val="0"/>
        <w:keepLines w:val="0"/>
        <w:pageBreakBefore w:val="0"/>
        <w:widowControl w:val="0"/>
        <w:shd w:val="clear"/>
        <w:kinsoku/>
        <w:wordWrap/>
        <w:overflowPunct/>
        <w:topLinePunct w:val="0"/>
        <w:autoSpaceDE/>
        <w:autoSpaceDN/>
        <w:bidi w:val="0"/>
        <w:adjustRightInd/>
        <w:spacing w:line="60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绩效自评结果将作为下年部门预算安排的重要依据，与预算调整和项目安排挂钩。拟于</w:t>
      </w:r>
      <w:r>
        <w:rPr>
          <w:rFonts w:hint="eastAsia" w:ascii="仿宋" w:hAnsi="仿宋" w:eastAsia="仿宋" w:cs="仿宋"/>
          <w:kern w:val="2"/>
          <w:sz w:val="32"/>
          <w:szCs w:val="32"/>
          <w:lang w:val="en-US" w:eastAsia="zh-CN" w:bidi="ar-SA"/>
        </w:rPr>
        <w:t>7</w:t>
      </w:r>
      <w:r>
        <w:rPr>
          <w:rFonts w:hint="default" w:ascii="仿宋" w:hAnsi="仿宋" w:eastAsia="仿宋" w:cs="仿宋"/>
          <w:kern w:val="2"/>
          <w:sz w:val="32"/>
          <w:szCs w:val="32"/>
          <w:lang w:val="en-US" w:eastAsia="zh-CN" w:bidi="ar-SA"/>
        </w:rPr>
        <w:t>月</w:t>
      </w: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日在</w:t>
      </w:r>
      <w:r>
        <w:rPr>
          <w:rFonts w:hint="eastAsia" w:ascii="仿宋" w:hAnsi="仿宋" w:eastAsia="仿宋" w:cs="仿宋"/>
          <w:kern w:val="2"/>
          <w:sz w:val="32"/>
          <w:szCs w:val="32"/>
          <w:lang w:val="en-US" w:eastAsia="zh-CN" w:bidi="ar-SA"/>
        </w:rPr>
        <w:t>溆浦县财政局</w:t>
      </w:r>
      <w:r>
        <w:rPr>
          <w:rFonts w:hint="default" w:ascii="仿宋" w:hAnsi="仿宋" w:eastAsia="仿宋" w:cs="仿宋"/>
          <w:kern w:val="2"/>
          <w:sz w:val="32"/>
          <w:szCs w:val="32"/>
          <w:lang w:val="en-US" w:eastAsia="zh-CN" w:bidi="ar-SA"/>
        </w:rPr>
        <w:t>官网上公开。</w:t>
      </w:r>
    </w:p>
    <w:p w14:paraId="5410D45E">
      <w:pPr>
        <w:widowControl/>
        <w:shd w:val="clear" w:color="auto"/>
        <w:spacing w:line="600" w:lineRule="exact"/>
        <w:ind w:firstLine="640" w:firstLineChars="200"/>
        <w:jc w:val="left"/>
        <w:rPr>
          <w:rFonts w:hint="eastAsia" w:ascii="仿宋_GB2312" w:hAnsi="仿宋_GB2312" w:eastAsia="仿宋_GB2312" w:cs="仿宋_GB2312"/>
          <w:bCs/>
          <w:sz w:val="32"/>
          <w:szCs w:val="32"/>
        </w:rPr>
      </w:pPr>
    </w:p>
    <w:p w14:paraId="590D7E06">
      <w:pPr>
        <w:widowControl/>
        <w:shd w:val="clear" w:color="auto"/>
        <w:spacing w:line="600" w:lineRule="exact"/>
        <w:ind w:firstLine="640" w:firstLineChars="200"/>
        <w:jc w:val="left"/>
        <w:rPr>
          <w:rFonts w:hint="eastAsia" w:ascii="仿宋_GB2312" w:hAnsi="仿宋_GB2312" w:eastAsia="仿宋_GB2312" w:cs="仿宋_GB2312"/>
          <w:bCs/>
          <w:sz w:val="32"/>
          <w:szCs w:val="32"/>
        </w:rPr>
      </w:pPr>
    </w:p>
    <w:p w14:paraId="48FD929A">
      <w:pPr>
        <w:widowControl/>
        <w:shd w:val="clear" w:color="auto"/>
        <w:spacing w:line="600" w:lineRule="exact"/>
        <w:ind w:firstLine="640" w:firstLineChars="200"/>
        <w:jc w:val="left"/>
        <w:rPr>
          <w:rFonts w:hint="eastAsia" w:ascii="仿宋_GB2312" w:hAnsi="仿宋_GB2312" w:eastAsia="仿宋_GB2312" w:cs="仿宋_GB2312"/>
          <w:bCs/>
          <w:sz w:val="32"/>
          <w:szCs w:val="32"/>
        </w:rPr>
      </w:pPr>
    </w:p>
    <w:p w14:paraId="5C571963">
      <w:pPr>
        <w:widowControl/>
        <w:shd w:val="clear" w:color="auto"/>
        <w:spacing w:line="600" w:lineRule="exact"/>
        <w:ind w:firstLine="640" w:firstLineChars="200"/>
        <w:jc w:val="left"/>
        <w:rPr>
          <w:rFonts w:hint="eastAsia" w:ascii="仿宋_GB2312" w:hAnsi="仿宋_GB2312" w:eastAsia="仿宋_GB2312" w:cs="仿宋_GB2312"/>
          <w:bCs/>
          <w:sz w:val="32"/>
          <w:szCs w:val="32"/>
        </w:rPr>
      </w:pPr>
    </w:p>
    <w:p w14:paraId="08DF6A4F">
      <w:pPr>
        <w:widowControl/>
        <w:shd w:val="clear" w:color="auto"/>
        <w:spacing w:line="600" w:lineRule="exact"/>
        <w:ind w:firstLine="640" w:firstLineChars="200"/>
        <w:jc w:val="left"/>
        <w:rPr>
          <w:rFonts w:hint="eastAsia" w:ascii="仿宋_GB2312" w:hAnsi="仿宋_GB2312" w:eastAsia="仿宋_GB2312" w:cs="仿宋_GB2312"/>
          <w:bCs/>
          <w:sz w:val="32"/>
          <w:szCs w:val="32"/>
        </w:rPr>
      </w:pPr>
    </w:p>
    <w:p w14:paraId="77AD5470">
      <w:pPr>
        <w:pStyle w:val="15"/>
        <w:jc w:val="center"/>
        <w:rPr>
          <w:sz w:val="72"/>
          <w:szCs w:val="72"/>
        </w:rPr>
      </w:pPr>
    </w:p>
    <w:p w14:paraId="61458783">
      <w:pPr>
        <w:pStyle w:val="15"/>
        <w:jc w:val="center"/>
        <w:rPr>
          <w:sz w:val="72"/>
          <w:szCs w:val="72"/>
        </w:rPr>
      </w:pPr>
    </w:p>
    <w:p w14:paraId="43CF57A2">
      <w:pPr>
        <w:pStyle w:val="15"/>
        <w:jc w:val="center"/>
        <w:rPr>
          <w:sz w:val="72"/>
          <w:szCs w:val="72"/>
        </w:rPr>
      </w:pPr>
    </w:p>
    <w:p w14:paraId="1850B55B">
      <w:pPr>
        <w:pStyle w:val="15"/>
        <w:jc w:val="both"/>
        <w:rPr>
          <w:sz w:val="72"/>
          <w:szCs w:val="72"/>
        </w:rPr>
      </w:pPr>
    </w:p>
    <w:p w14:paraId="62B527A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61CC5"/>
    <w:multiLevelType w:val="singleLevel"/>
    <w:tmpl w:val="C3B61CC5"/>
    <w:lvl w:ilvl="0" w:tentative="0">
      <w:start w:val="1"/>
      <w:numFmt w:val="decimal"/>
      <w:suff w:val="nothing"/>
      <w:lvlText w:val="（%1）"/>
      <w:lvlJc w:val="left"/>
    </w:lvl>
  </w:abstractNum>
  <w:abstractNum w:abstractNumId="1">
    <w:nsid w:val="EA4BE8D6"/>
    <w:multiLevelType w:val="singleLevel"/>
    <w:tmpl w:val="EA4BE8D6"/>
    <w:lvl w:ilvl="0" w:tentative="0">
      <w:start w:val="3"/>
      <w:numFmt w:val="chineseCounting"/>
      <w:suff w:val="nothing"/>
      <w:lvlText w:val="%1、"/>
      <w:lvlJc w:val="left"/>
      <w:rPr>
        <w:rFonts w:hint="eastAsia"/>
      </w:rPr>
    </w:lvl>
  </w:abstractNum>
  <w:abstractNum w:abstractNumId="2">
    <w:nsid w:val="F41AE908"/>
    <w:multiLevelType w:val="singleLevel"/>
    <w:tmpl w:val="F41AE908"/>
    <w:lvl w:ilvl="0" w:tentative="0">
      <w:start w:val="3"/>
      <w:numFmt w:val="chineseCounting"/>
      <w:suff w:val="nothing"/>
      <w:lvlText w:val="%1、"/>
      <w:lvlJc w:val="left"/>
      <w:rPr>
        <w:rFonts w:hint="eastAsia"/>
      </w:rPr>
    </w:lvl>
  </w:abstractNum>
  <w:abstractNum w:abstractNumId="3">
    <w:nsid w:val="1F267A98"/>
    <w:multiLevelType w:val="singleLevel"/>
    <w:tmpl w:val="1F267A98"/>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39616A"/>
    <w:rsid w:val="054A7D3F"/>
    <w:rsid w:val="055B6F92"/>
    <w:rsid w:val="18DA7A0E"/>
    <w:rsid w:val="1FA11363"/>
    <w:rsid w:val="325F5E35"/>
    <w:rsid w:val="35305C63"/>
    <w:rsid w:val="5777D4F5"/>
    <w:rsid w:val="58214D8E"/>
    <w:rsid w:val="5FC6BB1E"/>
    <w:rsid w:val="5FF720F1"/>
    <w:rsid w:val="64AA0A5F"/>
    <w:rsid w:val="6F4B625F"/>
    <w:rsid w:val="737D59BA"/>
    <w:rsid w:val="77C37683"/>
    <w:rsid w:val="79071AFB"/>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590" w:lineRule="exact"/>
      <w:ind w:firstLine="420" w:firstLineChars="200"/>
      <w:jc w:val="left"/>
    </w:pPr>
    <w:rPr>
      <w:rFonts w:ascii="仿宋_GB2312" w:hAnsi="仿宋_GB2312"/>
      <w:sz w:val="32"/>
      <w:szCs w:val="32"/>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1"/>
    <w:semiHidden/>
    <w:qFormat/>
    <w:uiPriority w:val="0"/>
    <w:pPr>
      <w:snapToGrid w:val="0"/>
      <w:jc w:val="left"/>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10827</Words>
  <Characters>14723</Characters>
  <Lines>63</Lines>
  <Paragraphs>18</Paragraphs>
  <TotalTime>3</TotalTime>
  <ScaleCrop>false</ScaleCrop>
  <LinksUpToDate>false</LinksUpToDate>
  <CharactersWithSpaces>14921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2024-09-28T05:52:00Z</cp:lastPrinted>
  <dcterms:modified xsi:type="dcterms:W3CDTF">2024-10-08T01:05:43Z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C543027FE47C47C483320759EC0E3F8C_12</vt:lpwstr>
  </property>
</Properties>
</file>