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溆浦县应急管理局决算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第一部分溆浦县应急管理局概况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溆浦县应急管理局概况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贯彻落实党中央关于应急工作的方针政策和决策部署，全面落实省委、市委、县委关于应急工作的部署要求，在履行职责过程中坚持和加强党对应急工作的集中统一领导。主要职责是：</w:t>
      </w:r>
    </w:p>
    <w:p>
      <w:pPr>
        <w:autoSpaceDE w:val="0"/>
        <w:spacing w:line="610" w:lineRule="exact"/>
        <w:ind w:firstLine="640" w:firstLineChars="200"/>
        <w:rPr>
          <w:rFonts w:ascii="宋体" w:hAnsi="宋体" w:eastAsia="宋体" w:cs="Times New Roman"/>
          <w:color w:val="000000"/>
          <w:sz w:val="32"/>
          <w:szCs w:val="32"/>
        </w:rPr>
      </w:pPr>
      <w:r>
        <w:rPr>
          <w:rFonts w:hint="eastAsia" w:ascii="宋体" w:hAnsi="宋体" w:eastAsia="宋体" w:cs="黑体"/>
          <w:color w:val="000000"/>
          <w:sz w:val="32"/>
          <w:szCs w:val="32"/>
        </w:rPr>
        <w:t>（一）负责应急管理工作，指导全县各乡镇、各部门应对安全生产类、自然灾害类等突发事件和综合防灾减灾救灾工作。负责安全生产综合监督管理和</w:t>
      </w:r>
      <w:r>
        <w:rPr>
          <w:rFonts w:ascii="宋体" w:hAnsi="宋体" w:eastAsia="宋体" w:cs="Times New Roman"/>
          <w:color w:val="000000"/>
          <w:sz w:val="32"/>
          <w:szCs w:val="32"/>
        </w:rPr>
        <w:t>矿山、危险化学品、烟花爆竹行业安全生产监督管理工作。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（二）贯彻实施相关法律法规、部门规章、规程和标准，组织编制全县应急体系建设、安全生产和综合防灾减灾规划，组织起草相关规范性文件，组织拟订相关政策并监督实施。</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三）指导应急预案体系建设，建立完善事故灾难和自然灾害分级应对制度，组织编制溆浦县总体应急预案和安全生产类、自然灾害类专项预案，综合协调应急预案衔接工作，组织开展预案演练，推动应急避难设施建设。</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（四）牵头推进全县统一的应急管理信息系统建设，负责信息传输渠道的规划和布局，建立监测预警和灾情报告制度，健全自然灾害信息资源获取和共享机制，依法统一发布灾情。</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（五）组织指导协调安全生产类、自然灾害类等突发事件应急救援，承担县应对灾害指挥部工作，综合研判突发事件发展态势并提出应对建议，协助县委、县政府指定的负责同志组织灾害应急处置工作。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（六）统一协调指挥各类应急专业队伍，建立应急协调联动机制，推进指挥平台对接，负责做好解放军和武警部队参与应急救援相关衔接工作。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七）统筹全县应急救援力量建设，负责消防、森林火灾扑救、抗洪抢险、地震和地质灾害救援、生产安全事故救援等专业应急救援力量建设，依权限做好驻溆国家综合性应急救援队伍建设的相关工作，指导地方及社会应急救援力量建设。</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（八）负责全县消防管理有关工作，指导、监督全县消防管理工作，指导全县火灾预防、火灾扑救等工作。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（九）指导协调全县森林火灾、水旱灾害、地震和地质灾害等防治工作，负责自然灾害综合监测预警工作，指导开展自然灾害综合风险评估工作。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（十）组织协调灾害救助工作，组织指导灾情核查、损失评估、救灾捐赠工作，按权限管理、分配中央及省、市下达和县级救灾款物并监督使用。</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（十一）依法行使安全生产综合监督管理职权，指导协调、监督检查县直有关部门和各乡镇人民政府安全生产工作，组织开展安全生产巡查、考核工作。承担县安全生产委员会办公室日常工作。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二）按照分级、属地原则，依法监督检查矿山、危险化学品、烟花爆竹等行业生产经营单位贯彻执行安全生产法律法规情况及其安全生产条件和有关设备（特种设备除外）、材料、劳动防护用品的安全生产管理工作。负责监督管理</w:t>
      </w:r>
      <w:r>
        <w:rPr>
          <w:rFonts w:ascii="宋体" w:hAnsi="宋体" w:eastAsia="宋体" w:cs="Times New Roman"/>
          <w:color w:val="000000"/>
          <w:sz w:val="32"/>
          <w:szCs w:val="32"/>
        </w:rPr>
        <w:t>矿山、危险化学品、烟花爆竹</w:t>
      </w:r>
      <w:r>
        <w:rPr>
          <w:rFonts w:hint="eastAsia" w:ascii="宋体" w:hAnsi="宋体" w:eastAsia="宋体" w:cs="黑体"/>
          <w:color w:val="000000"/>
          <w:sz w:val="32"/>
          <w:szCs w:val="32"/>
        </w:rPr>
        <w:t>行业企业安全生产工作。依法组织并指导监督实施安全生产准入制度。负责危险化学品安全监督管理综合工作和烟花爆竹安全生产监督管理工作。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（十三）负责全县煤矿安全生产地方监管和煤矿安全基础管理监督指导工作。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（十四）依法组织指导生产安全事故调查处理，监督事故查处和责任追究落实情况。组织开展自然灾害类突发事件的调查评估工作。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（十五）开展应急管理对外交流与合作，组织参与安全生产类、自然灾害类等突发事件的对外救援工作。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（十六）制定全县应急物资储备和应急救援装备规划并组织实施，会同县发展和改革局等部门建立健全应急物资信息平台和调拨制度，在救灾时统一调度。</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（十七）负责应急管理、安全生产、消防宣传教育和培训工作，组织指导应急管理、安全生产的科学技术研究、推广应用和信息化建设工作。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（十八）承担县防汛抗旱指挥部日常工作，协调县防汛抗旱指挥部成员单位的相关工作，组织执行国家防汛抗旱总指挥部、相关流域防汛抗旱指挥机构和省、市、县防汛抗旱指挥部的指示、命令。</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十九）承担组织指导特种作业人员（特种设备作业人员除外）和危险物品的生产、经营、储存单位以及矿山、金属冶炼等单位主要负责人、安全生产管理人员的安全资格考核工作，监督检查指导工矿商贸生产经营单位安全生产教育培训工作。监督管理安全生产社会中介机构和安全评价工作。</w:t>
      </w:r>
    </w:p>
    <w:p>
      <w:pPr>
        <w:autoSpaceDE w:val="0"/>
        <w:spacing w:line="610" w:lineRule="exact"/>
        <w:ind w:firstLine="640" w:firstLineChars="200"/>
        <w:rPr>
          <w:rFonts w:ascii="宋体" w:hAnsi="宋体" w:eastAsia="宋体" w:cs="黑体"/>
          <w:color w:val="000000"/>
          <w:sz w:val="32"/>
          <w:szCs w:val="32"/>
        </w:rPr>
      </w:pPr>
      <w:r>
        <w:rPr>
          <w:rFonts w:hint="eastAsia" w:ascii="宋体" w:hAnsi="宋体" w:eastAsia="宋体" w:cs="黑体"/>
          <w:color w:val="000000"/>
          <w:sz w:val="32"/>
          <w:szCs w:val="32"/>
        </w:rPr>
        <w:t>（二十）完成县委、县政府交办的其他任务。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520" w:lineRule="exact"/>
        <w:ind w:firstLine="643" w:firstLineChars="200"/>
        <w:rPr>
          <w:rFonts w:cs="宋体" w:asciiTheme="minorEastAsia" w:hAnsiTheme="minorEastAsia"/>
          <w:kern w:val="0"/>
          <w:sz w:val="32"/>
          <w:szCs w:val="32"/>
        </w:rPr>
      </w:pPr>
      <w:r>
        <w:rPr>
          <w:rFonts w:hint="eastAsia" w:asciiTheme="majorEastAsia" w:hAnsiTheme="majorEastAsia" w:eastAsiaTheme="majorEastAsia"/>
          <w:b/>
          <w:bCs/>
          <w:kern w:val="0"/>
          <w:sz w:val="32"/>
          <w:szCs w:val="32"/>
        </w:rPr>
        <w:t>（一）内设机构设置。</w:t>
      </w:r>
      <w:r>
        <w:rPr>
          <w:rFonts w:hint="eastAsia" w:cs="宋体" w:asciiTheme="minorEastAsia" w:hAnsiTheme="minorEastAsia"/>
          <w:kern w:val="0"/>
          <w:sz w:val="32"/>
          <w:szCs w:val="32"/>
        </w:rPr>
        <w:t>溆浦县应急管理局为正科级财政全额拨款行政单位，</w:t>
      </w:r>
      <w:r>
        <w:rPr>
          <w:rFonts w:hint="eastAsia" w:asciiTheme="majorEastAsia" w:hAnsiTheme="majorEastAsia" w:eastAsiaTheme="majorEastAsia"/>
          <w:bCs/>
          <w:kern w:val="0"/>
          <w:sz w:val="32"/>
          <w:szCs w:val="32"/>
        </w:rPr>
        <w:t>内设机构（15个）包括：</w:t>
      </w:r>
      <w:r>
        <w:rPr>
          <w:rFonts w:hint="eastAsia" w:cs="黑体" w:asciiTheme="majorEastAsia" w:hAnsiTheme="majorEastAsia" w:eastAsiaTheme="majorEastAsia"/>
          <w:sz w:val="32"/>
          <w:szCs w:val="32"/>
        </w:rPr>
        <w:t>办公室、应急指挥中心（科技和信息化股）、人事股（党建办公室）、教育训练和培训监督考核股、风险监测和综合减灾股、救援协调和预案管理股、火灾防治管理股、防汛抗旱股、地震和地质灾害救援股、矿山和工贸行业安全监督管理股、危险化学品和烟花爆竹安全监督管理股、安全生产综合协调股、救灾和物资保障股、政策法规和行政审批股、调查评估和统计股。</w:t>
      </w:r>
      <w:r>
        <w:rPr>
          <w:rFonts w:hint="eastAsia" w:asciiTheme="majorEastAsia" w:hAnsiTheme="majorEastAsia" w:eastAsiaTheme="majorEastAsia"/>
          <w:bCs/>
          <w:kern w:val="0"/>
          <w:sz w:val="32"/>
          <w:szCs w:val="32"/>
        </w:rPr>
        <w:t>核定编制66名，实有人64人，其中：行政人员19人、事业人员45人、离退休人员15人</w:t>
      </w:r>
      <w:r>
        <w:rPr>
          <w:rFonts w:hint="eastAsia" w:cs="宋体" w:asciiTheme="majorEastAsia" w:hAnsiTheme="majorEastAsia" w:eastAsiaTheme="majorEastAsia"/>
          <w:kern w:val="0"/>
          <w:sz w:val="32"/>
          <w:szCs w:val="32"/>
        </w:rPr>
        <w:t>。</w:t>
      </w:r>
    </w:p>
    <w:p>
      <w:pPr>
        <w:widowControl/>
        <w:spacing w:line="600" w:lineRule="exact"/>
        <w:ind w:firstLine="482" w:firstLineChars="150"/>
        <w:rPr>
          <w:rFonts w:asciiTheme="minorEastAsia" w:hAnsiTheme="minorEastAsia"/>
          <w:bCs/>
          <w:kern w:val="0"/>
          <w:sz w:val="32"/>
          <w:szCs w:val="32"/>
        </w:rPr>
      </w:pPr>
      <w:r>
        <w:rPr>
          <w:rFonts w:hint="eastAsia" w:asciiTheme="minorEastAsia" w:hAnsiTheme="minorEastAsia"/>
          <w:b/>
          <w:bCs/>
          <w:kern w:val="0"/>
          <w:sz w:val="32"/>
          <w:szCs w:val="32"/>
        </w:rPr>
        <w:t>（二）决算单位构成。</w:t>
      </w:r>
      <w:r>
        <w:rPr>
          <w:rFonts w:hint="eastAsia" w:asciiTheme="minorEastAsia" w:hAnsiTheme="minorEastAsia"/>
          <w:bCs/>
          <w:kern w:val="0"/>
          <w:sz w:val="32"/>
          <w:szCs w:val="32"/>
        </w:rPr>
        <w:t>溆浦县应急管理局</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21年部门决算汇总公开单位构成包括：溆浦县应急管理局本级。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78"/>
        <w:gridCol w:w="821"/>
        <w:gridCol w:w="1372"/>
        <w:gridCol w:w="4403"/>
        <w:gridCol w:w="821"/>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2,789.50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tbl>
      <w:tblPr>
        <w:tblStyle w:val="8"/>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4637"/>
        <w:gridCol w:w="1432"/>
        <w:gridCol w:w="1432"/>
        <w:gridCol w:w="1041"/>
        <w:gridCol w:w="1041"/>
        <w:gridCol w:w="1041"/>
        <w:gridCol w:w="1041"/>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34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2,788.30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2,728.30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应急救援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煤矿安全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其他煤矿安全支出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tbl>
      <w:tblPr>
        <w:tblStyle w:val="8"/>
        <w:tblW w:w="13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3956"/>
        <w:gridCol w:w="1800"/>
        <w:gridCol w:w="1800"/>
        <w:gridCol w:w="1800"/>
        <w:gridCol w:w="1050"/>
        <w:gridCol w:w="103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2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1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2,788.30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1,920.42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867.88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应急救援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煤矿安全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其他煤矿安全支出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tbl>
      <w:tblPr>
        <w:tblStyle w:val="8"/>
        <w:tblW w:w="14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7"/>
        <w:gridCol w:w="604"/>
        <w:gridCol w:w="1396"/>
        <w:gridCol w:w="3663"/>
        <w:gridCol w:w="604"/>
        <w:gridCol w:w="1142"/>
        <w:gridCol w:w="1396"/>
        <w:gridCol w:w="119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30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32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1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3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2,729.50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2,729.50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2,729.48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tbl>
      <w:tblPr>
        <w:tblStyle w:val="8"/>
        <w:tblW w:w="11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4680"/>
        <w:gridCol w:w="1990"/>
        <w:gridCol w:w="199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4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8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2,728.28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1,920.40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应急救援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煤矿安全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其他煤矿安全支出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tbl>
      <w:tblPr>
        <w:tblStyle w:val="8"/>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2876"/>
        <w:gridCol w:w="1244"/>
        <w:gridCol w:w="1020"/>
        <w:gridCol w:w="1667"/>
        <w:gridCol w:w="813"/>
        <w:gridCol w:w="1000"/>
        <w:gridCol w:w="3710"/>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32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3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8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12"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12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264"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4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0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6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0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5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764.66</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799.95</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251.71</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36.18</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215.57</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61.95</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100.34</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20.52</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29.89</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27.76</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26.15</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122.80</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75.06</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355.79</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206.19</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23.46</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29.28</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30.43</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56.06</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248.59</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2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6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113.20</w:t>
            </w:r>
          </w:p>
        </w:tc>
        <w:tc>
          <w:tcPr>
            <w:tcW w:w="10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7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1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2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1,120.45</w:t>
            </w:r>
          </w:p>
        </w:tc>
        <w:tc>
          <w:tcPr>
            <w:tcW w:w="821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0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32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center"/>
        <w:rPr>
          <w:rFonts w:ascii="黑体" w:hAnsi="黑体" w:eastAsia="黑体"/>
          <w:sz w:val="28"/>
          <w:szCs w:val="28"/>
        </w:rPr>
      </w:pPr>
    </w:p>
    <w:p>
      <w:pPr>
        <w:jc w:val="center"/>
        <w:rPr>
          <w:rFonts w:ascii="黑体" w:hAnsi="黑体" w:eastAsia="黑体"/>
          <w:sz w:val="28"/>
          <w:szCs w:val="28"/>
        </w:rPr>
      </w:pPr>
    </w:p>
    <w:tbl>
      <w:tblPr>
        <w:tblStyle w:val="8"/>
        <w:tblW w:w="13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8"/>
        <w:gridCol w:w="1208"/>
        <w:gridCol w:w="1038"/>
        <w:gridCol w:w="1038"/>
        <w:gridCol w:w="1038"/>
        <w:gridCol w:w="1120"/>
        <w:gridCol w:w="1120"/>
        <w:gridCol w:w="1120"/>
        <w:gridCol w:w="1038"/>
        <w:gridCol w:w="1038"/>
        <w:gridCol w:w="1038"/>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44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7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720"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6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6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4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tbl>
      <w:tblPr>
        <w:tblStyle w:val="8"/>
        <w:tblW w:w="15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4616"/>
        <w:gridCol w:w="1389"/>
        <w:gridCol w:w="1536"/>
        <w:gridCol w:w="1536"/>
        <w:gridCol w:w="1536"/>
        <w:gridCol w:w="1389"/>
        <w:gridCol w:w="2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4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tbl>
      <w:tblPr>
        <w:tblStyle w:val="8"/>
        <w:tblW w:w="12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
        <w:gridCol w:w="479"/>
        <w:gridCol w:w="479"/>
        <w:gridCol w:w="2363"/>
        <w:gridCol w:w="2583"/>
        <w:gridCol w:w="2583"/>
        <w:gridCol w:w="3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82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部门：溆浦县应急管理局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8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9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本单位无国有资本经营方面开支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2021年度收、支总计2789.5万元。与上年相比，增加685.27万元，增长24.57%，主要是因为尾矿库环境污染诊治及应急物资储备增加。</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2021年度收入合计2788.3万元，其中：财政拨款收入2728.30万元，占97.85%；上级补助收入0万元，占0%；事业收入0万元，占0%；经营收入0万元，占0%；附属单位上缴收入0万元，占0%；其他收入60.01万元，占2.15%。</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2021年度支出合计2788.3万元，其中：基本支出1920.42万元，占68.88%；项目支出867.88万元，占31.12%；上缴上级支出0万元，占0%；经营支出0万元，占0%；对附属单位补助支出0万元，占0%。</w:t>
      </w:r>
    </w:p>
    <w:p>
      <w:pPr>
        <w:pStyle w:val="12"/>
        <w:rPr>
          <w:rFonts w:hAnsi="黑体"/>
          <w:b/>
          <w:sz w:val="32"/>
          <w:szCs w:val="32"/>
        </w:rPr>
      </w:pPr>
      <w:r>
        <w:rPr>
          <w:rFonts w:hint="eastAsia" w:hAnsi="黑体"/>
          <w:b/>
          <w:sz w:val="32"/>
          <w:szCs w:val="32"/>
        </w:rPr>
        <w:t>四、财政拨款收入支出决算总体情况说明</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2021年度财政拨款收、支总计2729.5万元，与上年相比，增加625.27万元,增长22.91%，主要是因为尾矿库环境污染诊治及应急物资储备增加。</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2021年度财政拨款支出2728.28万元，占本年支出合计的99.96%，与上年相比，财政拨款支出增加624.05万元，增长22.87%，主要是因为尾矿库环境污染诊治及应急物资储备增加。</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2021年度财政拨款支出2728.28万元，主要用于以下方面：</w:t>
      </w:r>
      <w:r>
        <w:rPr>
          <w:rFonts w:hint="eastAsia" w:asciiTheme="minorEastAsia" w:hAnsiTheme="minorEastAsia" w:eastAsiaTheme="minorEastAsia"/>
          <w:color w:val="000000" w:themeColor="text1"/>
          <w:sz w:val="32"/>
          <w:szCs w:val="32"/>
        </w:rPr>
        <w:t>社会保障和就业支出68.46万元，占比2.51%；卫生健康支出33.73万元，占比1.24%；节能环保支出159.55万元，占比5.85%；农林水支出13万元，占比0.48%；资源勘探开发57.52万元，占比2.12%；住房保障支出27.78万元，占比1%；粮油物资储备支出95万元，占比3.48%；灾害防治及应急管理支出2273.23万元，占比83.32%</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2021年度财政拨款支出年初预算数为1214.61万元，支出决算数为2728.28万元，完成年初预算的224.62%。主要是因为尾矿库环境污染诊治及应急物资储备增加。其中：</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1、社会保障和就业支出（类）行政事业单位养老支出（款）机关事业单位基本养老保险缴费支出（项）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年初预算为0万元，支出决算为65.08万元，决算数大于年初预算数的主要原因是：调整了预算数。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2、社会保障和就业支出（类）抚恤（款）死亡抚恤（项）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年初预算为0万元，支出决算为1.82万元，决算数大于年初预算数的主要原因是：调整了预算数。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3、社会保障和就业支出（类）退役军人管理事务（款）其他退役军人事务管理支出（项）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年初预算为0万元，支出决算为1.56万元，决算数大于年初预算数的主要原因是：调整了预算数。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4、卫生健康支出（类）行政事业单位医疗（款）行政单位医疗（项）</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年初预算为0万元，支出决算为33.73万元，决算数大于年初预算数的主要原因是：调整了预算数。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5、节能环保支出（类）其他节能环保支出（款）其他节能环保支出（项）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年初预算为0万元，支出决算为159.55万元，决算数大于年初预算数的主要原因是：调整了预算数。</w:t>
      </w:r>
    </w:p>
    <w:p>
      <w:pPr>
        <w:pStyle w:val="12"/>
        <w:ind w:firstLine="800" w:firstLineChars="250"/>
        <w:rPr>
          <w:rFonts w:asciiTheme="minorEastAsia" w:hAnsiTheme="minorEastAsia" w:eastAsiaTheme="minorEastAsia"/>
          <w:color w:val="000000" w:themeColor="text1"/>
          <w:sz w:val="32"/>
          <w:szCs w:val="32"/>
        </w:rPr>
      </w:pP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6、农林水（类）扶贫（款）行政运行（项）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年初预算为0万元，支出决算为3万元，决算数大于年初预算数的主要原因是：调整了预算数。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7、农林水（类）扶贫（款）其他扶贫支出（项）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年初预算为0万元，支出决算为10万元，决算数大于年初预算数的主要原因是：调整了预算数。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8、资源勘探信息等支出（类）其他资源勘探工业信息等支出（款）其他资源勘探工业信息等支出（项）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年初预算为0万元，支出决算为57.52万元，决算数大于年初预算数的主要原因是：调整了预算数。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9、住房保障支出（类）住房改革支出（款）住房公积金（项）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年初预算为0万元，支出决算为27.78万元，决算数大于年初预算数的主要原因是：调整了预算数。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10、粮油物资储备支出（类）粮油物资事务（款）其他粮油物资事务支出（项）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年初预算为0万元，支出决算为95万元，决算数小于年初预算数的主要原因是：调整了预算数。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11、灾害防治及应急管理支出（类）应急管理事务（款）行政运行（项）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年初预算为829.61万元，支出决算为639.86万元，决算数小于年初预算数的主要原因是：调整了预算数。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12、灾害防治及应急管理支出（类）应急管理事务（款）一般行政管理事务（项）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年初预算为10万元，支出决算为13.84万元，决算数大于年初预算数的主要原因是：调整了预算数。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9、灾害防治及应急管理支出（类）应急管理事务（款）灾害风险防治（项）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年初预算为50万元，支出决算为25.46万元，决算数大于年初预算数的主要原因是：调整了预算数。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10、灾害防治及应急管理支出（类）应急管理事务（款）安全监管（项）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年初预算为37万元，支出决算为181.14万元，决算数大于年初预算数的主要原因是：调整了预算数。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11、灾害防治及应急管理支出（类）应急管理事务（款）应急救援（项）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年初预算为15万元，支出决算为101.7万元，决算数大于年初预算数的主要原因是：调整了预算数。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12、灾害防治及应急管理支出（类）应急管理事务（款）应急管理（项）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年初预算为0万元，支出决算为5万元，决算数大于年初预算数的主要原因是：调整了预算数。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13、灾害防治及应急管理支出（类）应急管理事务（款）其他应急管理支出（项）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年初预算为130万元，支出决算为474.54万元，决算数大于年初预算数的主要原因是：调整了预算数。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14、灾害防治及应急管理支出（类）煤矿安全（款）其他煤矿安全支出（项）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年初预算为10万元，支出决算为0.15万元，决算数大于年初预算数的主要原因是：调整了预算数。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15、灾害防治及应急管理支出（类）自然灾害救灾及恢复重建支出（款）中央自然灾害生活补助（项）</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年初预算为0万元，支出决算为306.96万元，决算数大于年初预算数的主要原因是：调整了预算数。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16、灾害防治及应急管理支出（类）自然灾害救灾及恢复重建支出（款）自然灾害救灾补助（项）</w:t>
      </w:r>
    </w:p>
    <w:p>
      <w:pPr>
        <w:pStyle w:val="12"/>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年初预算为0万元，支出决算为53.5万元，决算数大于年初预算数的主要原因是：调整了预算数。</w:t>
      </w:r>
    </w:p>
    <w:p>
      <w:pPr>
        <w:pStyle w:val="12"/>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17、灾害防治及应急管理支出（类）自然灾害救灾及恢复重建支出（款）其他自然灾害救灾及恢复重建支出（项）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000000" w:themeColor="text1"/>
          <w:sz w:val="32"/>
          <w:szCs w:val="32"/>
        </w:rPr>
        <w:t>年初预算为0万元，支出决算为471.08万元，决算数大于年初预算数的主要原因是：调整了预算数。</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2021年度财政拨款基本支出1920.4万元，其中：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人员经费1120.45万元，占基本支出的58%,主要包括：①工资福利支出：基本工资251.71万元、津贴补贴215.57万元、奖金100.34万元、伙食补助费20.52万元、机关事业单位基本养老保险缴费61万元、职工基本医疗保险缴费27.76万元、住房公积金32.62万元、其他工资福利支出28.99万元；合计支出764.66万元，占人员经费合计68%。②对个人和家庭的补助：生活补助106.4万元、救济费0.4万元、奖励金0.4万元、其他对个人和家庭的补助248.59万元。</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公用经费799.95万元，占基本支出的42%，主要包括办公费36.18万元、印刷费61.95万元、手续费0.06万元、水费0.99、电费29.89万元、邮电费3.71万元、差旅费122.8万元、维护费75.06万元、会议费6.46万元、培训费1.54万元、公务接待费2.52万元、专用材料费206.19万元、劳务费23.46万元、委托业务费29.28万元、工会经费30.43、福利费0.19万元、其他交通费用56.06万元、其他商品和服务支出113.2万元。</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2021年度“三公”经费财政拨款支出预算为2.52万元，支出决算为2.52万元，完成预算的100%，其中：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无人出国，与上年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无人出国。</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0.62万元，支出决算为2.52万元，完成预算的406%，决算数大于预算数的主要原因是职能范围扩大，招待次数增加，与上年相比增加1.07万元，增长42%,增长的主要原因是职能范围扩大，招待次数增加。</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没有购置车辆，与上年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没有购置车辆。</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费支出预算为4.9万元，支出决算为0万元，完成预算的0%，决算数小于预算数的主要原因是溆浦县烟花稽查大队用车报废，与上年相比减少2.68万元，减少100%,减少的主要原因是溆浦县烟花稽查大队用车报废。</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2021年度“三公”经费财政拨款支出决算中，公务接待费支出决算2.52万元，占100%,因公出国（境）费支出决算0万元，占0%,公务用车购置费及运行维护费支出决算0万元，占0%。其中：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2、公务接待费支出决算为2.52万元，全年共接待来访团组35个、来宾190人次，主要是</w:t>
      </w:r>
      <w:r>
        <w:rPr>
          <w:rFonts w:hint="eastAsia" w:asciiTheme="minorEastAsia" w:hAnsiTheme="minorEastAsia" w:eastAsiaTheme="minorEastAsia"/>
          <w:color w:val="000000" w:themeColor="text1"/>
          <w:sz w:val="32"/>
          <w:szCs w:val="32"/>
        </w:rPr>
        <w:t>其他县市应急部门来访交流及上级部门检查</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3、公务用车购置费及运行维护费支出决算为0万元，其中：公务用车购置费0万元，单位本级更新公务用车</w:t>
      </w:r>
      <w:r>
        <w:rPr>
          <w:rFonts w:hint="eastAsia" w:asciiTheme="minorEastAsia" w:hAnsiTheme="minorEastAsia"/>
          <w:sz w:val="32"/>
          <w:szCs w:val="32"/>
          <w:lang w:val="en-US" w:eastAsia="zh-CN"/>
        </w:rPr>
        <w:t>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公务用车运行维护费0万元，主要是溆浦县烟花稽查大队用车报废，截止2021年12月31日，我单位开支财政拨款的公务用车保有量为0辆。</w:t>
      </w:r>
    </w:p>
    <w:p>
      <w:pPr>
        <w:pStyle w:val="12"/>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2021年度政府性基金预算财政拨款收入0.02万元；年初结转和结余0万元；支出0.02万元，其中基本支出0.02万元，项目支出0万元；年末结转和结余0万元。具体情况如下：</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1、其他支出（类）彩票公益金安排的支出（款）用于体育事业的彩票公益金支出（项）。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年初预算为0.02万元，支出决算为0.02万元，完成年初预算的100%，决算数等于年初预算数。</w:t>
      </w:r>
    </w:p>
    <w:p>
      <w:pPr>
        <w:pStyle w:val="12"/>
        <w:rPr>
          <w:rFonts w:hAnsi="黑体"/>
          <w:b/>
          <w:sz w:val="32"/>
          <w:szCs w:val="32"/>
        </w:rPr>
      </w:pP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本部门2021年度机关运行经费支出799.95万元，比上年决算数增加302.72 万元，增长37%。主要原因是：工作职责范围增大，相应费用增加。</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2021年本部门开支会议费6.46万元，用于召开安委办会议，人数3000人，内容为全年安全生产各项会议；开支培训费1.54万元，用于开展安全生产各项培训，人数3人，内容为应急救援队伍培训复训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2"/>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截至2021年12月31日，本单位共有车辆1辆，其中，主要领导干部用车0辆，机要通信用车0辆、应急保障用车0辆、执法执勤用车0辆、特种专业技术用车0辆、其他用车1辆，其他用车主要</w:t>
      </w:r>
      <w:bookmarkStart w:id="0" w:name="_GoBack"/>
      <w:bookmarkEnd w:id="0"/>
      <w:r>
        <w:rPr>
          <w:rFonts w:hint="eastAsia" w:asciiTheme="minorEastAsia" w:hAnsiTheme="minorEastAsia" w:eastAsiaTheme="minorEastAsia"/>
          <w:sz w:val="32"/>
          <w:szCs w:val="32"/>
        </w:rPr>
        <w:t>是应急救援车辆；单位价值50万元以上通用设备0台（套）；单位价值100万元以上专用设备0台（套）。</w:t>
      </w:r>
    </w:p>
    <w:p>
      <w:pPr>
        <w:pStyle w:val="12"/>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年度一般公共预算项目支出全面开展绩效自评，其中，一级项目0个，二级项目</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个，共涉及资金415万元，占一般公共预算项目支出总额的100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overflowPunct w:val="0"/>
        <w:spacing w:line="580" w:lineRule="exact"/>
        <w:ind w:firstLine="640" w:firstLineChars="200"/>
        <w:rPr>
          <w:rFonts w:hint="eastAsia" w:ascii="仿宋_GB2312" w:hAnsi="仿宋_GB2312" w:eastAsia="仿宋_GB2312" w:cs="仿宋_GB2312"/>
          <w:color w:val="auto"/>
          <w:sz w:val="32"/>
          <w:szCs w:val="32"/>
        </w:rPr>
      </w:pPr>
      <w:r>
        <w:rPr>
          <w:rFonts w:hint="eastAsia" w:cs="黑体" w:asciiTheme="minorEastAsia" w:hAnsiTheme="minorEastAsia"/>
          <w:color w:val="000000"/>
          <w:kern w:val="0"/>
          <w:sz w:val="32"/>
          <w:szCs w:val="32"/>
        </w:rPr>
        <w:t>组织对矿山宣传及应急演练、防汛防火等16个项目开展了部门评价，涉及一般公共预算支出415万元，政府性基金预算支出0万元，国有资本经营预算支出0万元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auto"/>
          <w:kern w:val="0"/>
          <w:sz w:val="32"/>
          <w:szCs w:val="32"/>
        </w:rPr>
        <w:t>从评价情况来看</w:t>
      </w:r>
      <w:r>
        <w:rPr>
          <w:rFonts w:hint="eastAsia" w:cs="黑体" w:asciiTheme="minorEastAsia" w:hAnsiTheme="minorEastAsia"/>
          <w:color w:val="auto"/>
          <w:kern w:val="0"/>
          <w:sz w:val="32"/>
          <w:szCs w:val="32"/>
          <w:lang w:eastAsia="zh-CN"/>
        </w:rPr>
        <w:t>，</w:t>
      </w:r>
      <w:r>
        <w:rPr>
          <w:rFonts w:hint="eastAsia" w:cs="黑体" w:asciiTheme="minorEastAsia" w:hAnsiTheme="minorEastAsia"/>
          <w:color w:val="auto"/>
          <w:kern w:val="0"/>
          <w:sz w:val="32"/>
          <w:szCs w:val="32"/>
          <w:lang w:val="en-US" w:eastAsia="zh-CN"/>
        </w:rPr>
        <w:t>2</w:t>
      </w:r>
      <w:r>
        <w:rPr>
          <w:rFonts w:hint="eastAsia" w:ascii="宋体" w:hAnsi="宋体" w:cs="黑体"/>
          <w:color w:val="auto"/>
          <w:kern w:val="0"/>
          <w:sz w:val="32"/>
          <w:szCs w:val="32"/>
        </w:rPr>
        <w:t>02</w:t>
      </w:r>
      <w:r>
        <w:rPr>
          <w:rFonts w:hint="eastAsia" w:ascii="宋体" w:hAnsi="宋体" w:cs="黑体"/>
          <w:color w:val="auto"/>
          <w:kern w:val="0"/>
          <w:sz w:val="32"/>
          <w:szCs w:val="32"/>
          <w:lang w:val="en-US" w:eastAsia="zh-CN"/>
        </w:rPr>
        <w:t>1</w:t>
      </w:r>
      <w:r>
        <w:rPr>
          <w:rFonts w:hint="eastAsia" w:ascii="宋体" w:hAnsi="宋体" w:cs="黑体"/>
          <w:color w:val="auto"/>
          <w:kern w:val="0"/>
          <w:sz w:val="32"/>
          <w:szCs w:val="32"/>
        </w:rPr>
        <w:t>年我单位在专项工作上狠抓重点工作，相关部门认真组织实施，较好地完成了各项目标任务，取得了较好的社会效益，发挥了专项资金的作用。专项资金的使用全部实行统一管理，专款专用，严格把关，每个项目的运行按照我单位内部管理制度、县政府及财政的有关规定执行。单位内部不定期进行抽查，严格人员作风，不存在违规违法的问题。各个项目资金使用与具体项目实施内容相符，绩效总目标和阶段性目标都已按照计划完成，发挥了专项资金的效应。</w:t>
      </w:r>
    </w:p>
    <w:p>
      <w:pPr>
        <w:spacing w:line="560" w:lineRule="exact"/>
        <w:ind w:firstLine="640" w:firstLineChars="200"/>
        <w:rPr>
          <w:rFonts w:hint="default" w:cs="黑体" w:asciiTheme="minorEastAsia" w:hAnsiTheme="minorEastAsia"/>
          <w:color w:val="auto"/>
          <w:kern w:val="0"/>
          <w:sz w:val="32"/>
          <w:szCs w:val="32"/>
          <w:lang w:val="en-US"/>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本</w:t>
      </w:r>
      <w:r>
        <w:rPr>
          <w:rFonts w:hint="eastAsia" w:cs="黑体" w:asciiTheme="minorEastAsia" w:hAnsiTheme="minorEastAsia"/>
          <w:color w:val="000000"/>
          <w:kern w:val="0"/>
          <w:sz w:val="32"/>
          <w:szCs w:val="32"/>
        </w:rPr>
        <w:t>单位开展整体支出绩效评价，涉及一般公共预算支出</w:t>
      </w:r>
      <w:r>
        <w:rPr>
          <w:rFonts w:hint="eastAsia" w:cs="黑体" w:asciiTheme="minorEastAsia" w:hAnsiTheme="minorEastAsia"/>
          <w:color w:val="000000"/>
          <w:kern w:val="0"/>
          <w:sz w:val="32"/>
          <w:szCs w:val="32"/>
          <w:lang w:val="en-US" w:eastAsia="zh-CN"/>
        </w:rPr>
        <w:t>2728.28</w:t>
      </w:r>
      <w:r>
        <w:rPr>
          <w:rFonts w:hint="eastAsia" w:cs="黑体" w:asciiTheme="minorEastAsia" w:hAnsiTheme="minorEastAsia"/>
          <w:color w:val="000000"/>
          <w:kern w:val="0"/>
          <w:sz w:val="32"/>
          <w:szCs w:val="32"/>
        </w:rPr>
        <w:t>万元，政府性基金预算支出0万元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auto"/>
          <w:kern w:val="0"/>
          <w:sz w:val="32"/>
          <w:szCs w:val="32"/>
        </w:rPr>
        <w:t>从评价情况来看</w:t>
      </w:r>
      <w:r>
        <w:rPr>
          <w:rFonts w:hint="eastAsia" w:cs="黑体" w:asciiTheme="minorEastAsia" w:hAnsiTheme="minorEastAsia"/>
          <w:color w:val="auto"/>
          <w:kern w:val="0"/>
          <w:sz w:val="32"/>
          <w:szCs w:val="32"/>
          <w:lang w:eastAsia="zh-CN"/>
        </w:rPr>
        <w:t>，</w:t>
      </w:r>
      <w:r>
        <w:rPr>
          <w:rFonts w:hint="eastAsia" w:ascii="宋体" w:hAnsi="宋体" w:cs="黑体"/>
          <w:color w:val="auto"/>
          <w:kern w:val="0"/>
          <w:sz w:val="32"/>
          <w:szCs w:val="32"/>
          <w:lang w:eastAsia="zh-CN"/>
        </w:rPr>
        <w:t>县</w:t>
      </w:r>
      <w:r>
        <w:rPr>
          <w:rFonts w:hint="eastAsia" w:ascii="宋体" w:hAnsi="宋体" w:cs="黑体"/>
          <w:color w:val="auto"/>
          <w:kern w:val="0"/>
          <w:sz w:val="32"/>
          <w:szCs w:val="32"/>
          <w:lang w:val="en-US" w:eastAsia="zh-CN"/>
        </w:rPr>
        <w:t>应急局2021年的</w:t>
      </w:r>
      <w:r>
        <w:rPr>
          <w:rFonts w:hint="eastAsia" w:ascii="宋体" w:hAnsi="宋体" w:cs="黑体"/>
          <w:color w:val="auto"/>
          <w:kern w:val="0"/>
          <w:sz w:val="32"/>
          <w:szCs w:val="32"/>
        </w:rPr>
        <w:t>项目</w:t>
      </w:r>
      <w:r>
        <w:rPr>
          <w:rFonts w:hint="eastAsia" w:ascii="宋体" w:hAnsi="宋体" w:cs="黑体"/>
          <w:color w:val="auto"/>
          <w:kern w:val="0"/>
          <w:sz w:val="32"/>
          <w:szCs w:val="32"/>
          <w:lang w:val="en-US" w:eastAsia="zh-CN"/>
        </w:rPr>
        <w:t>,</w:t>
      </w:r>
      <w:r>
        <w:rPr>
          <w:rFonts w:hint="eastAsia" w:ascii="宋体" w:hAnsi="宋体" w:cs="黑体"/>
          <w:color w:val="auto"/>
          <w:kern w:val="0"/>
          <w:sz w:val="32"/>
          <w:szCs w:val="32"/>
        </w:rPr>
        <w:t>一方面</w:t>
      </w:r>
      <w:r>
        <w:rPr>
          <w:rFonts w:hint="eastAsia" w:ascii="宋体" w:hAnsi="宋体" w:cs="黑体"/>
          <w:color w:val="auto"/>
          <w:kern w:val="0"/>
          <w:sz w:val="32"/>
          <w:szCs w:val="32"/>
          <w:lang w:eastAsia="zh-CN"/>
        </w:rPr>
        <w:t>主要目标是</w:t>
      </w:r>
      <w:r>
        <w:rPr>
          <w:rFonts w:hint="eastAsia" w:ascii="宋体" w:hAnsi="宋体" w:cs="黑体"/>
          <w:color w:val="auto"/>
          <w:kern w:val="0"/>
          <w:sz w:val="32"/>
          <w:szCs w:val="32"/>
        </w:rPr>
        <w:t>确保部门正常运转，提高工作效率增加</w:t>
      </w:r>
      <w:r>
        <w:rPr>
          <w:rFonts w:hint="eastAsia" w:ascii="宋体" w:hAnsi="宋体" w:cs="黑体"/>
          <w:color w:val="auto"/>
          <w:kern w:val="0"/>
          <w:sz w:val="32"/>
          <w:szCs w:val="32"/>
          <w:lang w:eastAsia="zh-CN"/>
        </w:rPr>
        <w:t>，另一方面</w:t>
      </w:r>
      <w:r>
        <w:rPr>
          <w:rFonts w:hint="eastAsia" w:ascii="宋体" w:hAnsi="宋体" w:cs="黑体"/>
          <w:color w:val="auto"/>
          <w:kern w:val="0"/>
          <w:sz w:val="32"/>
          <w:szCs w:val="32"/>
          <w:lang w:val="en-US" w:eastAsia="zh-CN"/>
        </w:rPr>
        <w:t>紧紧围绕安全生产隐患排查治理、应急救援、宣传教育培训、专项整治、自然灾害风险普查、打非治违、防汛抗旱、森林防火、举报奖励、购买人生意外伤害险、隐患专家会诊等一系列项目开展，使全县农业相关工作有利开展。</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应急演练</w:t>
      </w:r>
      <w:r>
        <w:rPr>
          <w:rFonts w:cs="黑体" w:asciiTheme="minorEastAsia" w:hAnsiTheme="minorEastAsia"/>
          <w:color w:val="000000"/>
          <w:kern w:val="0"/>
          <w:sz w:val="32"/>
          <w:szCs w:val="32"/>
        </w:rPr>
        <w:t>及矿山宣传培训复训</w:t>
      </w:r>
      <w:r>
        <w:rPr>
          <w:rFonts w:hint="eastAsia" w:cs="黑体" w:asciiTheme="minorEastAsia" w:hAnsiTheme="minorEastAsia"/>
          <w:color w:val="000000"/>
          <w:kern w:val="0"/>
          <w:sz w:val="32"/>
          <w:szCs w:val="32"/>
        </w:rPr>
        <w:t>项目绩效自评综述：根据年初设定的绩效目标，项目绩效自评得分为98分。项目全年预算数为40万元，执行数为40万元，完成预算的100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color w:val="000000"/>
          <w:kern w:val="0"/>
          <w:sz w:val="32"/>
          <w:szCs w:val="32"/>
          <w:lang w:eastAsia="zh-CN"/>
        </w:rPr>
        <w:t>开展</w:t>
      </w:r>
      <w:r>
        <w:rPr>
          <w:rFonts w:hint="eastAsia" w:cs="黑体" w:asciiTheme="minorEastAsia" w:hAnsiTheme="minorEastAsia"/>
          <w:color w:val="000000"/>
          <w:kern w:val="0"/>
          <w:sz w:val="32"/>
          <w:szCs w:val="32"/>
          <w:lang w:val="en-US" w:eastAsia="zh-CN"/>
        </w:rPr>
        <w:t>4次应急演练及23人的培训复训及矿山安全方面的宣传。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专家会诊项目绩效自评综述：根据年初设定的绩效目标，项目绩效自评得分为98分。项目全年预算数为30万元，执行数为30万元，完成预算的100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。完成全县30家露天非煤矿山、3家井下非煤矿山、12家尾矿库、60家工贸企业、危化企业聘请专家隐患排查。查处矿山工贸企业安全违法行为，淘汰落后产能和工艺设备，关闭退出不符安全条件的非煤矿山。</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意外保险及举报奖项目绩效自评综述：根据年初设定的绩效目标，项目绩效自评得分为98分。项目全年预算数为20万元，执行数为20万元，完成预算的100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。经核实有效的举报，对举报人给予奖励，鼓励广大人民群众举报安全生产重大事故隐患和非法违法行为，有效防范生产安全事故发生。根据应急管理工作性质和特点，为全县应急管理系统特岗人员32</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人购买意外伤害保险。</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宣传教育培训项目绩效自评综述：根据年初设定的绩效目标，项目绩效自评得分为98分。项目全年预算数为50万元，执行数为50万元，完成预算的100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。通过宣传教育培训，提高安全生产意识和水平；对矿山、烟花爆竹、危险化学品、交通运输、建筑施工、消防等行业领域进行专项整治，减少和预防安全事故发生 。</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防汛抗旱及森林防火项目绩效自评综述：根据年初设定的绩效目标，项目绩效自评得分为98分。项目全年预算数为63万元，执行数为63万元，完成预算的100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防汛抗洪抢险，应急度汛，抢险应急物资及设备购置，组织蓄滞洪区群众安全转移等，最大程度地降低洪旱灾害给人民群众造成的生命和财产损失。在全县范围内开展森林防火灭火宣传30次、培训演练4次，购买防火物资500件、购买防火设备10台并进行日常维护，开展森林防火灭火值班值守及组织扑火队员扑灭火灾，有效预防森林火灾，扑救森林火灾，保护生态平衡及人民群众生命财产安全。</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6.</w:t>
      </w:r>
      <w:r>
        <w:rPr>
          <w:rFonts w:cs="黑体" w:asciiTheme="minorEastAsia" w:hAnsiTheme="minorEastAsia"/>
          <w:color w:val="000000"/>
          <w:kern w:val="0"/>
          <w:sz w:val="32"/>
          <w:szCs w:val="32"/>
        </w:rPr>
        <w:t>地灾防治救援及矿山淘汰关闭退出项目</w:t>
      </w:r>
      <w:r>
        <w:rPr>
          <w:rFonts w:hint="eastAsia" w:cs="黑体" w:asciiTheme="minorEastAsia" w:hAnsiTheme="minorEastAsia"/>
          <w:color w:val="000000"/>
          <w:kern w:val="0"/>
          <w:sz w:val="32"/>
          <w:szCs w:val="32"/>
        </w:rPr>
        <w:t>绩效自评综述：根据年初设定的绩效目标，项目绩效自评得分为98分。项目全年预算数为60万元，执行数为60万元，完成预算的100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为我县地质灾害防治与救援提供技术支撑与设备保障，落实地质灾害应急救援体系建设，做好地质灾害巡查排查、监测预警、临灾避险和抢险救援工作，保障人民群众生命财产安全。本年度关闭金属非金属非煤矿山，开展环评检测、安评地勘、工程设计全面掌握尾矿矿山安全状况、污染物产生环节、现有防治措施及周边环境敏感目标状况</w:t>
      </w:r>
      <w:r>
        <w:rPr>
          <w:rFonts w:hint="eastAsia" w:cs="黑体" w:asciiTheme="minorEastAsia" w:hAnsiTheme="minorEastAsia"/>
          <w:color w:val="000000"/>
          <w:kern w:val="0"/>
          <w:sz w:val="32"/>
          <w:szCs w:val="32"/>
          <w:lang w:eastAsia="zh-CN"/>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7.</w:t>
      </w:r>
      <w:r>
        <w:rPr>
          <w:rFonts w:cs="黑体" w:asciiTheme="minorEastAsia" w:hAnsiTheme="minorEastAsia"/>
          <w:color w:val="000000"/>
          <w:kern w:val="0"/>
          <w:sz w:val="32"/>
          <w:szCs w:val="32"/>
        </w:rPr>
        <w:t>烟花稽查大队和巡查组及安委办工作经费项目</w:t>
      </w:r>
      <w:r>
        <w:rPr>
          <w:rFonts w:hint="eastAsia" w:cs="黑体" w:asciiTheme="minorEastAsia" w:hAnsiTheme="minorEastAsia"/>
          <w:color w:val="000000"/>
          <w:kern w:val="0"/>
          <w:sz w:val="32"/>
          <w:szCs w:val="32"/>
        </w:rPr>
        <w:t>绩效自评综述：根据年初设定的绩效目标，项目绩效自评得分为98分。项目全年预算数为62万元，执行数为</w:t>
      </w:r>
      <w:r>
        <w:rPr>
          <w:rFonts w:hint="eastAsia" w:cs="黑体" w:asciiTheme="minorEastAsia" w:hAnsiTheme="minorEastAsia"/>
          <w:color w:val="000000"/>
          <w:kern w:val="0"/>
          <w:sz w:val="32"/>
          <w:szCs w:val="32"/>
          <w:lang w:val="en-US" w:eastAsia="zh-CN"/>
        </w:rPr>
        <w:t>62</w:t>
      </w:r>
      <w:r>
        <w:rPr>
          <w:rFonts w:hint="eastAsia" w:cs="黑体" w:asciiTheme="minorEastAsia" w:hAnsiTheme="minorEastAsia"/>
          <w:color w:val="000000"/>
          <w:kern w:val="0"/>
          <w:sz w:val="32"/>
          <w:szCs w:val="32"/>
        </w:rPr>
        <w:t>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规范全县烟花爆竹打市场经营、储存、燃放、运输等，促进烟花爆竹行业安全。对乡镇人民政府、县安委会有关成员单位履行安全生产监管情况开展综合和专项巡查。为实现我县安生生产形势持续稳定好转提供有力支持。</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8.</w:t>
      </w:r>
      <w:r>
        <w:rPr>
          <w:rFonts w:cs="黑体" w:asciiTheme="minorEastAsia" w:hAnsiTheme="minorEastAsia"/>
          <w:color w:val="000000"/>
          <w:kern w:val="0"/>
          <w:sz w:val="32"/>
          <w:szCs w:val="32"/>
        </w:rPr>
        <w:t>风险普查和三年行动及预案编制项目</w:t>
      </w:r>
      <w:r>
        <w:rPr>
          <w:rFonts w:hint="eastAsia" w:cs="黑体" w:asciiTheme="minorEastAsia" w:hAnsiTheme="minorEastAsia"/>
          <w:color w:val="000000"/>
          <w:kern w:val="0"/>
          <w:sz w:val="32"/>
          <w:szCs w:val="32"/>
        </w:rPr>
        <w:t>绩效自评综述：根据年初设定的绩效目标，项目绩效自评得分为98分。项目全年预算数为90万元，执行数为90万元，完成预算的100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。本年度编制《溆浦县突发事件总体预案》《溆浦县安全生产应急预案》及其他专项预案共13本</w:t>
      </w:r>
      <w:r>
        <w:rPr>
          <w:rFonts w:hint="eastAsia" w:cs="黑体" w:asciiTheme="minorEastAsia" w:hAnsiTheme="minorEastAsia"/>
          <w:color w:val="000000"/>
          <w:kern w:val="0"/>
          <w:sz w:val="32"/>
          <w:szCs w:val="32"/>
          <w:lang w:eastAsia="zh-CN"/>
        </w:rPr>
        <w:t>。风险普查方面：1、本年度建立普查工作机制，落实普查人员和队伍，开展普查培训，组织开展普查前期试点工作并坚决杜绝较大安全事故，遏制一般安全事故。2、本年度实施完成风险要素全面调查。3、建立分类型全县自然灾害综合风险与减灾能力数据库。</w:t>
      </w: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12"/>
        <w:rPr>
          <w:sz w:val="72"/>
          <w:szCs w:val="72"/>
        </w:rPr>
      </w:pPr>
      <w:r>
        <w:rPr>
          <w:rFonts w:hint="eastAsia" w:asciiTheme="minorEastAsia" w:hAnsiTheme="minorEastAsia" w:eastAsiaTheme="minorEastAsia"/>
          <w:sz w:val="32"/>
          <w:szCs w:val="32"/>
        </w:rPr>
        <w:t xml:space="preserve">    在省市县各级财政部门共同努力下，2021年度溆浦县应急管理工作基本完成。资金使用符合相关财务规定。通过专项资金的实施，全力推进应急管理工作，各项工作取得了明显成效。2021年度本单位项目资金绩效评价指标评分为98分。</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line="600" w:lineRule="exact"/>
        <w:ind w:firstLine="660"/>
        <w:rPr>
          <w:rFonts w:asciiTheme="minorEastAsia" w:hAnsiTheme="minorEastAsia"/>
          <w:sz w:val="32"/>
          <w:szCs w:val="32"/>
        </w:rPr>
      </w:pPr>
      <w:r>
        <w:rPr>
          <w:rFonts w:asciiTheme="minorEastAsia" w:hAnsiTheme="minorEastAsia"/>
          <w:b/>
          <w:sz w:val="32"/>
          <w:szCs w:val="32"/>
        </w:rPr>
        <w:t>1、机关运行经费：</w:t>
      </w:r>
      <w:r>
        <w:rPr>
          <w:rFonts w:asciiTheme="minorEastAsia" w:hAnsiTheme="minorEastAsia"/>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asciiTheme="minorEastAsia" w:hAnsiTheme="minorEastAsia"/>
          <w:sz w:val="32"/>
          <w:szCs w:val="32"/>
        </w:rPr>
      </w:pPr>
      <w:r>
        <w:rPr>
          <w:rFonts w:asciiTheme="minorEastAsia" w:hAnsiTheme="minorEastAsia"/>
          <w:b/>
          <w:sz w:val="32"/>
          <w:szCs w:val="32"/>
        </w:rPr>
        <w:t>2、“三公”经费：</w:t>
      </w:r>
      <w:r>
        <w:rPr>
          <w:rFonts w:asciiTheme="minorEastAsia" w:hAnsiTheme="minorEastAsia"/>
          <w:sz w:val="32"/>
          <w:szCs w:val="32"/>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spacing w:line="500" w:lineRule="exact"/>
        <w:ind w:firstLine="640" w:firstLineChars="200"/>
        <w:rPr>
          <w:rFonts w:eastAsia="黑体"/>
          <w:sz w:val="28"/>
          <w:szCs w:val="28"/>
        </w:rPr>
      </w:pPr>
      <w:r>
        <w:rPr>
          <w:rFonts w:hint="eastAsia" w:asciiTheme="minorEastAsia" w:hAnsiTheme="minorEastAsia"/>
          <w:b/>
          <w:sz w:val="32"/>
          <w:szCs w:val="32"/>
        </w:rPr>
        <w:t>3、</w:t>
      </w:r>
      <w:r>
        <w:rPr>
          <w:rFonts w:hint="eastAsia" w:asciiTheme="minorEastAsia" w:hAnsiTheme="minorEastAsia"/>
          <w:b/>
          <w:bCs/>
          <w:kern w:val="0"/>
          <w:sz w:val="32"/>
          <w:szCs w:val="32"/>
        </w:rPr>
        <w:t>非煤矿山专家“会诊”：</w:t>
      </w:r>
      <w:r>
        <w:rPr>
          <w:rFonts w:hint="eastAsia" w:asciiTheme="minorEastAsia" w:hAnsiTheme="minorEastAsia"/>
          <w:bCs/>
          <w:kern w:val="0"/>
          <w:sz w:val="32"/>
          <w:szCs w:val="32"/>
        </w:rPr>
        <w:t>主要通过购买服务的方式，聘请专家对非煤矿山、危险化学品企业的</w:t>
      </w:r>
      <w:r>
        <w:rPr>
          <w:rFonts w:hint="eastAsia" w:asciiTheme="minorEastAsia" w:hAnsiTheme="minorEastAsia"/>
          <w:sz w:val="32"/>
          <w:szCs w:val="32"/>
        </w:rPr>
        <w:t>合法性（证照情况），安全管理责任制、操作规程等制度建设及落实情况，安全设施建设安装使用、运行情况（开拓开采、提升运输及空压机站、通风与防尘、防排水、供水与消防、供配电、安全避险“六大系统”），安全管理机构建设情况，企业员工教育培训等情况进行检查排查，</w:t>
      </w:r>
      <w:r>
        <w:rPr>
          <w:rFonts w:hint="eastAsia" w:cs="宋体" w:asciiTheme="minorEastAsia" w:hAnsiTheme="minorEastAsia"/>
          <w:color w:val="000000"/>
          <w:kern w:val="0"/>
          <w:sz w:val="32"/>
          <w:szCs w:val="32"/>
        </w:rPr>
        <w:t>形成“会诊”报告和风险等级建议。安全监管部门根据风险程度确定（由低到高划分A、B、C、D四类）风险级别，实施差异化监管。</w:t>
      </w:r>
    </w:p>
    <w:p>
      <w:pPr>
        <w:widowControl/>
        <w:jc w:val="left"/>
        <w:rPr>
          <w:rFonts w:eastAsia="黑体" w:cs="黑体" w:asciiTheme="minorEastAsia" w:hAnsiTheme="minorEastAsia"/>
          <w:color w:val="000000"/>
          <w:kern w:val="0"/>
          <w:sz w:val="28"/>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widowControl/>
        <w:spacing w:line="600" w:lineRule="exact"/>
        <w:ind w:firstLine="844" w:firstLineChars="192"/>
        <w:jc w:val="center"/>
        <w:rPr>
          <w:rFonts w:ascii="方正小标宋_GBK" w:hAnsi="黑体" w:eastAsia="方正小标宋_GBK" w:cs="宋体"/>
          <w:b/>
          <w:kern w:val="0"/>
          <w:sz w:val="44"/>
          <w:szCs w:val="44"/>
        </w:rPr>
      </w:pPr>
      <w:r>
        <w:rPr>
          <w:rFonts w:hint="eastAsia" w:ascii="方正小标宋_GBK" w:hAnsi="黑体" w:eastAsia="方正小标宋_GBK" w:cs="宋体"/>
          <w:b/>
          <w:kern w:val="0"/>
          <w:sz w:val="44"/>
          <w:szCs w:val="44"/>
        </w:rPr>
        <w:t>溆浦县应急管理局</w:t>
      </w:r>
    </w:p>
    <w:p>
      <w:pPr>
        <w:widowControl/>
        <w:spacing w:line="600" w:lineRule="exact"/>
        <w:ind w:firstLine="844" w:firstLineChars="192"/>
        <w:jc w:val="center"/>
        <w:rPr>
          <w:rFonts w:ascii="方正小标宋_GBK" w:hAnsi="黑体" w:eastAsia="方正小标宋_GBK" w:cs="宋体"/>
          <w:b/>
          <w:kern w:val="0"/>
          <w:sz w:val="44"/>
          <w:szCs w:val="44"/>
        </w:rPr>
      </w:pPr>
      <w:r>
        <w:rPr>
          <w:rFonts w:hint="eastAsia" w:ascii="方正小标宋_GBK" w:hAnsi="黑体" w:eastAsia="方正小标宋_GBK" w:cs="宋体"/>
          <w:b/>
          <w:kern w:val="0"/>
          <w:sz w:val="44"/>
          <w:szCs w:val="44"/>
        </w:rPr>
        <w:t>2021年整体支出绩效自评报告</w:t>
      </w:r>
    </w:p>
    <w:p>
      <w:pPr>
        <w:shd w:val="clear" w:color="auto" w:fill="FFFFFF"/>
        <w:spacing w:line="640" w:lineRule="exact"/>
        <w:ind w:firstLine="764" w:firstLineChars="242"/>
        <w:rPr>
          <w:rFonts w:ascii="黑体" w:hAnsi="黑体" w:eastAsia="黑体"/>
          <w:spacing w:val="-2"/>
          <w:sz w:val="32"/>
          <w:szCs w:val="32"/>
        </w:rPr>
      </w:pPr>
      <w:r>
        <w:rPr>
          <w:rFonts w:hint="eastAsia" w:ascii="黑体" w:hAnsi="黑体" w:eastAsia="黑体"/>
          <w:spacing w:val="-2"/>
          <w:sz w:val="32"/>
          <w:szCs w:val="32"/>
        </w:rPr>
        <w:t>一、部门概况</w:t>
      </w:r>
    </w:p>
    <w:p>
      <w:pPr>
        <w:shd w:val="clear" w:color="auto" w:fill="FFFFFF"/>
        <w:spacing w:line="640" w:lineRule="exact"/>
        <w:ind w:firstLine="606" w:firstLineChars="192"/>
        <w:rPr>
          <w:rFonts w:ascii="仿宋_GB2312" w:hAnsi="仿宋" w:eastAsia="仿宋_GB2312"/>
          <w:spacing w:val="-2"/>
          <w:sz w:val="32"/>
          <w:szCs w:val="32"/>
        </w:rPr>
      </w:pPr>
      <w:r>
        <w:rPr>
          <w:rFonts w:hint="eastAsia" w:ascii="仿宋_GB2312" w:hAnsi="仿宋" w:eastAsia="仿宋_GB2312"/>
          <w:spacing w:val="-2"/>
          <w:sz w:val="32"/>
          <w:szCs w:val="32"/>
        </w:rPr>
        <w:t>（一）部门基本情况</w:t>
      </w:r>
    </w:p>
    <w:p>
      <w:pPr>
        <w:widowControl/>
        <w:spacing w:line="600" w:lineRule="exact"/>
        <w:ind w:left="283" w:leftChars="135" w:firstLine="614" w:firstLineChars="192"/>
        <w:jc w:val="left"/>
        <w:rPr>
          <w:rFonts w:ascii="仿宋" w:hAnsi="仿宋" w:eastAsia="仿宋"/>
          <w:color w:val="000000"/>
          <w:sz w:val="32"/>
          <w:szCs w:val="32"/>
        </w:rPr>
      </w:pPr>
      <w:r>
        <w:rPr>
          <w:rFonts w:hint="eastAsia" w:ascii="仿宋" w:hAnsi="仿宋" w:eastAsia="仿宋" w:cs="宋体"/>
          <w:kern w:val="0"/>
          <w:sz w:val="32"/>
          <w:szCs w:val="32"/>
        </w:rPr>
        <w:t>溆浦县应急管理局为溆浦县人民政府组成部门，正科级，加挂溆浦县防汛抗旱指挥部办公室牌子。</w:t>
      </w:r>
      <w:r>
        <w:rPr>
          <w:rFonts w:hint="eastAsia" w:ascii="仿宋" w:hAnsi="仿宋" w:eastAsia="仿宋"/>
          <w:bCs/>
          <w:kern w:val="0"/>
          <w:sz w:val="32"/>
          <w:szCs w:val="32"/>
        </w:rPr>
        <w:t>内设行政业务机构15个，核定编制数66名，实有64人，其中：行政编制人员19人、事业编制人员45人、离退休人员15人</w:t>
      </w:r>
      <w:r>
        <w:rPr>
          <w:rFonts w:hint="eastAsia" w:ascii="仿宋" w:hAnsi="仿宋" w:eastAsia="仿宋" w:cs="宋体"/>
          <w:kern w:val="0"/>
          <w:sz w:val="32"/>
          <w:szCs w:val="32"/>
        </w:rPr>
        <w:t>。主要职责是：</w:t>
      </w:r>
      <w:r>
        <w:rPr>
          <w:rFonts w:hint="eastAsia" w:ascii="仿宋" w:hAnsi="仿宋" w:eastAsia="仿宋" w:cs="黑体"/>
          <w:color w:val="000000"/>
          <w:sz w:val="32"/>
          <w:szCs w:val="32"/>
        </w:rPr>
        <w:t>负责应急管理工作，指导全县各乡镇、各部门应对安全生产类、自然灾害类等突发事件和综合防灾减灾救灾工作。负责安全生产综合监督管理和</w:t>
      </w:r>
      <w:r>
        <w:rPr>
          <w:rFonts w:ascii="仿宋" w:hAnsi="仿宋" w:eastAsia="仿宋"/>
          <w:color w:val="000000"/>
          <w:sz w:val="32"/>
          <w:szCs w:val="32"/>
        </w:rPr>
        <w:t>矿山、危险化学品、烟花爆竹行业安全生产监督管理工作。</w:t>
      </w:r>
      <w:r>
        <w:rPr>
          <w:rFonts w:hint="eastAsia" w:ascii="仿宋" w:hAnsi="仿宋" w:eastAsia="仿宋" w:cs="黑体"/>
          <w:color w:val="000000"/>
          <w:sz w:val="32"/>
          <w:szCs w:val="32"/>
        </w:rPr>
        <w:t>负责全县消防管理有关工作，指导协调全县森林火灾、水旱灾害、地震和地质灾害等防治工作，组织协调灾害救助工作，依法组织指导生产安全事故调查处理，负责应急管理、安全生产、消防宣传教育和培训工作，承担县防汛抗旱指挥部日常工作及其它县委县政府交办的任务。</w:t>
      </w:r>
    </w:p>
    <w:p>
      <w:pPr>
        <w:shd w:val="clear" w:color="auto" w:fill="FFFFFF"/>
        <w:spacing w:line="640" w:lineRule="exact"/>
        <w:ind w:firstLine="606" w:firstLineChars="192"/>
        <w:rPr>
          <w:rFonts w:ascii="仿宋" w:hAnsi="仿宋" w:eastAsia="仿宋"/>
          <w:spacing w:val="-2"/>
          <w:sz w:val="32"/>
          <w:szCs w:val="32"/>
        </w:rPr>
      </w:pPr>
      <w:r>
        <w:rPr>
          <w:rFonts w:hint="eastAsia" w:ascii="仿宋" w:hAnsi="仿宋" w:eastAsia="仿宋"/>
          <w:spacing w:val="-2"/>
          <w:sz w:val="32"/>
          <w:szCs w:val="32"/>
        </w:rPr>
        <w:t>（二）部门整体支出规模、使用方向和主要内容、涉及范围等。</w:t>
      </w:r>
    </w:p>
    <w:p>
      <w:pPr>
        <w:shd w:val="clear" w:color="auto" w:fill="FFFFFF"/>
        <w:spacing w:line="640" w:lineRule="exact"/>
        <w:ind w:firstLine="606" w:firstLineChars="192"/>
        <w:rPr>
          <w:rFonts w:ascii="仿宋" w:hAnsi="仿宋" w:eastAsia="仿宋"/>
          <w:spacing w:val="-2"/>
          <w:sz w:val="32"/>
          <w:szCs w:val="32"/>
        </w:rPr>
      </w:pPr>
      <w:r>
        <w:rPr>
          <w:rFonts w:hint="eastAsia" w:ascii="仿宋" w:hAnsi="仿宋" w:eastAsia="仿宋"/>
          <w:spacing w:val="-2"/>
          <w:sz w:val="32"/>
          <w:szCs w:val="32"/>
        </w:rPr>
        <w:t>2021年应急局整体支出金额为2789.5万元，主要用于贯彻落实党中央关于应急工作的方针政策和决策部署，全面落实省委、市、县委关于应急工作的集中统一领导，开展安全生产及防灾减灾救灾工作。涉及范围为：安委办综合协调工作；宣传教育培训和安全生产专项整治工作；防灾、减灾、救灾工作等。</w:t>
      </w:r>
    </w:p>
    <w:p>
      <w:pPr>
        <w:shd w:val="clear" w:color="auto" w:fill="FFFFFF"/>
        <w:spacing w:line="640" w:lineRule="exact"/>
        <w:ind w:firstLine="606" w:firstLineChars="192"/>
        <w:rPr>
          <w:rFonts w:ascii="仿宋" w:hAnsi="仿宋" w:eastAsia="仿宋"/>
          <w:spacing w:val="-2"/>
          <w:sz w:val="32"/>
          <w:szCs w:val="32"/>
        </w:rPr>
      </w:pPr>
      <w:r>
        <w:rPr>
          <w:rFonts w:hint="eastAsia" w:ascii="仿宋" w:hAnsi="仿宋" w:eastAsia="仿宋"/>
          <w:spacing w:val="-2"/>
          <w:sz w:val="32"/>
          <w:szCs w:val="32"/>
        </w:rPr>
        <w:t>二、部门整体支出管理及使用情况</w:t>
      </w:r>
    </w:p>
    <w:p>
      <w:pPr>
        <w:shd w:val="clear" w:color="auto" w:fill="FFFFFF"/>
        <w:spacing w:line="640" w:lineRule="exact"/>
        <w:ind w:firstLine="606" w:firstLineChars="192"/>
        <w:rPr>
          <w:rFonts w:ascii="仿宋" w:hAnsi="仿宋" w:eastAsia="仿宋" w:cs="楷体_GB2312"/>
          <w:b/>
          <w:spacing w:val="-2"/>
          <w:sz w:val="32"/>
          <w:szCs w:val="32"/>
        </w:rPr>
      </w:pPr>
      <w:r>
        <w:rPr>
          <w:rFonts w:hint="eastAsia" w:ascii="仿宋" w:hAnsi="仿宋" w:eastAsia="仿宋" w:cs="楷体_GB2312"/>
          <w:b/>
          <w:spacing w:val="-2"/>
          <w:sz w:val="32"/>
          <w:szCs w:val="32"/>
        </w:rPr>
        <w:t>（一）基本支出</w:t>
      </w:r>
    </w:p>
    <w:p>
      <w:pPr>
        <w:adjustRightInd w:val="0"/>
        <w:snapToGrid w:val="0"/>
        <w:spacing w:line="560" w:lineRule="exact"/>
        <w:ind w:firstLine="640" w:firstLineChars="200"/>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w:t>
      </w:r>
      <w:r>
        <w:rPr>
          <w:rFonts w:ascii="仿宋" w:hAnsi="仿宋" w:eastAsia="仿宋"/>
          <w:b/>
          <w:bCs/>
          <w:sz w:val="32"/>
          <w:szCs w:val="32"/>
        </w:rPr>
        <w:t>主要用途及范围</w:t>
      </w:r>
    </w:p>
    <w:p>
      <w:pPr>
        <w:adjustRightInd w:val="0"/>
        <w:snapToGrid w:val="0"/>
        <w:spacing w:line="560" w:lineRule="exact"/>
        <w:ind w:firstLine="614" w:firstLineChars="192"/>
        <w:rPr>
          <w:rFonts w:ascii="仿宋" w:hAnsi="仿宋" w:eastAsia="仿宋"/>
          <w:kern w:val="0"/>
          <w:sz w:val="32"/>
          <w:szCs w:val="32"/>
        </w:rPr>
      </w:pPr>
      <w:r>
        <w:rPr>
          <w:rFonts w:ascii="仿宋" w:hAnsi="仿宋" w:eastAsia="仿宋"/>
          <w:kern w:val="0"/>
          <w:sz w:val="32"/>
          <w:szCs w:val="32"/>
        </w:rPr>
        <w:t>基本支出主要是指为保障我</w:t>
      </w:r>
      <w:r>
        <w:rPr>
          <w:rFonts w:hint="eastAsia" w:ascii="仿宋" w:hAnsi="仿宋" w:eastAsia="仿宋"/>
          <w:kern w:val="0"/>
          <w:sz w:val="32"/>
          <w:szCs w:val="32"/>
        </w:rPr>
        <w:t>局</w:t>
      </w:r>
      <w:r>
        <w:rPr>
          <w:rFonts w:ascii="仿宋" w:hAnsi="仿宋" w:eastAsia="仿宋"/>
          <w:kern w:val="0"/>
          <w:sz w:val="32"/>
          <w:szCs w:val="32"/>
        </w:rPr>
        <w:t>机构正常运转、完成日常工作任务而</w:t>
      </w:r>
      <w:r>
        <w:rPr>
          <w:rFonts w:hint="eastAsia" w:ascii="仿宋" w:hAnsi="仿宋" w:eastAsia="仿宋"/>
          <w:kern w:val="0"/>
          <w:sz w:val="32"/>
          <w:szCs w:val="32"/>
        </w:rPr>
        <w:t>产生的</w:t>
      </w:r>
      <w:r>
        <w:rPr>
          <w:rFonts w:ascii="仿宋" w:hAnsi="仿宋" w:eastAsia="仿宋"/>
          <w:kern w:val="0"/>
          <w:sz w:val="32"/>
          <w:szCs w:val="32"/>
        </w:rPr>
        <w:t>年度基本支出，内容包括人员经费和日常公用经费两部分。</w:t>
      </w:r>
    </w:p>
    <w:p>
      <w:pPr>
        <w:widowControl/>
        <w:spacing w:line="600" w:lineRule="exact"/>
        <w:ind w:firstLine="614" w:firstLineChars="192"/>
        <w:jc w:val="left"/>
        <w:rPr>
          <w:rFonts w:ascii="仿宋" w:hAnsi="仿宋" w:eastAsia="仿宋" w:cs="宋体"/>
          <w:kern w:val="0"/>
          <w:sz w:val="32"/>
          <w:szCs w:val="32"/>
        </w:rPr>
      </w:pPr>
      <w:r>
        <w:rPr>
          <w:rFonts w:hint="eastAsia" w:ascii="仿宋" w:hAnsi="仿宋" w:eastAsia="仿宋" w:cs="宋体"/>
          <w:kern w:val="0"/>
          <w:sz w:val="32"/>
          <w:szCs w:val="32"/>
        </w:rPr>
        <w:t>2021年基本支出总额1920.4万元，其中人员经费支出1120.45万元，主要用于人员工资、社会保障缴费等支出；日常公用经费支出799.95万元，主要用于应急管理工作基本运转所产生的办公、印刷、水电、会议、维修、交通、宣传、党建、乡村振兴等支出。</w:t>
      </w:r>
    </w:p>
    <w:p>
      <w:pPr>
        <w:adjustRightInd w:val="0"/>
        <w:snapToGrid w:val="0"/>
        <w:spacing w:line="560" w:lineRule="exact"/>
        <w:ind w:firstLine="614" w:firstLineChars="192"/>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w:t>
      </w:r>
      <w:r>
        <w:rPr>
          <w:rFonts w:ascii="仿宋" w:hAnsi="仿宋" w:eastAsia="仿宋"/>
          <w:b/>
          <w:bCs/>
          <w:sz w:val="32"/>
          <w:szCs w:val="32"/>
        </w:rPr>
        <w:t>资金管理情况</w:t>
      </w:r>
    </w:p>
    <w:p>
      <w:pPr>
        <w:adjustRightInd w:val="0"/>
        <w:snapToGrid w:val="0"/>
        <w:spacing w:line="560" w:lineRule="exact"/>
        <w:ind w:firstLine="614" w:firstLineChars="192"/>
        <w:rPr>
          <w:rFonts w:ascii="仿宋" w:hAnsi="仿宋" w:eastAsia="仿宋"/>
          <w:kern w:val="0"/>
          <w:sz w:val="32"/>
          <w:szCs w:val="32"/>
        </w:rPr>
      </w:pPr>
      <w:r>
        <w:rPr>
          <w:rFonts w:ascii="仿宋" w:hAnsi="仿宋" w:eastAsia="仿宋"/>
          <w:kern w:val="0"/>
          <w:sz w:val="32"/>
          <w:szCs w:val="32"/>
        </w:rPr>
        <w:t>为了进一步提高单位内部管理水平，规范</w:t>
      </w:r>
      <w:r>
        <w:fldChar w:fldCharType="begin"/>
      </w:r>
      <w:r>
        <w:instrText xml:space="preserve"> HYPERLINK "https://baike.baidu.com/item/%E5%86%85%E9%83%A8%E6%8E%A7%E5%88%B6/3556" \t "https://baike.baidu.com/item/%E8%A1%8C%E6%94%BF%E4%BA%8B%E4%B8%9A%E5%8D%95%E4%BD%8D%E5%86%85%E9%83%A8%E6%8E%A7%E5%88%B6%E8%A7%84%E8%8C%83%EF%BC%88%E8%AF%95%E8%A1%8C%EF%BC%89/_blank" </w:instrText>
      </w:r>
      <w:r>
        <w:fldChar w:fldCharType="separate"/>
      </w:r>
      <w:r>
        <w:rPr>
          <w:rFonts w:ascii="仿宋" w:hAnsi="仿宋" w:eastAsia="仿宋"/>
          <w:kern w:val="0"/>
          <w:sz w:val="32"/>
          <w:szCs w:val="32"/>
        </w:rPr>
        <w:t>内部控制</w:t>
      </w:r>
      <w:r>
        <w:rPr>
          <w:rFonts w:ascii="仿宋" w:hAnsi="仿宋" w:eastAsia="仿宋"/>
          <w:kern w:val="0"/>
          <w:sz w:val="32"/>
          <w:szCs w:val="32"/>
        </w:rPr>
        <w:fldChar w:fldCharType="end"/>
      </w:r>
      <w:r>
        <w:rPr>
          <w:rFonts w:ascii="仿宋" w:hAnsi="仿宋" w:eastAsia="仿宋"/>
          <w:kern w:val="0"/>
          <w:sz w:val="32"/>
          <w:szCs w:val="32"/>
        </w:rPr>
        <w:t>，加强廉政风险防控机制建设，根据《</w:t>
      </w:r>
      <w:r>
        <w:fldChar w:fldCharType="begin"/>
      </w:r>
      <w:r>
        <w:instrText xml:space="preserve"> HYPERLINK "https://baike.baidu.com/item/%E4%B8%AD%E5%8D%8E%E4%BA%BA%E6%B0%91%E5%85%B1%E5%92%8C%E5%9B%BD%E4%BC%9A%E8%AE%A1%E6%B3%95/1518695" \t "https://baike.baidu.com/item/%E8%A1%8C%E6%94%BF%E4%BA%8B%E4%B8%9A%E5%8D%95%E4%BD%8D%E5%86%85%E9%83%A8%E6%8E%A7%E5%88%B6%E8%A7%84%E8%8C%83%EF%BC%88%E8%AF%95%E8%A1%8C%EF%BC%89/_blank" </w:instrText>
      </w:r>
      <w:r>
        <w:fldChar w:fldCharType="separate"/>
      </w:r>
      <w:r>
        <w:rPr>
          <w:rFonts w:ascii="仿宋" w:hAnsi="仿宋" w:eastAsia="仿宋"/>
          <w:kern w:val="0"/>
          <w:sz w:val="32"/>
          <w:szCs w:val="32"/>
        </w:rPr>
        <w:t>中华人民共和国会计法</w:t>
      </w:r>
      <w:r>
        <w:rPr>
          <w:rFonts w:ascii="仿宋" w:hAnsi="仿宋" w:eastAsia="仿宋"/>
          <w:kern w:val="0"/>
          <w:sz w:val="32"/>
          <w:szCs w:val="32"/>
        </w:rPr>
        <w:fldChar w:fldCharType="end"/>
      </w:r>
      <w:r>
        <w:rPr>
          <w:rFonts w:ascii="仿宋" w:hAnsi="仿宋" w:eastAsia="仿宋"/>
          <w:kern w:val="0"/>
          <w:sz w:val="32"/>
          <w:szCs w:val="32"/>
        </w:rPr>
        <w:t>》、《</w:t>
      </w:r>
      <w:r>
        <w:fldChar w:fldCharType="begin"/>
      </w:r>
      <w:r>
        <w:instrText xml:space="preserve"> HYPERLINK "https://baike.baidu.com/item/%E4%B8%AD%E5%8D%8E%E4%BA%BA%E6%B0%91%E5%85%B1%E5%92%8C%E5%9B%BD%E9%A2%84%E7%AE%97%E6%B3%95/1300417" \t "https://baike.baidu.com/item/%E8%A1%8C%E6%94%BF%E4%BA%8B%E4%B8%9A%E5%8D%95%E4%BD%8D%E5%86%85%E9%83%A8%E6%8E%A7%E5%88%B6%E8%A7%84%E8%8C%83%EF%BC%88%E8%AF%95%E8%A1%8C%EF%BC%89/_blank" </w:instrText>
      </w:r>
      <w:r>
        <w:fldChar w:fldCharType="separate"/>
      </w:r>
      <w:r>
        <w:rPr>
          <w:rFonts w:ascii="仿宋" w:hAnsi="仿宋" w:eastAsia="仿宋"/>
          <w:kern w:val="0"/>
          <w:sz w:val="32"/>
          <w:szCs w:val="32"/>
        </w:rPr>
        <w:t>中华人民共和国预算法</w:t>
      </w:r>
      <w:r>
        <w:rPr>
          <w:rFonts w:ascii="仿宋" w:hAnsi="仿宋" w:eastAsia="仿宋"/>
          <w:kern w:val="0"/>
          <w:sz w:val="32"/>
          <w:szCs w:val="32"/>
        </w:rPr>
        <w:fldChar w:fldCharType="end"/>
      </w:r>
      <w:r>
        <w:rPr>
          <w:rFonts w:ascii="仿宋" w:hAnsi="仿宋" w:eastAsia="仿宋"/>
          <w:kern w:val="0"/>
          <w:sz w:val="32"/>
          <w:szCs w:val="32"/>
        </w:rPr>
        <w:t>》、《行政事业单位内部控制规范（试行）》等法律法规和相关规定，我</w:t>
      </w:r>
      <w:r>
        <w:rPr>
          <w:rFonts w:hint="eastAsia" w:ascii="仿宋" w:hAnsi="仿宋" w:eastAsia="仿宋"/>
          <w:kern w:val="0"/>
          <w:sz w:val="32"/>
          <w:szCs w:val="32"/>
        </w:rPr>
        <w:t>局</w:t>
      </w:r>
      <w:r>
        <w:rPr>
          <w:rFonts w:ascii="仿宋" w:hAnsi="仿宋" w:eastAsia="仿宋"/>
          <w:kern w:val="0"/>
          <w:sz w:val="32"/>
          <w:szCs w:val="32"/>
        </w:rPr>
        <w:t>针对内部控制缺陷，制订、完善了</w:t>
      </w:r>
      <w:r>
        <w:rPr>
          <w:rFonts w:hint="eastAsia" w:ascii="仿宋" w:hAnsi="仿宋" w:eastAsia="仿宋"/>
          <w:kern w:val="0"/>
          <w:sz w:val="32"/>
          <w:szCs w:val="32"/>
        </w:rPr>
        <w:t>涉及经费支出、预决算管理、固定资产、采购 管理、工程项目管理</w:t>
      </w:r>
      <w:r>
        <w:rPr>
          <w:rFonts w:ascii="仿宋" w:hAnsi="仿宋" w:eastAsia="仿宋"/>
          <w:kern w:val="0"/>
          <w:sz w:val="32"/>
          <w:szCs w:val="32"/>
        </w:rPr>
        <w:t>等多项内部控制制度</w:t>
      </w:r>
      <w:r>
        <w:rPr>
          <w:rFonts w:hint="eastAsia" w:ascii="仿宋" w:hAnsi="仿宋" w:eastAsia="仿宋"/>
          <w:kern w:val="0"/>
          <w:sz w:val="32"/>
          <w:szCs w:val="32"/>
        </w:rPr>
        <w:t>，并在实际工作得到了较好的执行，管理水平得到了明显提升。</w:t>
      </w:r>
    </w:p>
    <w:p>
      <w:pPr>
        <w:pStyle w:val="3"/>
        <w:adjustRightInd w:val="0"/>
        <w:snapToGrid w:val="0"/>
        <w:spacing w:line="560" w:lineRule="exact"/>
        <w:ind w:firstLine="606" w:firstLineChars="192"/>
        <w:rPr>
          <w:rFonts w:ascii="仿宋" w:hAnsi="仿宋" w:eastAsia="仿宋"/>
          <w:b/>
          <w:bCs/>
          <w:sz w:val="32"/>
          <w:szCs w:val="32"/>
        </w:rPr>
      </w:pPr>
      <w:r>
        <w:rPr>
          <w:rFonts w:hint="eastAsia" w:ascii="仿宋" w:hAnsi="仿宋" w:eastAsia="仿宋" w:cs="楷体_GB2312"/>
          <w:b/>
          <w:spacing w:val="-2"/>
          <w:sz w:val="32"/>
          <w:szCs w:val="32"/>
        </w:rPr>
        <w:t>3、</w:t>
      </w:r>
      <w:r>
        <w:rPr>
          <w:rFonts w:ascii="仿宋" w:hAnsi="仿宋" w:eastAsia="仿宋"/>
          <w:b/>
          <w:bCs/>
          <w:kern w:val="0"/>
          <w:sz w:val="32"/>
          <w:szCs w:val="32"/>
        </w:rPr>
        <w:t>“三公经费”支出使用和管理情况</w:t>
      </w:r>
    </w:p>
    <w:p>
      <w:pPr>
        <w:widowControl/>
        <w:spacing w:line="600" w:lineRule="exact"/>
        <w:ind w:firstLine="614" w:firstLineChars="192"/>
        <w:jc w:val="left"/>
        <w:rPr>
          <w:rFonts w:ascii="仿宋" w:hAnsi="仿宋" w:eastAsia="仿宋" w:cs="楷体_GB2312"/>
          <w:b/>
          <w:spacing w:val="-2"/>
          <w:sz w:val="32"/>
          <w:szCs w:val="32"/>
        </w:rPr>
      </w:pPr>
      <w:r>
        <w:rPr>
          <w:rFonts w:ascii="仿宋" w:hAnsi="仿宋" w:eastAsia="仿宋"/>
          <w:color w:val="000000"/>
          <w:sz w:val="32"/>
          <w:szCs w:val="32"/>
        </w:rPr>
        <w:t>202</w:t>
      </w:r>
      <w:r>
        <w:rPr>
          <w:rFonts w:hint="eastAsia" w:ascii="仿宋" w:hAnsi="仿宋" w:eastAsia="仿宋"/>
          <w:color w:val="000000"/>
          <w:sz w:val="32"/>
          <w:szCs w:val="32"/>
        </w:rPr>
        <w:t>1</w:t>
      </w:r>
      <w:r>
        <w:rPr>
          <w:rFonts w:ascii="仿宋" w:hAnsi="仿宋" w:eastAsia="仿宋"/>
          <w:color w:val="000000"/>
          <w:sz w:val="32"/>
          <w:szCs w:val="32"/>
        </w:rPr>
        <w:t>年度“三公经费”预算数为</w:t>
      </w:r>
      <w:r>
        <w:rPr>
          <w:rFonts w:hint="eastAsia" w:ascii="仿宋" w:hAnsi="仿宋" w:eastAsia="仿宋"/>
          <w:color w:val="000000"/>
          <w:sz w:val="32"/>
          <w:szCs w:val="32"/>
          <w:lang w:val="en-US" w:eastAsia="zh-CN"/>
        </w:rPr>
        <w:t>2.52</w:t>
      </w:r>
      <w:r>
        <w:rPr>
          <w:rFonts w:ascii="仿宋" w:hAnsi="仿宋" w:eastAsia="仿宋"/>
          <w:color w:val="000000"/>
          <w:sz w:val="32"/>
          <w:szCs w:val="32"/>
        </w:rPr>
        <w:t>万元</w:t>
      </w:r>
      <w:r>
        <w:rPr>
          <w:rFonts w:hint="eastAsia" w:ascii="仿宋" w:hAnsi="仿宋" w:eastAsia="仿宋"/>
          <w:color w:val="000000"/>
          <w:sz w:val="32"/>
          <w:szCs w:val="32"/>
        </w:rPr>
        <w:t>，决算支出数为2.52万元，其中</w:t>
      </w:r>
      <w:r>
        <w:rPr>
          <w:rFonts w:hint="eastAsia" w:ascii="仿宋" w:hAnsi="仿宋" w:eastAsia="仿宋" w:cs="宋体"/>
          <w:kern w:val="0"/>
          <w:sz w:val="32"/>
          <w:szCs w:val="32"/>
        </w:rPr>
        <w:t>因公出国（境）费用0万元；公务接待费2.52万元；</w:t>
      </w:r>
      <w:r>
        <w:rPr>
          <w:rFonts w:hint="eastAsia" w:ascii="仿宋" w:hAnsi="仿宋" w:eastAsia="仿宋"/>
          <w:color w:val="000000"/>
          <w:sz w:val="32"/>
          <w:szCs w:val="32"/>
        </w:rPr>
        <w:t>公务用车</w:t>
      </w:r>
      <w:r>
        <w:rPr>
          <w:rFonts w:hint="eastAsia" w:ascii="仿宋" w:hAnsi="仿宋" w:eastAsia="仿宋" w:cs="宋体"/>
          <w:kern w:val="0"/>
          <w:sz w:val="32"/>
          <w:szCs w:val="32"/>
        </w:rPr>
        <w:t>运行维护费０万元。</w:t>
      </w:r>
    </w:p>
    <w:p>
      <w:pPr>
        <w:shd w:val="clear" w:color="auto" w:fill="FFFFFF"/>
        <w:spacing w:line="640" w:lineRule="exact"/>
        <w:ind w:firstLine="606" w:firstLineChars="192"/>
        <w:rPr>
          <w:rFonts w:ascii="仿宋" w:hAnsi="仿宋" w:eastAsia="仿宋" w:cs="楷体_GB2312"/>
          <w:b/>
          <w:spacing w:val="-2"/>
          <w:sz w:val="32"/>
          <w:szCs w:val="32"/>
        </w:rPr>
      </w:pPr>
      <w:r>
        <w:rPr>
          <w:rFonts w:hint="eastAsia" w:ascii="仿宋" w:hAnsi="仿宋" w:eastAsia="仿宋" w:cs="楷体_GB2312"/>
          <w:b/>
          <w:spacing w:val="-2"/>
          <w:sz w:val="32"/>
          <w:szCs w:val="32"/>
        </w:rPr>
        <w:t>（二）专项支出</w:t>
      </w:r>
    </w:p>
    <w:p>
      <w:pPr>
        <w:shd w:val="clear" w:color="auto" w:fill="FFFFFF"/>
        <w:spacing w:line="640" w:lineRule="exact"/>
        <w:ind w:firstLine="606" w:firstLineChars="192"/>
        <w:rPr>
          <w:rFonts w:ascii="仿宋" w:hAnsi="仿宋" w:eastAsia="仿宋"/>
          <w:b/>
          <w:spacing w:val="-2"/>
          <w:sz w:val="32"/>
          <w:szCs w:val="32"/>
        </w:rPr>
      </w:pPr>
      <w:r>
        <w:rPr>
          <w:rFonts w:hint="eastAsia" w:ascii="仿宋" w:hAnsi="仿宋" w:eastAsia="仿宋"/>
          <w:b/>
          <w:spacing w:val="-2"/>
          <w:sz w:val="32"/>
          <w:szCs w:val="32"/>
        </w:rPr>
        <w:t>1、专项资金情况</w:t>
      </w:r>
    </w:p>
    <w:p>
      <w:pPr>
        <w:shd w:val="clear" w:color="auto" w:fill="FFFFFF"/>
        <w:spacing w:line="640" w:lineRule="exact"/>
        <w:ind w:firstLine="614" w:firstLineChars="192"/>
        <w:rPr>
          <w:rFonts w:ascii="仿宋" w:hAnsi="仿宋" w:eastAsia="仿宋" w:cs="宋体"/>
          <w:kern w:val="0"/>
          <w:sz w:val="32"/>
          <w:szCs w:val="32"/>
        </w:rPr>
      </w:pPr>
      <w:r>
        <w:rPr>
          <w:rFonts w:hint="eastAsia" w:ascii="仿宋" w:hAnsi="仿宋" w:eastAsia="仿宋" w:cs="宋体"/>
          <w:kern w:val="0"/>
          <w:sz w:val="32"/>
          <w:szCs w:val="32"/>
        </w:rPr>
        <w:t>2021年项目决算支出为867.88万元，主要用于：安全隐患排查治理、应急救援、宣传教育培训、专项整治、自然灾害风险普查、安全生产“打非治违”、防汛抗旱、森林防火、举报奖励、购买意外伤害保险、隐患专家会诊等工作。</w:t>
      </w:r>
    </w:p>
    <w:p>
      <w:pPr>
        <w:adjustRightInd w:val="0"/>
        <w:snapToGrid w:val="0"/>
        <w:spacing w:line="560" w:lineRule="exact"/>
        <w:ind w:right="-87" w:firstLine="614" w:firstLineChars="192"/>
        <w:rPr>
          <w:rFonts w:ascii="仿宋" w:hAnsi="仿宋" w:eastAsia="仿宋"/>
          <w:b/>
          <w:bCs/>
          <w:sz w:val="32"/>
          <w:szCs w:val="32"/>
        </w:rPr>
      </w:pPr>
      <w:r>
        <w:rPr>
          <w:rFonts w:hint="eastAsia" w:ascii="仿宋" w:hAnsi="仿宋" w:eastAsia="仿宋"/>
          <w:b/>
          <w:bCs/>
          <w:sz w:val="32"/>
          <w:szCs w:val="32"/>
        </w:rPr>
        <w:t>2、</w:t>
      </w:r>
      <w:r>
        <w:rPr>
          <w:rFonts w:ascii="仿宋" w:hAnsi="仿宋" w:eastAsia="仿宋"/>
          <w:b/>
          <w:bCs/>
          <w:sz w:val="32"/>
          <w:szCs w:val="32"/>
        </w:rPr>
        <w:t>项目资金管理情况</w:t>
      </w:r>
    </w:p>
    <w:p>
      <w:pPr>
        <w:shd w:val="clear" w:color="auto" w:fill="FFFFFF"/>
        <w:spacing w:line="640" w:lineRule="exact"/>
        <w:ind w:firstLine="614" w:firstLineChars="192"/>
        <w:rPr>
          <w:rFonts w:ascii="仿宋" w:hAnsi="仿宋" w:eastAsia="仿宋" w:cs="宋体"/>
          <w:kern w:val="0"/>
          <w:sz w:val="32"/>
          <w:szCs w:val="32"/>
        </w:rPr>
      </w:pPr>
      <w:r>
        <w:rPr>
          <w:rFonts w:hint="eastAsia" w:ascii="仿宋" w:hAnsi="仿宋" w:eastAsia="仿宋" w:cs="宋体"/>
          <w:kern w:val="0"/>
          <w:sz w:val="32"/>
          <w:szCs w:val="32"/>
        </w:rPr>
        <w:t>我局成立了项目资金管理领导小组，严格按照国家、省、市、县相关规定和要求，制定了资金使用和管理制度，严格审核把关，纪检监察组对资金使用和管理实行日常检查监督。</w:t>
      </w:r>
    </w:p>
    <w:p>
      <w:pPr>
        <w:shd w:val="clear" w:color="auto" w:fill="FFFFFF"/>
        <w:spacing w:line="640" w:lineRule="exact"/>
        <w:ind w:firstLine="606" w:firstLineChars="192"/>
        <w:rPr>
          <w:rFonts w:ascii="仿宋" w:hAnsi="仿宋" w:eastAsia="仿宋"/>
          <w:spacing w:val="-2"/>
          <w:sz w:val="32"/>
          <w:szCs w:val="32"/>
        </w:rPr>
      </w:pPr>
      <w:r>
        <w:rPr>
          <w:rFonts w:hint="eastAsia" w:ascii="仿宋" w:hAnsi="仿宋" w:eastAsia="仿宋"/>
          <w:spacing w:val="-2"/>
          <w:sz w:val="32"/>
          <w:szCs w:val="32"/>
        </w:rPr>
        <w:t>三、部门专项组织实施情况</w:t>
      </w:r>
    </w:p>
    <w:p>
      <w:pPr>
        <w:shd w:val="clear" w:color="auto" w:fill="FFFFFF"/>
        <w:spacing w:line="640" w:lineRule="exact"/>
        <w:ind w:firstLine="606" w:firstLineChars="192"/>
        <w:rPr>
          <w:rFonts w:ascii="仿宋" w:hAnsi="仿宋" w:eastAsia="仿宋"/>
          <w:spacing w:val="-2"/>
          <w:sz w:val="32"/>
          <w:szCs w:val="32"/>
        </w:rPr>
      </w:pPr>
      <w:r>
        <w:rPr>
          <w:rFonts w:hint="eastAsia" w:ascii="仿宋" w:hAnsi="仿宋" w:eastAsia="仿宋"/>
          <w:spacing w:val="-2"/>
          <w:sz w:val="32"/>
          <w:szCs w:val="32"/>
        </w:rPr>
        <w:t>（一）专项组织情况分析，主要包括项目招投标、调整、竣工验收等情况。</w:t>
      </w:r>
    </w:p>
    <w:p>
      <w:pPr>
        <w:shd w:val="clear" w:color="auto" w:fill="FFFFFF"/>
        <w:spacing w:line="640" w:lineRule="exact"/>
        <w:ind w:firstLine="606" w:firstLineChars="192"/>
        <w:rPr>
          <w:rFonts w:ascii="仿宋" w:hAnsi="仿宋" w:eastAsia="仿宋"/>
          <w:spacing w:val="-2"/>
          <w:sz w:val="32"/>
          <w:szCs w:val="32"/>
        </w:rPr>
      </w:pPr>
      <w:r>
        <w:rPr>
          <w:rFonts w:hint="eastAsia" w:ascii="仿宋" w:hAnsi="仿宋" w:eastAsia="仿宋"/>
          <w:spacing w:val="-2"/>
          <w:sz w:val="32"/>
          <w:szCs w:val="32"/>
        </w:rPr>
        <w:t>专项资金使用管理严格按照规定，专款专用，专项管理。采购遵循公开、开平、公正的原则，程序规范。专项工作完成后，由验收小组按照合同约定，组织专业人员对所涉及的货物、工程和服务等进行验收，验收合格后办理款项支付。</w:t>
      </w:r>
    </w:p>
    <w:p>
      <w:pPr>
        <w:shd w:val="clear" w:color="auto" w:fill="FFFFFF"/>
        <w:spacing w:line="640" w:lineRule="exact"/>
        <w:ind w:firstLine="606" w:firstLineChars="192"/>
        <w:rPr>
          <w:rFonts w:ascii="仿宋" w:hAnsi="仿宋" w:eastAsia="仿宋"/>
          <w:spacing w:val="-2"/>
          <w:sz w:val="32"/>
          <w:szCs w:val="32"/>
        </w:rPr>
      </w:pPr>
      <w:r>
        <w:rPr>
          <w:rFonts w:hint="eastAsia" w:ascii="仿宋" w:hAnsi="仿宋" w:eastAsia="仿宋"/>
          <w:spacing w:val="-2"/>
          <w:sz w:val="32"/>
          <w:szCs w:val="32"/>
        </w:rPr>
        <w:t>（二）专项管理情况分析，主要包括项目管理制度建设、日常检查监督管理等情况。</w:t>
      </w:r>
    </w:p>
    <w:p>
      <w:pPr>
        <w:shd w:val="clear" w:color="auto" w:fill="FFFFFF"/>
        <w:spacing w:line="640" w:lineRule="exact"/>
        <w:ind w:firstLine="606" w:firstLineChars="192"/>
        <w:rPr>
          <w:rFonts w:ascii="仿宋" w:hAnsi="仿宋" w:eastAsia="仿宋"/>
          <w:spacing w:val="-2"/>
          <w:sz w:val="32"/>
          <w:szCs w:val="32"/>
        </w:rPr>
      </w:pPr>
      <w:r>
        <w:rPr>
          <w:rFonts w:hint="eastAsia" w:ascii="仿宋" w:hAnsi="仿宋" w:eastAsia="仿宋"/>
          <w:spacing w:val="-2"/>
          <w:sz w:val="32"/>
          <w:szCs w:val="32"/>
        </w:rPr>
        <w:t>我局建立和完善了资金管理、采购、合同、验收等制度，纪检专干负责日常检查和监督工作。</w:t>
      </w:r>
    </w:p>
    <w:p>
      <w:pPr>
        <w:shd w:val="clear" w:color="auto" w:fill="FFFFFF"/>
        <w:spacing w:line="640" w:lineRule="exact"/>
        <w:ind w:firstLine="606" w:firstLineChars="192"/>
        <w:rPr>
          <w:rFonts w:ascii="仿宋" w:hAnsi="仿宋" w:eastAsia="仿宋"/>
          <w:spacing w:val="-2"/>
          <w:sz w:val="32"/>
          <w:szCs w:val="32"/>
        </w:rPr>
      </w:pPr>
      <w:r>
        <w:rPr>
          <w:rFonts w:hint="eastAsia" w:ascii="仿宋" w:hAnsi="仿宋" w:eastAsia="仿宋"/>
          <w:spacing w:val="-2"/>
          <w:sz w:val="32"/>
          <w:szCs w:val="32"/>
        </w:rPr>
        <w:t>四、资产管理情况</w:t>
      </w:r>
    </w:p>
    <w:p>
      <w:pPr>
        <w:overflowPunct w:val="0"/>
        <w:spacing w:line="600" w:lineRule="exact"/>
        <w:ind w:firstLine="614" w:firstLineChars="192"/>
        <w:rPr>
          <w:rFonts w:ascii="仿宋" w:hAnsi="仿宋" w:eastAsia="仿宋"/>
          <w:b/>
          <w:sz w:val="32"/>
          <w:szCs w:val="32"/>
        </w:rPr>
      </w:pPr>
      <w:r>
        <w:rPr>
          <w:rFonts w:hint="eastAsia" w:ascii="仿宋" w:hAnsi="仿宋" w:eastAsia="仿宋" w:cs="楷体"/>
          <w:sz w:val="32"/>
          <w:szCs w:val="32"/>
          <w:shd w:val="clear" w:color="auto" w:fill="FFFFFF"/>
        </w:rPr>
        <w:t>我局按照《行政事业单位国有资产管理暂行办法》以及相关法律法规的规定，建立了符合要求和单位实际情况的资产管理制度和岗位责任制，强化检查和绩效考核，加强对资产安全和有效使用的控制</w:t>
      </w:r>
    </w:p>
    <w:p>
      <w:pPr>
        <w:overflowPunct w:val="0"/>
        <w:spacing w:line="600" w:lineRule="exact"/>
        <w:ind w:firstLine="614" w:firstLineChars="192"/>
        <w:rPr>
          <w:rFonts w:ascii="仿宋" w:hAnsi="仿宋" w:eastAsia="仿宋"/>
          <w:sz w:val="32"/>
          <w:szCs w:val="32"/>
        </w:rPr>
      </w:pPr>
      <w:r>
        <w:rPr>
          <w:rFonts w:hint="eastAsia" w:ascii="仿宋" w:hAnsi="仿宋" w:eastAsia="仿宋"/>
          <w:sz w:val="32"/>
          <w:szCs w:val="32"/>
        </w:rPr>
        <w:t>截止2021年12月31日，本单位资产清查数原值为3383180元，累计折旧1373842.58元，净值为2009337.42元。</w:t>
      </w:r>
    </w:p>
    <w:p>
      <w:pPr>
        <w:pStyle w:val="3"/>
        <w:spacing w:line="600" w:lineRule="exact"/>
        <w:ind w:firstLine="614" w:firstLineChars="192"/>
        <w:rPr>
          <w:rFonts w:ascii="仿宋" w:hAnsi="仿宋" w:eastAsia="仿宋"/>
          <w:sz w:val="32"/>
          <w:szCs w:val="32"/>
        </w:rPr>
      </w:pPr>
      <w:r>
        <w:rPr>
          <w:rFonts w:hint="eastAsia" w:ascii="仿宋" w:hAnsi="仿宋" w:eastAsia="仿宋"/>
          <w:sz w:val="32"/>
          <w:szCs w:val="32"/>
        </w:rPr>
        <w:t>1. 土地（土地使用权）情况：本单位无土地。</w:t>
      </w:r>
    </w:p>
    <w:p>
      <w:pPr>
        <w:pStyle w:val="3"/>
        <w:spacing w:line="600" w:lineRule="exact"/>
        <w:ind w:firstLine="614" w:firstLineChars="192"/>
        <w:rPr>
          <w:rFonts w:ascii="仿宋" w:hAnsi="仿宋" w:eastAsia="仿宋"/>
          <w:sz w:val="32"/>
          <w:szCs w:val="32"/>
        </w:rPr>
      </w:pPr>
      <w:r>
        <w:rPr>
          <w:rFonts w:hint="eastAsia" w:ascii="仿宋" w:hAnsi="仿宋" w:eastAsia="仿宋"/>
          <w:sz w:val="32"/>
          <w:szCs w:val="32"/>
        </w:rPr>
        <w:t>2. 房屋情况（包括已投入使用的在建工程未转固定资产情况）：本单位无办公用房。</w:t>
      </w:r>
    </w:p>
    <w:p>
      <w:pPr>
        <w:pStyle w:val="3"/>
        <w:spacing w:line="600" w:lineRule="exact"/>
        <w:ind w:firstLine="614" w:firstLineChars="192"/>
        <w:rPr>
          <w:rFonts w:ascii="仿宋" w:hAnsi="仿宋" w:eastAsia="仿宋"/>
          <w:sz w:val="32"/>
          <w:szCs w:val="32"/>
        </w:rPr>
      </w:pPr>
      <w:r>
        <w:rPr>
          <w:rFonts w:hint="eastAsia" w:ascii="仿宋" w:hAnsi="仿宋" w:eastAsia="仿宋"/>
          <w:sz w:val="32"/>
          <w:szCs w:val="32"/>
        </w:rPr>
        <w:t>3. 车辆情况：本单位1台车辆，原值为65548元，净值为0元。</w:t>
      </w:r>
    </w:p>
    <w:p>
      <w:pPr>
        <w:pStyle w:val="3"/>
        <w:spacing w:line="600" w:lineRule="exact"/>
        <w:ind w:firstLine="614" w:firstLineChars="192"/>
        <w:rPr>
          <w:rFonts w:ascii="仿宋" w:hAnsi="仿宋" w:eastAsia="仿宋"/>
          <w:sz w:val="32"/>
          <w:szCs w:val="32"/>
        </w:rPr>
      </w:pPr>
      <w:r>
        <w:rPr>
          <w:rFonts w:hint="eastAsia" w:ascii="仿宋" w:hAnsi="仿宋" w:eastAsia="仿宋"/>
          <w:sz w:val="32"/>
          <w:szCs w:val="32"/>
        </w:rPr>
        <w:t>4、其他固定资产、无形资产情况：本单位其他固定资产为通用设备原值1857473元、累计折旧619732.79元、净值1237740.21元；专用设备原值561230元，累计折旧519525.74元，净值41704.26元；家具用具类原值为898929元，累计折旧169036.05元，净值为729892.95元。</w:t>
      </w:r>
    </w:p>
    <w:p>
      <w:pPr>
        <w:pStyle w:val="3"/>
        <w:spacing w:line="600" w:lineRule="exact"/>
        <w:ind w:firstLine="614" w:firstLineChars="192"/>
        <w:rPr>
          <w:rFonts w:ascii="仿宋" w:hAnsi="仿宋" w:eastAsia="仿宋"/>
          <w:sz w:val="32"/>
          <w:szCs w:val="32"/>
        </w:rPr>
      </w:pPr>
      <w:r>
        <w:rPr>
          <w:rFonts w:hint="eastAsia" w:ascii="仿宋" w:hAnsi="仿宋" w:eastAsia="仿宋"/>
          <w:sz w:val="32"/>
          <w:szCs w:val="32"/>
        </w:rPr>
        <w:t>5. 对外投资（长期股权投资）情况：本单位无对外投资。</w:t>
      </w:r>
    </w:p>
    <w:p>
      <w:pPr>
        <w:pStyle w:val="3"/>
        <w:spacing w:line="600" w:lineRule="exact"/>
        <w:ind w:firstLine="614" w:firstLineChars="192"/>
        <w:rPr>
          <w:rFonts w:ascii="仿宋" w:hAnsi="仿宋" w:eastAsia="仿宋"/>
          <w:sz w:val="32"/>
          <w:szCs w:val="32"/>
        </w:rPr>
      </w:pPr>
      <w:r>
        <w:rPr>
          <w:rFonts w:hint="eastAsia" w:ascii="仿宋" w:hAnsi="仿宋" w:eastAsia="仿宋"/>
          <w:sz w:val="32"/>
          <w:szCs w:val="32"/>
        </w:rPr>
        <w:t>6. 国有资产出租情况：无。</w:t>
      </w:r>
    </w:p>
    <w:p>
      <w:pPr>
        <w:shd w:val="clear" w:color="auto" w:fill="FFFFFF"/>
        <w:spacing w:line="640" w:lineRule="exact"/>
        <w:ind w:firstLine="606" w:firstLineChars="192"/>
        <w:rPr>
          <w:rFonts w:ascii="仿宋" w:hAnsi="仿宋" w:eastAsia="仿宋"/>
          <w:spacing w:val="-2"/>
          <w:sz w:val="32"/>
          <w:szCs w:val="32"/>
        </w:rPr>
      </w:pPr>
      <w:r>
        <w:rPr>
          <w:rFonts w:hint="eastAsia" w:ascii="仿宋" w:hAnsi="仿宋" w:eastAsia="仿宋"/>
          <w:spacing w:val="-2"/>
          <w:sz w:val="32"/>
          <w:szCs w:val="32"/>
        </w:rPr>
        <w:t>五、部门整体支出绩效情况</w:t>
      </w:r>
    </w:p>
    <w:p>
      <w:pPr>
        <w:adjustRightInd w:val="0"/>
        <w:snapToGrid w:val="0"/>
        <w:spacing w:line="600" w:lineRule="exact"/>
        <w:ind w:firstLine="614" w:firstLineChars="192"/>
        <w:rPr>
          <w:rFonts w:ascii="仿宋" w:hAnsi="仿宋" w:eastAsia="仿宋" w:cs="方正小标宋简体"/>
          <w:sz w:val="32"/>
          <w:szCs w:val="32"/>
        </w:rPr>
      </w:pPr>
      <w:r>
        <w:rPr>
          <w:rFonts w:hint="eastAsia" w:ascii="仿宋" w:hAnsi="仿宋" w:eastAsia="仿宋"/>
          <w:sz w:val="32"/>
          <w:szCs w:val="32"/>
          <w:shd w:val="clear" w:color="auto" w:fill="FFFFFF"/>
        </w:rPr>
        <w:t>2021年，我局始终坚持以习近平总书记新时代中国特色社会主义思想为指导，认真贯彻落实县委、县政府决策部署，牢牢守住安全生产基本盘，积极推进自然灾害防治“两个坚持”“三个转变”。以机构改革为契机，大力加强应急管理体系和能力建设，有力防范化解重大安全风险，有效应对处置各类灾害事故。</w:t>
      </w:r>
      <w:r>
        <w:rPr>
          <w:rFonts w:hint="eastAsia" w:ascii="仿宋" w:hAnsi="仿宋" w:eastAsia="仿宋"/>
          <w:sz w:val="32"/>
          <w:szCs w:val="32"/>
        </w:rPr>
        <w:t>今年来全县未发生较大以上安全生产事故，未发生影响人民群众生命财产安全的突出应急事件，全县安全形势持续向好。</w:t>
      </w:r>
    </w:p>
    <w:p>
      <w:pPr>
        <w:autoSpaceDE w:val="0"/>
        <w:spacing w:line="600" w:lineRule="exact"/>
        <w:ind w:firstLine="614" w:firstLineChars="192"/>
        <w:rPr>
          <w:rFonts w:ascii="仿宋" w:hAnsi="仿宋" w:eastAsia="仿宋"/>
          <w:sz w:val="32"/>
          <w:szCs w:val="32"/>
        </w:rPr>
      </w:pPr>
      <w:r>
        <w:rPr>
          <w:rFonts w:hint="eastAsia" w:ascii="仿宋" w:hAnsi="仿宋" w:eastAsia="仿宋"/>
          <w:b/>
          <w:sz w:val="32"/>
          <w:szCs w:val="32"/>
        </w:rPr>
        <w:t>（一）着力防控安全生产风险。</w:t>
      </w:r>
      <w:r>
        <w:rPr>
          <w:rFonts w:hint="eastAsia" w:ascii="仿宋" w:hAnsi="仿宋" w:eastAsia="仿宋"/>
          <w:sz w:val="32"/>
          <w:szCs w:val="32"/>
        </w:rPr>
        <w:t>安全生产是基本盘，全流程落严格实“三端”闭环管理各项措施，严防安全生产风险隐患转变成事故，特别是坚决防范较大以上事故发生，防范一般事故的发生，坚决维护安全生产平稳向好态势。</w:t>
      </w:r>
      <w:r>
        <w:rPr>
          <w:rFonts w:hint="eastAsia" w:ascii="仿宋" w:hAnsi="仿宋" w:eastAsia="仿宋"/>
          <w:b/>
          <w:sz w:val="32"/>
          <w:szCs w:val="32"/>
        </w:rPr>
        <w:t>一是加强源头管控，推动隐患动态清零。</w:t>
      </w:r>
      <w:r>
        <w:rPr>
          <w:rFonts w:hint="eastAsia" w:ascii="仿宋" w:hAnsi="仿宋" w:eastAsia="仿宋"/>
          <w:color w:val="000000"/>
          <w:sz w:val="32"/>
          <w:szCs w:val="32"/>
        </w:rPr>
        <w:t>扎实深入开展安全生产专项整治三年集中攻坚和“打非治违”专项行动，持续开展矿山工贸、交通运输、建筑施工、城市燃气、危险化学品、烟花爆竹等重点行业领域安全生产隐患大排查大整治工作，强力开展岁末年初安全生产百日大会战行动。对发现的隐患一项一项地予以彻底整改。对重大隐患实行挂牌督办，严格 “一单四制”，确保隐患风险及时消除。</w:t>
      </w:r>
      <w:r>
        <w:rPr>
          <w:rFonts w:hint="eastAsia" w:ascii="仿宋" w:hAnsi="仿宋" w:eastAsia="仿宋" w:cs="仿宋_GB2312"/>
          <w:sz w:val="32"/>
          <w:szCs w:val="32"/>
        </w:rPr>
        <w:t>截至11月，全县安全生产三年行动各专题专项整治共成立检查组646个，排查隐患总数3613处，其中：一般隐患3598处、已整改3562处，重大隐患13处、已整改4处</w:t>
      </w:r>
      <w:r>
        <w:rPr>
          <w:rFonts w:hint="eastAsia" w:ascii="仿宋" w:hAnsi="仿宋" w:eastAsia="仿宋"/>
          <w:color w:val="000000"/>
          <w:sz w:val="32"/>
          <w:szCs w:val="32"/>
        </w:rPr>
        <w:t>。</w:t>
      </w:r>
      <w:r>
        <w:rPr>
          <w:rFonts w:hint="eastAsia" w:ascii="仿宋" w:hAnsi="仿宋" w:eastAsia="仿宋"/>
          <w:b/>
          <w:sz w:val="32"/>
          <w:szCs w:val="32"/>
        </w:rPr>
        <w:t>二是加强过程管理，严格监管执法。</w:t>
      </w:r>
      <w:r>
        <w:rPr>
          <w:rFonts w:hint="eastAsia" w:ascii="仿宋" w:hAnsi="仿宋" w:eastAsia="仿宋"/>
          <w:sz w:val="32"/>
          <w:szCs w:val="32"/>
        </w:rPr>
        <w:t>把安全生产专项整治三年行动贯穿安全监管全过程，始终保持打非治违高压态势，倒逼企业全面履行安全生产主体责任。截止11月底，</w:t>
      </w:r>
      <w:r>
        <w:rPr>
          <w:rFonts w:hint="eastAsia" w:ascii="仿宋" w:hAnsi="仿宋" w:eastAsia="仿宋" w:cs="仿宋_GB2312"/>
          <w:sz w:val="32"/>
          <w:szCs w:val="32"/>
        </w:rPr>
        <w:t>安全生产打非治违联合执法共计126次，发现非法违法行为801起，立案调查444起，群众举报非法违法行为7起，举报核查属实7起，兑现奖励1.9万元，经济处罚299.7145万元，责令停产整顿15家，关闭取缔15家，媒体公开曝光3起，行刑衔接移送司法3人</w:t>
      </w:r>
      <w:r>
        <w:rPr>
          <w:rFonts w:hint="eastAsia" w:ascii="仿宋" w:hAnsi="仿宋" w:eastAsia="仿宋"/>
          <w:sz w:val="32"/>
          <w:szCs w:val="32"/>
        </w:rPr>
        <w:t>。</w:t>
      </w:r>
      <w:r>
        <w:rPr>
          <w:rFonts w:hint="eastAsia" w:ascii="仿宋" w:hAnsi="仿宋" w:eastAsia="仿宋"/>
          <w:b/>
          <w:sz w:val="32"/>
          <w:szCs w:val="32"/>
        </w:rPr>
        <w:t>三是加强结果管理，推动安全责任落实。</w:t>
      </w:r>
      <w:r>
        <w:rPr>
          <w:rFonts w:hint="eastAsia" w:ascii="仿宋" w:hAnsi="仿宋" w:eastAsia="仿宋"/>
          <w:sz w:val="32"/>
          <w:szCs w:val="32"/>
        </w:rPr>
        <w:t>充分利用安全生产和消防考核指挥棒，通过严格考核并兑现奖惩，推动各乡镇各部门履行好领导责任和监管责任。出台《溆浦县安全生产和消防工作考核办法》，督促企业落实主体责任、15个安全生产专业委员会落实行业监管责任。对新型行业领域实行县政府指定和业务部门交叉监管，全县高危企业领域全部实行风险辨识管控隐患排查治理及上墙公示。开展春节、两会、“七一”、中秋国庆等特护期、节假期安全生产巡查督导，推动乡镇部门履行安全监管责任，有力保障社会安全稳定。</w:t>
      </w:r>
    </w:p>
    <w:p>
      <w:pPr>
        <w:spacing w:line="600" w:lineRule="exact"/>
        <w:ind w:firstLine="614" w:firstLineChars="192"/>
        <w:rPr>
          <w:rFonts w:ascii="仿宋" w:hAnsi="仿宋" w:eastAsia="仿宋"/>
          <w:color w:val="000000"/>
          <w:sz w:val="32"/>
          <w:szCs w:val="32"/>
        </w:rPr>
      </w:pPr>
      <w:r>
        <w:rPr>
          <w:rFonts w:hint="eastAsia" w:ascii="仿宋" w:hAnsi="仿宋" w:eastAsia="仿宋"/>
          <w:b/>
          <w:sz w:val="32"/>
          <w:szCs w:val="32"/>
        </w:rPr>
        <w:t>（二）严控自然灾害风险。</w:t>
      </w:r>
      <w:r>
        <w:rPr>
          <w:rFonts w:hint="eastAsia" w:ascii="仿宋" w:hAnsi="仿宋" w:eastAsia="仿宋"/>
          <w:color w:val="000000"/>
          <w:sz w:val="32"/>
          <w:szCs w:val="32"/>
        </w:rPr>
        <w:t>作为防汛抗旱、抗震救灾、森林防火、防灾减灾等指挥协调机构的办事机构，在县委县政府的坚强领导下，统筹协调相关部门做实做细自然灾害防治工作。</w:t>
      </w:r>
      <w:r>
        <w:rPr>
          <w:rFonts w:hint="eastAsia" w:ascii="仿宋" w:hAnsi="仿宋" w:eastAsia="仿宋"/>
          <w:b/>
          <w:color w:val="000000"/>
          <w:sz w:val="32"/>
          <w:szCs w:val="32"/>
        </w:rPr>
        <w:t>一是“综合防”。</w:t>
      </w:r>
      <w:r>
        <w:rPr>
          <w:rFonts w:hint="eastAsia" w:ascii="仿宋" w:hAnsi="仿宋" w:eastAsia="仿宋"/>
          <w:color w:val="000000"/>
          <w:sz w:val="32"/>
          <w:szCs w:val="32"/>
        </w:rPr>
        <w:t>县委、县政府、县防指领导多次主持召开全县防汛、森林防火工作调度会，分析研判、全面部署防范应对工作。及时启动应急响应，6月28日，县防指在全县启动防汛Ⅳ级应急响应；7月1日启动防汛Ⅲ级 应急响应；8月24日启动防汛Ⅳ级应急响应。各级各部门严格按照应急响应级别落实相应措施。及时预报预警。县防汛办、县森防办及时将强降雨、高温火险气象预报预警和领导指示批示及时传达给各乡镇、各相关单位，要求做好防范应对工作。全面开展全县自然灾害综合风险普查工作</w:t>
      </w:r>
      <w:r>
        <w:rPr>
          <w:rFonts w:hint="eastAsia" w:ascii="仿宋" w:hAnsi="仿宋" w:eastAsia="仿宋"/>
          <w:b/>
          <w:color w:val="000000"/>
          <w:sz w:val="32"/>
          <w:szCs w:val="32"/>
        </w:rPr>
        <w:t>。二是“牵头救”。</w:t>
      </w:r>
      <w:r>
        <w:rPr>
          <w:rFonts w:hint="eastAsia" w:ascii="仿宋" w:hAnsi="仿宋" w:eastAsia="仿宋" w:cs="宋体"/>
          <w:sz w:val="32"/>
          <w:szCs w:val="32"/>
        </w:rPr>
        <w:t xml:space="preserve"> </w:t>
      </w:r>
      <w:r>
        <w:rPr>
          <w:rFonts w:hint="eastAsia" w:ascii="仿宋" w:hAnsi="仿宋" w:eastAsia="仿宋"/>
          <w:color w:val="000000"/>
          <w:sz w:val="32"/>
          <w:szCs w:val="32"/>
        </w:rPr>
        <w:t>全县成立了438支应急救援队伍，人数达到13807人，完成了应急队伍从无到有的过程，主动做好培训，初步形成县域全覆盖、全灾种、大应急、大救援体系。整合县矿山救护队为综合救援队伍，一旦发生各类自然灾害，在党委政府的统一指挥下，发挥各救援力量救早救小，防止事故扩大。</w:t>
      </w:r>
      <w:r>
        <w:rPr>
          <w:rFonts w:hint="eastAsia" w:ascii="仿宋" w:hAnsi="仿宋" w:eastAsia="仿宋"/>
          <w:b/>
          <w:color w:val="000000"/>
          <w:sz w:val="32"/>
          <w:szCs w:val="32"/>
        </w:rPr>
        <w:t>三是“统筹助”。</w:t>
      </w:r>
      <w:r>
        <w:rPr>
          <w:rFonts w:hint="eastAsia" w:ascii="仿宋" w:hAnsi="仿宋" w:eastAsia="仿宋"/>
          <w:color w:val="000000"/>
          <w:sz w:val="32"/>
          <w:szCs w:val="32"/>
        </w:rPr>
        <w:t>根据我县实际，认真分析各类自然灾害发生的可能性，投入资金461万元，完成了备灾点物资采购和配发工作，保障了应急工作所需；新建救灾物资储备仓库建设。目前，救灾物资储备仓库建设已经完成，并即将投入使用，投入使用后，将大大提升我县应急救灾物资储备能力；积极与企业签订了应急物资采购协议，确保难保存、易变质的生活救助物资供应充足；，启动91户因灾倒损房屋恢复重建户（其中新建10户，修缮81户）。</w:t>
      </w:r>
    </w:p>
    <w:p>
      <w:pPr>
        <w:spacing w:line="600" w:lineRule="exact"/>
        <w:ind w:firstLine="614" w:firstLineChars="192"/>
        <w:textAlignment w:val="baseline"/>
        <w:rPr>
          <w:rFonts w:ascii="仿宋" w:hAnsi="仿宋" w:eastAsia="仿宋"/>
          <w:bCs/>
          <w:sz w:val="32"/>
          <w:szCs w:val="32"/>
        </w:rPr>
      </w:pPr>
      <w:r>
        <w:rPr>
          <w:rFonts w:hint="eastAsia" w:ascii="仿宋" w:hAnsi="仿宋" w:eastAsia="仿宋"/>
          <w:b/>
          <w:sz w:val="32"/>
          <w:szCs w:val="32"/>
        </w:rPr>
        <w:t>（三）着力提升</w:t>
      </w:r>
      <w:r>
        <w:rPr>
          <w:rFonts w:ascii="仿宋" w:hAnsi="仿宋" w:eastAsia="仿宋"/>
          <w:b/>
          <w:sz w:val="32"/>
          <w:szCs w:val="32"/>
        </w:rPr>
        <w:t>应急救援能力</w:t>
      </w:r>
      <w:r>
        <w:rPr>
          <w:rFonts w:hint="eastAsia" w:ascii="仿宋" w:hAnsi="仿宋" w:eastAsia="仿宋"/>
          <w:b/>
          <w:sz w:val="32"/>
          <w:szCs w:val="32"/>
        </w:rPr>
        <w:t>。</w:t>
      </w:r>
      <w:r>
        <w:rPr>
          <w:rFonts w:ascii="仿宋" w:hAnsi="仿宋" w:eastAsia="仿宋"/>
          <w:b/>
          <w:bCs/>
          <w:sz w:val="32"/>
          <w:szCs w:val="32"/>
        </w:rPr>
        <w:t>一是完善应急预案修订。</w:t>
      </w:r>
      <w:r>
        <w:rPr>
          <w:rFonts w:ascii="仿宋" w:hAnsi="仿宋" w:eastAsia="仿宋"/>
          <w:bCs/>
          <w:sz w:val="32"/>
          <w:szCs w:val="32"/>
        </w:rPr>
        <w:t>积极推进《溆浦县突发事件总体应急预案》《溆浦县防汛应急预案》《溆浦县森林火灾应急预案》等11部应急预案的修订工作。</w:t>
      </w:r>
      <w:r>
        <w:rPr>
          <w:rFonts w:ascii="仿宋" w:hAnsi="仿宋" w:eastAsia="仿宋"/>
          <w:b/>
          <w:bCs/>
          <w:sz w:val="32"/>
          <w:szCs w:val="32"/>
        </w:rPr>
        <w:t>二是加强应急救援队伍建设。</w:t>
      </w:r>
      <w:r>
        <w:rPr>
          <w:rFonts w:ascii="仿宋" w:hAnsi="仿宋" w:eastAsia="仿宋"/>
          <w:bCs/>
          <w:sz w:val="32"/>
          <w:szCs w:val="32"/>
        </w:rPr>
        <w:t>以安委办文件出台了《关于修订编制专业领域生产安全事故应急预案的通知》，加强综合、专业应急队伍</w:t>
      </w:r>
      <w:r>
        <w:rPr>
          <w:rFonts w:hint="eastAsia" w:ascii="仿宋" w:hAnsi="仿宋" w:eastAsia="仿宋"/>
          <w:bCs/>
          <w:sz w:val="32"/>
          <w:szCs w:val="32"/>
        </w:rPr>
        <w:t>建设</w:t>
      </w:r>
      <w:r>
        <w:rPr>
          <w:rFonts w:ascii="仿宋" w:hAnsi="仿宋" w:eastAsia="仿宋"/>
          <w:bCs/>
          <w:sz w:val="32"/>
          <w:szCs w:val="32"/>
        </w:rPr>
        <w:t>的同时，基层按照每个乡镇不少于100人、每个行政村不少于30人的标准，完善应急小分队，在册1.38万余人。</w:t>
      </w:r>
      <w:r>
        <w:rPr>
          <w:rFonts w:ascii="仿宋" w:hAnsi="仿宋" w:eastAsia="仿宋"/>
          <w:b/>
          <w:bCs/>
          <w:sz w:val="32"/>
          <w:szCs w:val="32"/>
        </w:rPr>
        <w:t>三是积极开展应急演练。</w:t>
      </w:r>
      <w:r>
        <w:rPr>
          <w:rFonts w:ascii="仿宋" w:hAnsi="仿宋" w:eastAsia="仿宋"/>
          <w:bCs/>
          <w:sz w:val="32"/>
          <w:szCs w:val="32"/>
        </w:rPr>
        <w:t>积极开展综合性应急救援演练活动。今年5月10日</w:t>
      </w:r>
      <w:r>
        <w:rPr>
          <w:rFonts w:hint="eastAsia" w:ascii="仿宋" w:hAnsi="仿宋" w:eastAsia="仿宋"/>
          <w:bCs/>
          <w:sz w:val="32"/>
          <w:szCs w:val="32"/>
        </w:rPr>
        <w:t>承担了</w:t>
      </w:r>
      <w:r>
        <w:rPr>
          <w:rFonts w:ascii="仿宋" w:hAnsi="仿宋" w:eastAsia="仿宋"/>
          <w:bCs/>
          <w:sz w:val="32"/>
          <w:szCs w:val="32"/>
        </w:rPr>
        <w:t>在我县大江口镇开展的怀化市2021年防汛总动员暨防汛抗灾演练，市委书记、市长现场观摩，500余人参演，各县、乡、村防汛相关人员4500余人在县、乡分会场观摩，市电视台全程直播。</w:t>
      </w:r>
    </w:p>
    <w:p>
      <w:pPr>
        <w:spacing w:line="600" w:lineRule="exact"/>
        <w:ind w:firstLine="614" w:firstLineChars="192"/>
        <w:textAlignment w:val="baseline"/>
        <w:rPr>
          <w:rFonts w:ascii="仿宋" w:hAnsi="仿宋" w:eastAsia="仿宋"/>
          <w:bCs/>
          <w:sz w:val="32"/>
          <w:szCs w:val="32"/>
        </w:rPr>
      </w:pPr>
      <w:r>
        <w:rPr>
          <w:rFonts w:hint="eastAsia" w:ascii="仿宋" w:hAnsi="仿宋" w:eastAsia="仿宋"/>
          <w:b/>
          <w:sz w:val="32"/>
          <w:szCs w:val="32"/>
        </w:rPr>
        <w:t>（四）全面夯实基层基础。</w:t>
      </w:r>
      <w:r>
        <w:rPr>
          <w:rFonts w:ascii="仿宋" w:hAnsi="仿宋" w:eastAsia="仿宋"/>
          <w:bCs/>
          <w:sz w:val="32"/>
          <w:szCs w:val="32"/>
        </w:rPr>
        <w:t>以实施“双延伸”为抓手，全力推进基层应急能力建设。</w:t>
      </w:r>
      <w:r>
        <w:rPr>
          <w:rFonts w:ascii="仿宋" w:hAnsi="仿宋" w:eastAsia="仿宋"/>
          <w:b/>
          <w:bCs/>
          <w:sz w:val="32"/>
          <w:szCs w:val="32"/>
        </w:rPr>
        <w:t>一方面，推动应急管理机构向基层延伸，</w:t>
      </w:r>
      <w:r>
        <w:rPr>
          <w:rFonts w:ascii="仿宋" w:hAnsi="仿宋" w:eastAsia="仿宋"/>
          <w:bCs/>
          <w:sz w:val="32"/>
          <w:szCs w:val="32"/>
        </w:rPr>
        <w:t>开展乡、村应急能力建设工作，我县应急能力第一批建设的9个乡镇（卢锋镇、大江口镇、低庄镇、祖师殿镇、油洋乡、水东镇、北斗溪镇、龙潭镇、黄茅园镇）均通过省市验收达标。第二批10个乡镇（申报乡镇为：观音阁镇、双井镇、桥江镇、三江镇、统溪河镇、沿溪乡、葛竹坪、龙庄湾乡、深子湖镇、两丫坪镇）也已基本达标，</w:t>
      </w:r>
      <w:r>
        <w:rPr>
          <w:rFonts w:hint="eastAsia" w:ascii="仿宋" w:hAnsi="仿宋" w:eastAsia="仿宋"/>
          <w:bCs/>
          <w:sz w:val="32"/>
          <w:szCs w:val="32"/>
        </w:rPr>
        <w:t>已通过市级验收，等待省级核查</w:t>
      </w:r>
      <w:r>
        <w:rPr>
          <w:rFonts w:ascii="仿宋" w:hAnsi="仿宋" w:eastAsia="仿宋"/>
          <w:bCs/>
          <w:sz w:val="32"/>
          <w:szCs w:val="32"/>
        </w:rPr>
        <w:t>。</w:t>
      </w:r>
      <w:r>
        <w:rPr>
          <w:rFonts w:ascii="仿宋" w:hAnsi="仿宋" w:eastAsia="仿宋"/>
          <w:b/>
          <w:bCs/>
          <w:sz w:val="32"/>
          <w:szCs w:val="32"/>
        </w:rPr>
        <w:t>另一方面，推动应急指挥调度会商系统向基层延伸。</w:t>
      </w:r>
      <w:r>
        <w:rPr>
          <w:rFonts w:ascii="仿宋" w:hAnsi="仿宋" w:eastAsia="仿宋"/>
          <w:bCs/>
          <w:sz w:val="32"/>
          <w:szCs w:val="32"/>
        </w:rPr>
        <w:t>我县率先完成智慧城市网络平台建设，将应急指挥调度系统延伸到全县25个乡镇，实现任意点对点、点对多点的视频指挥调度，实现“一竿子”插到底。</w:t>
      </w:r>
    </w:p>
    <w:p>
      <w:pPr>
        <w:pStyle w:val="7"/>
        <w:shd w:val="clear" w:color="auto" w:fill="FFFFFF"/>
        <w:adjustRightInd w:val="0"/>
        <w:snapToGrid w:val="0"/>
        <w:spacing w:before="0" w:beforeAutospacing="0" w:after="0" w:afterAutospacing="0" w:line="560" w:lineRule="exact"/>
        <w:ind w:firstLine="614" w:firstLineChars="192"/>
        <w:jc w:val="both"/>
        <w:rPr>
          <w:rFonts w:ascii="仿宋" w:hAnsi="仿宋" w:eastAsia="仿宋" w:cs="仿宋_GB2312"/>
          <w:sz w:val="32"/>
          <w:szCs w:val="32"/>
        </w:rPr>
      </w:pPr>
      <w:r>
        <w:rPr>
          <w:rFonts w:hint="eastAsia" w:ascii="仿宋" w:hAnsi="仿宋" w:eastAsia="仿宋"/>
          <w:b/>
          <w:sz w:val="32"/>
          <w:szCs w:val="32"/>
        </w:rPr>
        <w:t>(五)持续强化应急意识。</w:t>
      </w:r>
      <w:r>
        <w:rPr>
          <w:rFonts w:hint="eastAsia" w:ascii="仿宋" w:hAnsi="仿宋" w:eastAsia="仿宋"/>
          <w:sz w:val="32"/>
          <w:szCs w:val="32"/>
        </w:rPr>
        <w:t>深入宣传贯彻新《安全生产法》，</w:t>
      </w:r>
      <w:r>
        <w:rPr>
          <w:rFonts w:hint="eastAsia" w:ascii="仿宋" w:hAnsi="仿宋" w:eastAsia="仿宋" w:cs="仿宋_GB2312"/>
          <w:sz w:val="32"/>
          <w:szCs w:val="32"/>
        </w:rPr>
        <w:t>先后3次组织全县各级各部门集中参加《</w:t>
      </w:r>
      <w:r>
        <w:rPr>
          <w:rFonts w:hint="eastAsia" w:ascii="仿宋" w:hAnsi="仿宋" w:eastAsia="仿宋"/>
          <w:sz w:val="32"/>
          <w:szCs w:val="32"/>
        </w:rPr>
        <w:t>安全生产法</w:t>
      </w:r>
      <w:r>
        <w:rPr>
          <w:rFonts w:hint="eastAsia" w:ascii="仿宋" w:hAnsi="仿宋" w:eastAsia="仿宋" w:cs="仿宋_GB2312"/>
          <w:sz w:val="32"/>
          <w:szCs w:val="32"/>
        </w:rPr>
        <w:t>》专题培训，并邀请省应急管理厅专家程爱宝来溆对新《安全生产法》进行专题辅导。创新宣传方式，充分利用网络、宣传车、电子屏、宣传册等载体进行不间断宣传，共发放《安全生产法》读本、挂图、折页等资料20000余册。积极参加省“最美应急人”演讲比赛，我县石博文代表怀化市在比赛中荣获二等奖。积极开展应急普法教育，我县74531人参加应急普法测试，人均活力值达11100.2，排名全市第一。</w:t>
      </w:r>
    </w:p>
    <w:p>
      <w:pPr>
        <w:shd w:val="clear" w:color="auto" w:fill="FFFFFF"/>
        <w:spacing w:line="640" w:lineRule="exact"/>
        <w:ind w:firstLine="606" w:firstLineChars="192"/>
        <w:rPr>
          <w:rFonts w:ascii="仿宋" w:hAnsi="仿宋" w:eastAsia="仿宋"/>
          <w:spacing w:val="-2"/>
          <w:sz w:val="32"/>
          <w:szCs w:val="32"/>
        </w:rPr>
      </w:pPr>
      <w:r>
        <w:rPr>
          <w:rFonts w:hint="eastAsia" w:ascii="仿宋" w:hAnsi="仿宋" w:eastAsia="仿宋"/>
          <w:spacing w:val="-2"/>
          <w:sz w:val="32"/>
          <w:szCs w:val="32"/>
        </w:rPr>
        <w:t>六、存在的主要问题</w:t>
      </w:r>
    </w:p>
    <w:p>
      <w:pPr>
        <w:spacing w:line="600" w:lineRule="exact"/>
        <w:ind w:firstLine="614" w:firstLineChars="192"/>
        <w:textAlignment w:val="baseline"/>
        <w:rPr>
          <w:rFonts w:ascii="仿宋" w:hAnsi="仿宋" w:eastAsia="仿宋"/>
          <w:bCs/>
          <w:sz w:val="32"/>
          <w:szCs w:val="32"/>
        </w:rPr>
      </w:pPr>
      <w:r>
        <w:rPr>
          <w:rFonts w:hint="eastAsia" w:ascii="仿宋" w:hAnsi="仿宋" w:eastAsia="仿宋"/>
          <w:b/>
          <w:sz w:val="32"/>
          <w:szCs w:val="32"/>
        </w:rPr>
        <w:t>（一）</w:t>
      </w:r>
      <w:r>
        <w:rPr>
          <w:rFonts w:ascii="仿宋" w:hAnsi="仿宋" w:eastAsia="仿宋"/>
          <w:b/>
          <w:sz w:val="32"/>
          <w:szCs w:val="32"/>
        </w:rPr>
        <w:t>安全生产基础</w:t>
      </w:r>
      <w:r>
        <w:rPr>
          <w:rFonts w:hint="eastAsia" w:ascii="仿宋" w:hAnsi="仿宋" w:eastAsia="仿宋"/>
          <w:b/>
          <w:sz w:val="32"/>
          <w:szCs w:val="32"/>
        </w:rPr>
        <w:t>较</w:t>
      </w:r>
      <w:r>
        <w:rPr>
          <w:rFonts w:ascii="仿宋" w:hAnsi="仿宋" w:eastAsia="仿宋"/>
          <w:b/>
          <w:sz w:val="32"/>
          <w:szCs w:val="32"/>
        </w:rPr>
        <w:t>薄弱。</w:t>
      </w:r>
      <w:r>
        <w:rPr>
          <w:rFonts w:ascii="仿宋" w:hAnsi="仿宋" w:eastAsia="仿宋"/>
          <w:bCs/>
          <w:sz w:val="32"/>
          <w:szCs w:val="32"/>
        </w:rPr>
        <w:t>安全防范责任和措施还需进一步加强，在安全生产责任体系、监管体系、法规体系、防控体系等保障体系等方面还存在短板和漏洞。</w:t>
      </w:r>
    </w:p>
    <w:p>
      <w:pPr>
        <w:spacing w:line="600" w:lineRule="exact"/>
        <w:ind w:firstLine="614" w:firstLineChars="192"/>
        <w:textAlignment w:val="baseline"/>
        <w:rPr>
          <w:rFonts w:ascii="仿宋" w:hAnsi="仿宋" w:eastAsia="仿宋"/>
          <w:bCs/>
          <w:sz w:val="32"/>
          <w:szCs w:val="32"/>
        </w:rPr>
      </w:pPr>
      <w:r>
        <w:rPr>
          <w:rFonts w:hint="eastAsia" w:ascii="仿宋" w:hAnsi="仿宋" w:eastAsia="仿宋"/>
          <w:b/>
          <w:sz w:val="32"/>
          <w:szCs w:val="32"/>
        </w:rPr>
        <w:t>（二）</w:t>
      </w:r>
      <w:r>
        <w:rPr>
          <w:rFonts w:ascii="仿宋" w:hAnsi="仿宋" w:eastAsia="仿宋"/>
          <w:b/>
          <w:sz w:val="32"/>
          <w:szCs w:val="32"/>
        </w:rPr>
        <w:t>应急能力</w:t>
      </w:r>
      <w:r>
        <w:rPr>
          <w:rFonts w:hint="eastAsia" w:ascii="仿宋" w:hAnsi="仿宋" w:eastAsia="仿宋"/>
          <w:b/>
          <w:sz w:val="32"/>
          <w:szCs w:val="32"/>
        </w:rPr>
        <w:t>建设待加强</w:t>
      </w:r>
      <w:r>
        <w:rPr>
          <w:rFonts w:ascii="仿宋" w:hAnsi="仿宋" w:eastAsia="仿宋"/>
          <w:b/>
          <w:sz w:val="32"/>
          <w:szCs w:val="32"/>
        </w:rPr>
        <w:t>。</w:t>
      </w:r>
      <w:r>
        <w:rPr>
          <w:rFonts w:ascii="仿宋" w:hAnsi="仿宋" w:eastAsia="仿宋"/>
          <w:bCs/>
          <w:sz w:val="32"/>
          <w:szCs w:val="32"/>
        </w:rPr>
        <w:t>部分</w:t>
      </w:r>
      <w:r>
        <w:rPr>
          <w:rFonts w:hint="eastAsia" w:ascii="仿宋" w:hAnsi="仿宋" w:eastAsia="仿宋"/>
          <w:bCs/>
          <w:sz w:val="32"/>
          <w:szCs w:val="32"/>
        </w:rPr>
        <w:t>部门和乡镇</w:t>
      </w:r>
      <w:r>
        <w:rPr>
          <w:rFonts w:ascii="仿宋" w:hAnsi="仿宋" w:eastAsia="仿宋"/>
          <w:bCs/>
          <w:sz w:val="32"/>
          <w:szCs w:val="32"/>
        </w:rPr>
        <w:t>安全监管</w:t>
      </w:r>
      <w:r>
        <w:rPr>
          <w:rFonts w:hint="eastAsia" w:ascii="仿宋" w:hAnsi="仿宋" w:eastAsia="仿宋"/>
          <w:bCs/>
          <w:sz w:val="32"/>
          <w:szCs w:val="32"/>
        </w:rPr>
        <w:t>在</w:t>
      </w:r>
      <w:r>
        <w:rPr>
          <w:rFonts w:ascii="仿宋" w:hAnsi="仿宋" w:eastAsia="仿宋"/>
          <w:bCs/>
          <w:sz w:val="32"/>
          <w:szCs w:val="32"/>
        </w:rPr>
        <w:t>思想认识、责任落实、工作推进上存在偏差，在人员力量充实、</w:t>
      </w:r>
      <w:r>
        <w:rPr>
          <w:rFonts w:hint="eastAsia" w:ascii="仿宋" w:hAnsi="仿宋" w:eastAsia="仿宋"/>
          <w:bCs/>
          <w:sz w:val="32"/>
          <w:szCs w:val="32"/>
        </w:rPr>
        <w:t>专业化人才、</w:t>
      </w:r>
      <w:r>
        <w:rPr>
          <w:rFonts w:ascii="仿宋" w:hAnsi="仿宋" w:eastAsia="仿宋"/>
          <w:bCs/>
          <w:sz w:val="32"/>
          <w:szCs w:val="32"/>
        </w:rPr>
        <w:t>信息化建设、应急能力提升等方面还有待加强。</w:t>
      </w:r>
    </w:p>
    <w:p>
      <w:pPr>
        <w:spacing w:line="600" w:lineRule="exact"/>
        <w:ind w:firstLine="614" w:firstLineChars="192"/>
        <w:textAlignment w:val="baseline"/>
        <w:rPr>
          <w:rFonts w:ascii="仿宋" w:hAnsi="仿宋" w:eastAsia="仿宋"/>
          <w:bCs/>
          <w:sz w:val="32"/>
          <w:szCs w:val="32"/>
        </w:rPr>
      </w:pPr>
      <w:r>
        <w:rPr>
          <w:rFonts w:hint="eastAsia" w:ascii="仿宋" w:hAnsi="仿宋" w:eastAsia="仿宋"/>
          <w:b/>
          <w:sz w:val="32"/>
          <w:szCs w:val="32"/>
        </w:rPr>
        <w:t>（三）</w:t>
      </w:r>
      <w:r>
        <w:rPr>
          <w:rFonts w:ascii="仿宋" w:hAnsi="仿宋" w:eastAsia="仿宋"/>
          <w:b/>
          <w:sz w:val="32"/>
          <w:szCs w:val="32"/>
        </w:rPr>
        <w:t>应急</w:t>
      </w:r>
      <w:r>
        <w:rPr>
          <w:rFonts w:hint="eastAsia" w:ascii="仿宋" w:hAnsi="仿宋" w:eastAsia="仿宋"/>
          <w:b/>
          <w:sz w:val="32"/>
          <w:szCs w:val="32"/>
        </w:rPr>
        <w:t>工作保障不足</w:t>
      </w:r>
      <w:r>
        <w:rPr>
          <w:rFonts w:ascii="仿宋" w:hAnsi="仿宋" w:eastAsia="仿宋"/>
          <w:b/>
          <w:sz w:val="32"/>
          <w:szCs w:val="32"/>
        </w:rPr>
        <w:t>。</w:t>
      </w:r>
      <w:r>
        <w:rPr>
          <w:rFonts w:ascii="仿宋" w:hAnsi="仿宋" w:eastAsia="仿宋"/>
          <w:bCs/>
          <w:sz w:val="32"/>
          <w:szCs w:val="32"/>
        </w:rPr>
        <w:t>应急管理部门任务急、难、险、重，工作上存在高强度、高压力、高风险，低待遇的情况，基层应急人员缺乏职业认同感，工作热情不高、动力不足依然存在。</w:t>
      </w:r>
    </w:p>
    <w:p>
      <w:pPr>
        <w:pStyle w:val="3"/>
        <w:adjustRightInd w:val="0"/>
        <w:snapToGrid w:val="0"/>
        <w:spacing w:line="560" w:lineRule="exact"/>
        <w:ind w:firstLine="606" w:firstLineChars="192"/>
        <w:rPr>
          <w:rFonts w:ascii="仿宋" w:hAnsi="仿宋" w:eastAsia="仿宋"/>
          <w:spacing w:val="-2"/>
          <w:sz w:val="32"/>
          <w:szCs w:val="32"/>
        </w:rPr>
      </w:pPr>
      <w:r>
        <w:rPr>
          <w:rFonts w:hint="eastAsia" w:ascii="仿宋" w:hAnsi="仿宋" w:eastAsia="仿宋"/>
          <w:spacing w:val="-2"/>
          <w:sz w:val="32"/>
          <w:szCs w:val="32"/>
        </w:rPr>
        <w:t>七、有关建议</w:t>
      </w:r>
    </w:p>
    <w:p>
      <w:pPr>
        <w:pStyle w:val="3"/>
        <w:adjustRightInd w:val="0"/>
        <w:snapToGrid w:val="0"/>
        <w:spacing w:line="560" w:lineRule="exact"/>
        <w:ind w:firstLine="614" w:firstLineChars="192"/>
        <w:rPr>
          <w:rFonts w:ascii="仿宋" w:hAnsi="仿宋" w:eastAsia="仿宋"/>
          <w:sz w:val="32"/>
          <w:szCs w:val="32"/>
        </w:rPr>
      </w:pPr>
      <w:r>
        <w:rPr>
          <w:rFonts w:ascii="仿宋" w:hAnsi="仿宋" w:eastAsia="仿宋"/>
          <w:sz w:val="32"/>
          <w:szCs w:val="32"/>
        </w:rPr>
        <w:t>加大专项资金投入力度，多方位、多举措确保应急能力建设，进一步突出“从注重灾后救助向注重灾前预防转变、从减少灾害损失向减轻灾害风险转变”的工作理念，全面提升全社会抵御自然灾害的综合防范能力。</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AzNjA4ZmU3NTQ0MzI3NGQ0NGRkOWMxYThhZjBkMjcifQ=="/>
  </w:docVars>
  <w:rsids>
    <w:rsidRoot w:val="004506F9"/>
    <w:rsid w:val="0002229B"/>
    <w:rsid w:val="000273BD"/>
    <w:rsid w:val="000376C4"/>
    <w:rsid w:val="000415B7"/>
    <w:rsid w:val="00041E3F"/>
    <w:rsid w:val="00044D29"/>
    <w:rsid w:val="00044E4D"/>
    <w:rsid w:val="00046871"/>
    <w:rsid w:val="00055DAA"/>
    <w:rsid w:val="00061F7B"/>
    <w:rsid w:val="000658A3"/>
    <w:rsid w:val="000712BA"/>
    <w:rsid w:val="00074155"/>
    <w:rsid w:val="000873EF"/>
    <w:rsid w:val="00091EBA"/>
    <w:rsid w:val="00095F4C"/>
    <w:rsid w:val="000A3F69"/>
    <w:rsid w:val="000C6458"/>
    <w:rsid w:val="000E00BD"/>
    <w:rsid w:val="00103957"/>
    <w:rsid w:val="00124A1F"/>
    <w:rsid w:val="00152C6D"/>
    <w:rsid w:val="00155736"/>
    <w:rsid w:val="00162D39"/>
    <w:rsid w:val="001678BD"/>
    <w:rsid w:val="00182373"/>
    <w:rsid w:val="001A67DB"/>
    <w:rsid w:val="001A6999"/>
    <w:rsid w:val="001C3C29"/>
    <w:rsid w:val="001D51E5"/>
    <w:rsid w:val="001E080D"/>
    <w:rsid w:val="001E53D0"/>
    <w:rsid w:val="001F0C3B"/>
    <w:rsid w:val="001F3931"/>
    <w:rsid w:val="001F5358"/>
    <w:rsid w:val="00202C14"/>
    <w:rsid w:val="00202C82"/>
    <w:rsid w:val="00214427"/>
    <w:rsid w:val="00226CB7"/>
    <w:rsid w:val="00264552"/>
    <w:rsid w:val="00264EF9"/>
    <w:rsid w:val="00265724"/>
    <w:rsid w:val="0027426B"/>
    <w:rsid w:val="002C04EB"/>
    <w:rsid w:val="002E0A30"/>
    <w:rsid w:val="003130C4"/>
    <w:rsid w:val="00314D4C"/>
    <w:rsid w:val="00316C4B"/>
    <w:rsid w:val="0032192B"/>
    <w:rsid w:val="00344A66"/>
    <w:rsid w:val="00345D80"/>
    <w:rsid w:val="003479BD"/>
    <w:rsid w:val="00367E29"/>
    <w:rsid w:val="0037197D"/>
    <w:rsid w:val="003768D5"/>
    <w:rsid w:val="00386E67"/>
    <w:rsid w:val="003A4048"/>
    <w:rsid w:val="003C4197"/>
    <w:rsid w:val="003C47E6"/>
    <w:rsid w:val="003C4FC2"/>
    <w:rsid w:val="003E2331"/>
    <w:rsid w:val="00416E61"/>
    <w:rsid w:val="0042790C"/>
    <w:rsid w:val="004506F9"/>
    <w:rsid w:val="00464598"/>
    <w:rsid w:val="004717A2"/>
    <w:rsid w:val="00473325"/>
    <w:rsid w:val="00473DF3"/>
    <w:rsid w:val="004758AF"/>
    <w:rsid w:val="00487911"/>
    <w:rsid w:val="00491741"/>
    <w:rsid w:val="004B0CEE"/>
    <w:rsid w:val="00500E5F"/>
    <w:rsid w:val="005122EF"/>
    <w:rsid w:val="0051441A"/>
    <w:rsid w:val="00517C33"/>
    <w:rsid w:val="00517D5F"/>
    <w:rsid w:val="00521AF2"/>
    <w:rsid w:val="00523644"/>
    <w:rsid w:val="0054069E"/>
    <w:rsid w:val="00544866"/>
    <w:rsid w:val="00562D5D"/>
    <w:rsid w:val="005767CC"/>
    <w:rsid w:val="00586F40"/>
    <w:rsid w:val="00590D9F"/>
    <w:rsid w:val="00595D26"/>
    <w:rsid w:val="005A74E6"/>
    <w:rsid w:val="005B404E"/>
    <w:rsid w:val="005D4D55"/>
    <w:rsid w:val="005E2CFB"/>
    <w:rsid w:val="005F2103"/>
    <w:rsid w:val="005F3D1C"/>
    <w:rsid w:val="00612C54"/>
    <w:rsid w:val="0062378F"/>
    <w:rsid w:val="006344F9"/>
    <w:rsid w:val="00641842"/>
    <w:rsid w:val="00651EEC"/>
    <w:rsid w:val="006857C4"/>
    <w:rsid w:val="00686673"/>
    <w:rsid w:val="00691E8C"/>
    <w:rsid w:val="006A22C4"/>
    <w:rsid w:val="006A348B"/>
    <w:rsid w:val="006A351B"/>
    <w:rsid w:val="006B0422"/>
    <w:rsid w:val="006C1B53"/>
    <w:rsid w:val="006D596E"/>
    <w:rsid w:val="006D6C13"/>
    <w:rsid w:val="006D7730"/>
    <w:rsid w:val="006E5284"/>
    <w:rsid w:val="006E5418"/>
    <w:rsid w:val="006F3EB5"/>
    <w:rsid w:val="00702E34"/>
    <w:rsid w:val="00704395"/>
    <w:rsid w:val="00710FE7"/>
    <w:rsid w:val="00717621"/>
    <w:rsid w:val="00720FF1"/>
    <w:rsid w:val="00727A53"/>
    <w:rsid w:val="007677F4"/>
    <w:rsid w:val="00787B42"/>
    <w:rsid w:val="007973CC"/>
    <w:rsid w:val="007B006E"/>
    <w:rsid w:val="007B227E"/>
    <w:rsid w:val="007C4539"/>
    <w:rsid w:val="007E5612"/>
    <w:rsid w:val="007F3657"/>
    <w:rsid w:val="00812ED5"/>
    <w:rsid w:val="008277D9"/>
    <w:rsid w:val="0084478C"/>
    <w:rsid w:val="0086638C"/>
    <w:rsid w:val="00880362"/>
    <w:rsid w:val="008A3E8D"/>
    <w:rsid w:val="008A646A"/>
    <w:rsid w:val="008B5303"/>
    <w:rsid w:val="008B67A3"/>
    <w:rsid w:val="008C1D5E"/>
    <w:rsid w:val="008D1D65"/>
    <w:rsid w:val="008D2EBA"/>
    <w:rsid w:val="008F493C"/>
    <w:rsid w:val="009237C4"/>
    <w:rsid w:val="00931F25"/>
    <w:rsid w:val="00944C48"/>
    <w:rsid w:val="00950252"/>
    <w:rsid w:val="00967F5D"/>
    <w:rsid w:val="009A0F95"/>
    <w:rsid w:val="009B3ADF"/>
    <w:rsid w:val="009C3B52"/>
    <w:rsid w:val="009E048E"/>
    <w:rsid w:val="009E6817"/>
    <w:rsid w:val="009E6E9A"/>
    <w:rsid w:val="00A01D2B"/>
    <w:rsid w:val="00A36871"/>
    <w:rsid w:val="00A42218"/>
    <w:rsid w:val="00A70249"/>
    <w:rsid w:val="00A70B02"/>
    <w:rsid w:val="00A71D9F"/>
    <w:rsid w:val="00A92E9F"/>
    <w:rsid w:val="00AA07AF"/>
    <w:rsid w:val="00AB1B05"/>
    <w:rsid w:val="00AB1F01"/>
    <w:rsid w:val="00AC39FA"/>
    <w:rsid w:val="00AD0664"/>
    <w:rsid w:val="00B247CF"/>
    <w:rsid w:val="00B33BEA"/>
    <w:rsid w:val="00B533F5"/>
    <w:rsid w:val="00B57C9F"/>
    <w:rsid w:val="00B63572"/>
    <w:rsid w:val="00B845B3"/>
    <w:rsid w:val="00B85D8B"/>
    <w:rsid w:val="00BB4A40"/>
    <w:rsid w:val="00BD5D64"/>
    <w:rsid w:val="00BD6C3E"/>
    <w:rsid w:val="00BE3674"/>
    <w:rsid w:val="00C07971"/>
    <w:rsid w:val="00C10681"/>
    <w:rsid w:val="00C205C0"/>
    <w:rsid w:val="00C3049A"/>
    <w:rsid w:val="00C31B1E"/>
    <w:rsid w:val="00C77645"/>
    <w:rsid w:val="00CB0B09"/>
    <w:rsid w:val="00CE04C3"/>
    <w:rsid w:val="00CE76A0"/>
    <w:rsid w:val="00D148C6"/>
    <w:rsid w:val="00D16316"/>
    <w:rsid w:val="00D17A8A"/>
    <w:rsid w:val="00D415BA"/>
    <w:rsid w:val="00D55EA6"/>
    <w:rsid w:val="00D628EA"/>
    <w:rsid w:val="00D63780"/>
    <w:rsid w:val="00D644EE"/>
    <w:rsid w:val="00D75489"/>
    <w:rsid w:val="00DD06FF"/>
    <w:rsid w:val="00DD5FE9"/>
    <w:rsid w:val="00E00C7A"/>
    <w:rsid w:val="00E07FDD"/>
    <w:rsid w:val="00E209CF"/>
    <w:rsid w:val="00E37D6C"/>
    <w:rsid w:val="00E4614A"/>
    <w:rsid w:val="00E467D9"/>
    <w:rsid w:val="00E55B68"/>
    <w:rsid w:val="00E67BE6"/>
    <w:rsid w:val="00E77984"/>
    <w:rsid w:val="00E8683C"/>
    <w:rsid w:val="00EA0930"/>
    <w:rsid w:val="00EA2B72"/>
    <w:rsid w:val="00F66099"/>
    <w:rsid w:val="00F74360"/>
    <w:rsid w:val="00F86AC5"/>
    <w:rsid w:val="00FB462F"/>
    <w:rsid w:val="00FE16FA"/>
    <w:rsid w:val="00FE328A"/>
    <w:rsid w:val="00FE6269"/>
    <w:rsid w:val="00FF5CD6"/>
    <w:rsid w:val="12AB1441"/>
    <w:rsid w:val="2AD338F5"/>
    <w:rsid w:val="38DD147C"/>
    <w:rsid w:val="44B663A6"/>
    <w:rsid w:val="4B2C2366"/>
    <w:rsid w:val="5EF72F0F"/>
    <w:rsid w:val="61823A26"/>
    <w:rsid w:val="62797C82"/>
    <w:rsid w:val="79A3475A"/>
    <w:rsid w:val="7E1B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2"/>
    <w:link w:val="15"/>
    <w:qFormat/>
    <w:uiPriority w:val="0"/>
    <w:rPr>
      <w:rFonts w:ascii="Times New Roman" w:hAnsi="Times New Roman" w:eastAsia="Arial Unicode MS" w:cs="Times New Roman"/>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unhideWhenUsed/>
    <w:qFormat/>
    <w:uiPriority w:val="99"/>
    <w:pPr>
      <w:widowControl w:val="0"/>
      <w:spacing w:before="100" w:beforeAutospacing="1" w:after="100" w:afterAutospacing="1"/>
    </w:pPr>
    <w:rPr>
      <w:rFonts w:ascii="宋体" w:hAnsi="Times New Roman" w:eastAsia="宋体" w:cs="Times New Roman"/>
      <w:kern w:val="2"/>
      <w:sz w:val="24"/>
      <w:szCs w:val="20"/>
      <w:lang w:val="en-US" w:eastAsia="zh-CN" w:bidi="ar-SA"/>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正文文本 Char"/>
    <w:basedOn w:val="9"/>
    <w:link w:val="3"/>
    <w:qFormat/>
    <w:uiPriority w:val="0"/>
    <w:rPr>
      <w:rFonts w:ascii="Times New Roman" w:hAnsi="Times New Roman" w:eastAsia="Arial Unicode MS"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A4F5-6627-4BF5-B9E1-430C41863C6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17935</Words>
  <Characters>21559</Characters>
  <Lines>182</Lines>
  <Paragraphs>51</Paragraphs>
  <TotalTime>0</TotalTime>
  <ScaleCrop>false</ScaleCrop>
  <LinksUpToDate>false</LinksUpToDate>
  <CharactersWithSpaces>22704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ASUS</cp:lastModifiedBy>
  <cp:lastPrinted>2022-07-27T12:55:00Z</cp:lastPrinted>
  <dcterms:modified xsi:type="dcterms:W3CDTF">2023-09-30T08:46:12Z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FC40230B10044307A69F2E729859BD7A</vt:lpwstr>
  </property>
</Properties>
</file>