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E7" w:rsidRDefault="00475CE8">
      <w:pPr>
        <w:jc w:val="center"/>
        <w:rPr>
          <w:rFonts w:ascii="宋体" w:hAnsi="宋体" w:cs="宋体"/>
          <w:b/>
          <w:bCs/>
          <w:sz w:val="42"/>
          <w:szCs w:val="42"/>
        </w:rPr>
      </w:pPr>
      <w:r>
        <w:rPr>
          <w:rFonts w:ascii="宋体" w:hAnsi="宋体" w:cs="宋体" w:hint="eastAsia"/>
          <w:b/>
          <w:bCs/>
          <w:sz w:val="42"/>
          <w:szCs w:val="42"/>
        </w:rPr>
        <w:t>溆浦县自然资源局2020年永久基本农田补划</w:t>
      </w:r>
    </w:p>
    <w:p w:rsidR="008344E7" w:rsidRDefault="00475CE8">
      <w:pPr>
        <w:jc w:val="center"/>
        <w:rPr>
          <w:rFonts w:ascii="宋体" w:hAnsi="宋体" w:cs="宋体"/>
          <w:b/>
          <w:bCs/>
          <w:sz w:val="42"/>
          <w:szCs w:val="42"/>
        </w:rPr>
      </w:pPr>
      <w:r>
        <w:rPr>
          <w:rFonts w:ascii="宋体" w:hAnsi="宋体" w:cs="宋体" w:hint="eastAsia"/>
          <w:b/>
          <w:bCs/>
          <w:sz w:val="42"/>
          <w:szCs w:val="42"/>
        </w:rPr>
        <w:t>专项资金使用绩效自评报告</w:t>
      </w:r>
    </w:p>
    <w:p w:rsidR="008344E7" w:rsidRDefault="008344E7">
      <w:pPr>
        <w:rPr>
          <w:rFonts w:ascii="Times New Roman" w:hAnsi="Times New Roman" w:cs="Times New Roman"/>
          <w:sz w:val="32"/>
          <w:szCs w:val="32"/>
        </w:rPr>
      </w:pPr>
    </w:p>
    <w:p w:rsidR="008344E7" w:rsidRDefault="00475CE8">
      <w:pPr>
        <w:pStyle w:val="1"/>
        <w:widowControl/>
        <w:spacing w:beforeLines="0" w:afterLines="0" w:line="600" w:lineRule="exact"/>
        <w:ind w:firstLineChars="200" w:firstLine="643"/>
        <w:jc w:val="left"/>
        <w:rPr>
          <w:rFonts w:ascii="黑体" w:eastAsia="黑体" w:hAnsi="黑体" w:cs="黑体"/>
          <w:sz w:val="32"/>
          <w:szCs w:val="32"/>
        </w:rPr>
      </w:pPr>
      <w:r>
        <w:rPr>
          <w:rFonts w:ascii="黑体" w:eastAsia="黑体" w:hAnsi="黑体" w:cs="黑体" w:hint="eastAsia"/>
          <w:sz w:val="32"/>
          <w:szCs w:val="32"/>
        </w:rPr>
        <w:t>一、项目概况及绩效目标</w:t>
      </w:r>
    </w:p>
    <w:p w:rsidR="008344E7" w:rsidRDefault="00475CE8">
      <w:pPr>
        <w:pStyle w:val="NoSpacing1"/>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省下发《关于开展永久基本农田补划工作的通知》，完成溆浦县永久基本农田补划。根据第三次国土调查初步成果（2019年12月15日上报国家）和溆浦县永久基本农田上图数据，删除不能纳入补划图斑，结合最新的影像图，考虑到当地村民建房需求以及生活需要，以当地村庄能够得到更好的发展为条件，在原则上不补划村民集中建房居住区以及道路两厢靠近的耕地。在综合考虑以上条件的情况下，共得出本次补划潜力图斑地块数9574块，剩余总面积6596.0385公顷，多于省里下发补划面积，可以满足溆浦县的补划需求，能够在县域内平衡。确保溆浦县39720公顷基本农田数量。</w:t>
      </w:r>
    </w:p>
    <w:p w:rsidR="008344E7" w:rsidRDefault="00475CE8">
      <w:pPr>
        <w:pStyle w:val="1"/>
        <w:widowControl/>
        <w:spacing w:beforeLines="0" w:afterLines="0" w:line="600" w:lineRule="exact"/>
        <w:ind w:firstLineChars="200" w:firstLine="643"/>
        <w:jc w:val="left"/>
        <w:rPr>
          <w:rFonts w:ascii="黑体" w:eastAsia="黑体" w:hAnsi="黑体" w:cs="黑体"/>
          <w:sz w:val="32"/>
          <w:szCs w:val="32"/>
        </w:rPr>
      </w:pPr>
      <w:bookmarkStart w:id="0" w:name="_Toc15263"/>
      <w:r>
        <w:rPr>
          <w:rFonts w:ascii="黑体" w:eastAsia="黑体" w:hAnsi="黑体" w:cs="黑体" w:hint="eastAsia"/>
          <w:sz w:val="32"/>
          <w:szCs w:val="32"/>
        </w:rPr>
        <w:t>二、绩效评价指标分析情况</w:t>
      </w:r>
    </w:p>
    <w:p w:rsidR="008344E7" w:rsidRDefault="00475CE8">
      <w:pPr>
        <w:spacing w:line="600" w:lineRule="exact"/>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（一）项目资金情况分析</w:t>
      </w:r>
    </w:p>
    <w:p w:rsidR="008344E7" w:rsidRDefault="00475CE8">
      <w:pPr>
        <w:spacing w:line="60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该项目预算资金30万元。资金将用于技术单位对本次溆浦县永久基本农田补划的人员经费、技术服务费及评审会议费等。专项资金将全部通过县国库集中系统进行支付。财政部门严格实行预算管理，本次评价中未发现专项资金有截留和挤占挪作他用现象。</w:t>
      </w:r>
    </w:p>
    <w:p w:rsidR="008344E7" w:rsidRDefault="00475CE8">
      <w:pPr>
        <w:spacing w:line="600" w:lineRule="exact"/>
        <w:ind w:firstLineChars="200" w:firstLine="643"/>
        <w:outlineLvl w:val="1"/>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（二）项目实施情况分析</w:t>
      </w:r>
    </w:p>
    <w:p w:rsidR="008344E7" w:rsidRDefault="00475C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本项目于2020年1月开展前期工作，选择由资质的技</w:t>
      </w:r>
      <w:r>
        <w:rPr>
          <w:rFonts w:ascii="仿宋_GB2312" w:eastAsia="仿宋_GB2312" w:hAnsi="仿宋_GB2312" w:cs="仿宋_GB2312" w:hint="eastAsia"/>
          <w:sz w:val="32"/>
          <w:szCs w:val="32"/>
        </w:rPr>
        <w:lastRenderedPageBreak/>
        <w:t>术单位完成我县基本农田补划工作；2020年4月，我局组织农业农村、林业、环保、水利、发改、财政及25个乡镇代表对溆浦县永久基本农田补划内业成果开展县级论证审核，同年5月，该项目最终成果汇交至怀化市自然资源和规划局，目前，该项目已实施完成。</w:t>
      </w:r>
    </w:p>
    <w:p w:rsidR="008344E7" w:rsidRDefault="00475CE8">
      <w:pPr>
        <w:spacing w:line="600" w:lineRule="exact"/>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（三）项目绩效情况分析</w:t>
      </w:r>
      <w:bookmarkEnd w:id="0"/>
    </w:p>
    <w:p w:rsidR="008344E7" w:rsidRDefault="00475CE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1、项目的经济性分析</w:t>
      </w:r>
    </w:p>
    <w:p w:rsidR="008344E7" w:rsidRDefault="00475C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项目为巩固永久基本农田划定成果，满足我县未来一定时期重大建设项目、生态建设项目的补划需求和永久基本农田划定成果核实整改需要等，在永久基本之外其他质量较好的耕地中，划定永久基本农田储备区。从经济性出发，聘请专业技术咨询单位是最快速、性价比最高的方案。</w:t>
      </w:r>
    </w:p>
    <w:p w:rsidR="008344E7" w:rsidRDefault="00475CE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2、项目的效率性分析</w:t>
      </w:r>
    </w:p>
    <w:p w:rsidR="008344E7" w:rsidRDefault="00475C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本次项目已全部完成并通过审查论证，成果已汇交至市局，完成质量良好。</w:t>
      </w:r>
    </w:p>
    <w:p w:rsidR="008344E7" w:rsidRDefault="00475CE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3、项目的效益性分析</w:t>
      </w:r>
    </w:p>
    <w:p w:rsidR="008344E7" w:rsidRDefault="00475C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根据2017年永久基本农田划定成果，溆浦县实际划定永久基本农田39722.8195公顷，其中水田面积为33585.1985公顷，占永久基本农田总面积的84.55%；旱地面积为6137.6211公顷，占永久基本农田总面积的15.45%。</w:t>
      </w:r>
    </w:p>
    <w:p w:rsidR="008344E7" w:rsidRDefault="00475C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原有基本农田现状为非耕地共5273.8255公顷，依照省级下达的需补划的永久基本农田数量要求完成补划任务，溆浦县需补划面积为5125.38公顷，并将补划任务落实到具体</w:t>
      </w:r>
      <w:r>
        <w:rPr>
          <w:rFonts w:ascii="仿宋_GB2312" w:eastAsia="仿宋_GB2312" w:hAnsi="仿宋_GB2312" w:cs="仿宋_GB2312" w:hint="eastAsia"/>
          <w:sz w:val="32"/>
          <w:szCs w:val="32"/>
        </w:rPr>
        <w:lastRenderedPageBreak/>
        <w:t>地块。</w:t>
      </w:r>
    </w:p>
    <w:p w:rsidR="008344E7" w:rsidRDefault="00475CE8">
      <w:pPr>
        <w:pStyle w:val="1"/>
        <w:widowControl/>
        <w:spacing w:beforeLines="0" w:afterLines="0" w:line="600" w:lineRule="exact"/>
        <w:ind w:firstLineChars="200" w:firstLine="643"/>
        <w:jc w:val="left"/>
        <w:rPr>
          <w:rFonts w:ascii="黑体" w:eastAsia="黑体" w:hAnsi="黑体" w:cs="黑体"/>
          <w:sz w:val="32"/>
          <w:szCs w:val="32"/>
        </w:rPr>
      </w:pPr>
      <w:r>
        <w:rPr>
          <w:rFonts w:ascii="黑体" w:eastAsia="黑体" w:hAnsi="黑体" w:cs="黑体" w:hint="eastAsia"/>
          <w:sz w:val="32"/>
          <w:szCs w:val="32"/>
        </w:rPr>
        <w:t>三、项目后续工作计划</w:t>
      </w:r>
    </w:p>
    <w:p w:rsidR="008344E7" w:rsidRDefault="00475CE8">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44"/>
          <w:sz w:val="32"/>
          <w:szCs w:val="32"/>
        </w:rPr>
        <w:t xml:space="preserve"> </w:t>
      </w:r>
      <w:r>
        <w:rPr>
          <w:rFonts w:ascii="仿宋_GB2312" w:eastAsia="仿宋_GB2312" w:hAnsi="仿宋_GB2312" w:cs="仿宋_GB2312" w:hint="eastAsia"/>
          <w:sz w:val="32"/>
          <w:szCs w:val="32"/>
        </w:rPr>
        <w:t xml:space="preserve"> 因该项目属于对原有现状为非耕地的基本农田进行补划，故本次工作已全部完成。</w:t>
      </w:r>
    </w:p>
    <w:p w:rsidR="008344E7" w:rsidRDefault="00475CE8">
      <w:pPr>
        <w:pStyle w:val="1"/>
        <w:widowControl/>
        <w:spacing w:beforeLines="0" w:afterLines="0" w:line="600" w:lineRule="exact"/>
        <w:ind w:firstLineChars="200" w:firstLine="643"/>
        <w:jc w:val="left"/>
        <w:rPr>
          <w:rFonts w:ascii="黑体" w:eastAsia="黑体" w:hAnsi="黑体" w:cs="黑体"/>
          <w:sz w:val="32"/>
          <w:szCs w:val="32"/>
        </w:rPr>
      </w:pPr>
      <w:r>
        <w:rPr>
          <w:rFonts w:ascii="黑体" w:eastAsia="黑体" w:hAnsi="黑体" w:cs="黑体" w:hint="eastAsia"/>
          <w:sz w:val="32"/>
          <w:szCs w:val="32"/>
        </w:rPr>
        <w:t>四、</w:t>
      </w:r>
      <w:r w:rsidR="00A1159B">
        <w:rPr>
          <w:rFonts w:ascii="黑体" w:eastAsia="黑体" w:hAnsi="黑体" w:cs="黑体" w:hint="eastAsia"/>
          <w:sz w:val="32"/>
          <w:szCs w:val="32"/>
        </w:rPr>
        <w:t>评</w:t>
      </w:r>
      <w:r>
        <w:rPr>
          <w:rFonts w:ascii="黑体" w:eastAsia="黑体" w:hAnsi="黑体" w:cs="黑体" w:hint="eastAsia"/>
          <w:sz w:val="32"/>
          <w:szCs w:val="32"/>
        </w:rPr>
        <w:t>价情况及评价结论</w:t>
      </w:r>
    </w:p>
    <w:p w:rsidR="008344E7" w:rsidRDefault="00475CE8">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1、产出指标：</w:t>
      </w:r>
      <w:r>
        <w:rPr>
          <w:rFonts w:ascii="仿宋_GB2312" w:eastAsia="仿宋_GB2312" w:hAnsi="仿宋_GB2312" w:cs="仿宋_GB2312" w:hint="eastAsia"/>
          <w:sz w:val="32"/>
          <w:szCs w:val="32"/>
        </w:rPr>
        <w:t>完成补划面积为5125.38公顷，保证39720公顷基本农田储备。项目支出控制在预算范围内，无违规违纪现象，无超出预算。</w:t>
      </w:r>
    </w:p>
    <w:p w:rsidR="008344E7" w:rsidRDefault="00475CE8">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2、社会效益：</w:t>
      </w:r>
      <w:r>
        <w:rPr>
          <w:rFonts w:ascii="仿宋_GB2312" w:eastAsia="仿宋_GB2312" w:hAnsi="仿宋_GB2312" w:cs="仿宋_GB2312" w:hint="eastAsia"/>
          <w:sz w:val="32"/>
          <w:szCs w:val="32"/>
        </w:rPr>
        <w:t>有效解决划定不实、非法占用等问题，完善永久基本农田保护措施，提高监管水平。</w:t>
      </w:r>
    </w:p>
    <w:p w:rsidR="008344E7" w:rsidRDefault="00475CE8">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3、可持续影响指标</w:t>
      </w:r>
      <w:r>
        <w:rPr>
          <w:rFonts w:ascii="仿宋_GB2312" w:eastAsia="仿宋_GB2312" w:hAnsi="仿宋_GB2312" w:cs="仿宋_GB2312" w:hint="eastAsia"/>
          <w:sz w:val="32"/>
          <w:szCs w:val="32"/>
        </w:rPr>
        <w:t>：保证39720公顷基本农田数量，保证农业生产。</w:t>
      </w:r>
    </w:p>
    <w:p w:rsidR="008344E7" w:rsidRDefault="00475C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按照省自然资源办公厅要求及时提交成果并通过审查，对技术单位的服务满意。</w:t>
      </w:r>
    </w:p>
    <w:p w:rsidR="008344E7" w:rsidRPr="001B1A2D" w:rsidRDefault="00475CE8" w:rsidP="001B1A2D">
      <w:pPr>
        <w:pStyle w:val="1"/>
        <w:widowControl/>
        <w:spacing w:beforeLines="0" w:afterLines="0" w:line="600" w:lineRule="exact"/>
        <w:ind w:firstLineChars="200" w:firstLine="643"/>
        <w:jc w:val="left"/>
        <w:rPr>
          <w:rFonts w:ascii="黑体" w:eastAsia="黑体" w:hAnsi="黑体" w:cs="黑体"/>
          <w:sz w:val="32"/>
          <w:szCs w:val="32"/>
        </w:rPr>
      </w:pPr>
      <w:r w:rsidRPr="001B1A2D">
        <w:rPr>
          <w:rFonts w:ascii="黑体" w:eastAsia="黑体" w:hAnsi="黑体" w:cs="黑体" w:hint="eastAsia"/>
          <w:sz w:val="32"/>
          <w:szCs w:val="32"/>
        </w:rPr>
        <w:t>五、工作总结与应用建议</w:t>
      </w:r>
    </w:p>
    <w:p w:rsidR="008344E7" w:rsidRDefault="00475CE8">
      <w:pPr>
        <w:spacing w:line="600" w:lineRule="exact"/>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（一）工作经验与存在问题</w:t>
      </w:r>
    </w:p>
    <w:p w:rsidR="008344E7" w:rsidRDefault="00475C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结合当地实际和特点，总结全县永久基本农田补划工作中好的做法和经验。有针对性地论述永久基本农田补划等工作中存在主要问题，并提出与之相适应的解决措施。</w:t>
      </w:r>
    </w:p>
    <w:p w:rsidR="008344E7" w:rsidRDefault="00475CE8">
      <w:pPr>
        <w:spacing w:line="600" w:lineRule="exact"/>
        <w:ind w:firstLineChars="200" w:firstLine="643"/>
        <w:rPr>
          <w:rFonts w:ascii="仿宋_GB2312" w:eastAsia="仿宋_GB2312" w:hAnsi="仿宋_GB2312" w:cs="仿宋_GB2312"/>
          <w:b/>
          <w:bCs/>
          <w:sz w:val="32"/>
          <w:szCs w:val="32"/>
        </w:rPr>
      </w:pPr>
      <w:bookmarkStart w:id="1" w:name="_Toc446926352"/>
      <w:bookmarkStart w:id="2" w:name="_Toc417137482"/>
      <w:r>
        <w:rPr>
          <w:rFonts w:ascii="仿宋_GB2312" w:eastAsia="仿宋_GB2312" w:hAnsi="仿宋_GB2312" w:cs="仿宋_GB2312" w:hint="eastAsia"/>
          <w:b/>
          <w:bCs/>
          <w:sz w:val="32"/>
          <w:szCs w:val="32"/>
        </w:rPr>
        <w:t>1、永久基本农田补划中存在的问题</w:t>
      </w:r>
      <w:bookmarkEnd w:id="1"/>
      <w:bookmarkEnd w:id="2"/>
    </w:p>
    <w:p w:rsidR="008344E7" w:rsidRDefault="00475CE8">
      <w:pPr>
        <w:numPr>
          <w:ilvl w:val="0"/>
          <w:numId w:val="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现有基本农田中现状非耕地较多，划定不实</w:t>
      </w:r>
    </w:p>
    <w:p w:rsidR="008344E7" w:rsidRDefault="00475C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（2）违法占用基本农田现象较为严重</w:t>
      </w:r>
    </w:p>
    <w:p w:rsidR="008344E7" w:rsidRDefault="00475CE8">
      <w:pPr>
        <w:spacing w:line="600" w:lineRule="exact"/>
        <w:ind w:firstLineChars="200" w:firstLine="643"/>
        <w:rPr>
          <w:rFonts w:ascii="仿宋_GB2312" w:eastAsia="仿宋_GB2312" w:hAnsi="仿宋_GB2312" w:cs="仿宋_GB2312"/>
          <w:b/>
          <w:bCs/>
          <w:sz w:val="32"/>
          <w:szCs w:val="32"/>
        </w:rPr>
      </w:pPr>
      <w:bookmarkStart w:id="3" w:name="_Toc446926353"/>
      <w:bookmarkStart w:id="4" w:name="_Toc417137483"/>
      <w:r>
        <w:rPr>
          <w:rFonts w:ascii="仿宋_GB2312" w:eastAsia="仿宋_GB2312" w:hAnsi="仿宋_GB2312" w:cs="仿宋_GB2312" w:hint="eastAsia"/>
          <w:b/>
          <w:bCs/>
          <w:sz w:val="32"/>
          <w:szCs w:val="32"/>
        </w:rPr>
        <w:t>2、永久基本农田补划中应采取的措施</w:t>
      </w:r>
      <w:bookmarkEnd w:id="3"/>
      <w:bookmarkEnd w:id="4"/>
    </w:p>
    <w:p w:rsidR="008344E7" w:rsidRDefault="00475C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（1）加强耕地保护，增强全民意识</w:t>
      </w:r>
    </w:p>
    <w:p w:rsidR="008344E7" w:rsidRDefault="00475CE8">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（2）确保耕地占补平衡，提高耕地总体质量</w:t>
      </w:r>
    </w:p>
    <w:p w:rsidR="008344E7" w:rsidRDefault="00475CE8">
      <w:pPr>
        <w:spacing w:line="600" w:lineRule="exact"/>
        <w:ind w:firstLineChars="200" w:firstLine="643"/>
        <w:outlineLvl w:val="1"/>
        <w:rPr>
          <w:rFonts w:ascii="楷体_GB2312" w:eastAsia="楷体_GB2312" w:hAnsi="楷体_GB2312" w:cs="楷体_GB2312"/>
          <w:b/>
          <w:bCs/>
          <w:sz w:val="32"/>
          <w:szCs w:val="32"/>
        </w:rPr>
      </w:pPr>
      <w:bookmarkStart w:id="5" w:name="_Toc11993"/>
      <w:r>
        <w:rPr>
          <w:rFonts w:ascii="楷体_GB2312" w:eastAsia="楷体_GB2312" w:hAnsi="楷体_GB2312" w:cs="楷体_GB2312" w:hint="eastAsia"/>
          <w:b/>
          <w:bCs/>
          <w:sz w:val="32"/>
          <w:szCs w:val="32"/>
        </w:rPr>
        <w:t>（二）成果应用建议</w:t>
      </w:r>
      <w:bookmarkEnd w:id="5"/>
    </w:p>
    <w:p w:rsidR="008344E7" w:rsidRDefault="00475CE8" w:rsidP="00A1159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溆浦县在永久基本农田补划图斑划定工作中，对涉及本县的有关项目开发规划、各级国民经济和社会发展“十三五”规划、城市总体规划、环境保护“十三五”规划、生态环境功能区划、近期开展的国土空间规划等方面作了系统的协调性、一致性分析。总体认为划定的补划图斑与各级国民经济和社会发展“十三五”规划、城市总体规划确定的产业发展定位及空间布局相适应，与本县生态环境功能区划和规划发展的产业以及提出的环境保护目标、建设开发准入、生态功能区以及国土空间规划等无实质性冲突。</w:t>
      </w:r>
    </w:p>
    <w:p w:rsidR="008344E7" w:rsidRDefault="00475C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由此，我们提出几点基本农田管理的应用建议，为政府相关部门尽快制定出相应的管理政策提供参考：</w:t>
      </w:r>
    </w:p>
    <w:p w:rsidR="008344E7" w:rsidRDefault="00475C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强耕地保护。此次的永久基本农田补划后，应对遵循“保护优先，合理利用”的原则，科学引导规范有关农户和经营业主的生产活动。非农建设项目选址时应尽量避免占用基本农田及其他优质耕地。重大建设项目依法占用永久基本农田需要补划时，直接在储备区内选择数量相等、质量相当的地块进行补划。</w:t>
      </w:r>
    </w:p>
    <w:p w:rsidR="008344E7" w:rsidRDefault="00475C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(2)可大力推进水稻制种五化技术。溆浦县属亚热带湿润季风气候，光热并丰，雨水充足，光、热、水基本同季，立体气候明显的地方特点，年平均降水量为1539.1毫米，</w:t>
      </w:r>
      <w:r>
        <w:rPr>
          <w:rFonts w:ascii="仿宋_GB2312" w:eastAsia="仿宋_GB2312" w:hAnsi="仿宋_GB2312" w:cs="仿宋_GB2312" w:hint="eastAsia"/>
          <w:sz w:val="32"/>
          <w:szCs w:val="32"/>
        </w:rPr>
        <w:lastRenderedPageBreak/>
        <w:t>年平均无霜期286天，适宜耕种，可大力推进水稻制种五化技术，即制种基地规模化、机械化、标准化、集约化、信息化，带动全县杂交水稻制种全面实现“五化”目标，提升种子生产能力和种子质量水平。同时进一步优化本辖区杂交水稻制种区域布局，规范社会化服务组织能力，为杂交水稻制种提供全程服务。</w:t>
      </w:r>
    </w:p>
    <w:p w:rsidR="008344E7" w:rsidRDefault="00475C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加大基本农田整治投入。加强划入储备区的即可恢复耕地动态监督管理，对其农业生产活动有序规范引导，确保耕地耕作层不受到破坏。探索推行建设占用耕地耕作层土壤剥离再利用，剥离的表土优先用于新增耕地、劣质地或永久基本农田储备区的土壤改良，拓宽永久基本农田建设性保护途径。</w:t>
      </w:r>
    </w:p>
    <w:p w:rsidR="008344E7" w:rsidRDefault="00475C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(4)在基本农田内以绿色生态为导向，积极开展高产高效创建、增产模式攻关、新品种新技术推广等试</w:t>
      </w:r>
      <w:bookmarkStart w:id="6" w:name="_GoBack"/>
      <w:bookmarkEnd w:id="6"/>
      <w:r>
        <w:rPr>
          <w:rFonts w:ascii="仿宋_GB2312" w:eastAsia="仿宋_GB2312" w:hAnsi="仿宋_GB2312" w:cs="仿宋_GB2312" w:hint="eastAsia"/>
          <w:sz w:val="32"/>
          <w:szCs w:val="32"/>
        </w:rPr>
        <w:t>验、示范、试点，通过“办点、抓线、促面”，增强科技支撑能力，转变经营方式，推进粮食生产转型升级，使得农业“三项补贴</w:t>
      </w:r>
      <w:r w:rsidR="001B1A2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政策在我县有续规范运行。</w:t>
      </w:r>
    </w:p>
    <w:p w:rsidR="008344E7" w:rsidRDefault="008344E7">
      <w:pPr>
        <w:spacing w:line="500" w:lineRule="exact"/>
        <w:ind w:firstLineChars="200" w:firstLine="480"/>
        <w:rPr>
          <w:rFonts w:ascii="Times New Roman" w:hAnsi="Times New Roman" w:cs="Times New Roman"/>
          <w:sz w:val="24"/>
          <w:szCs w:val="24"/>
        </w:rPr>
      </w:pPr>
    </w:p>
    <w:p w:rsidR="008344E7" w:rsidRDefault="008344E7">
      <w:pPr>
        <w:rPr>
          <w:rFonts w:ascii="Times New Roman" w:hAnsi="Times New Roman" w:cs="Times New Roman"/>
        </w:rPr>
      </w:pPr>
    </w:p>
    <w:p w:rsidR="008344E7" w:rsidRDefault="008344E7">
      <w:pPr>
        <w:spacing w:line="360" w:lineRule="auto"/>
        <w:ind w:firstLineChars="200" w:firstLine="480"/>
        <w:jc w:val="left"/>
        <w:rPr>
          <w:rFonts w:ascii="Times New Roman" w:hAnsi="Times New Roman" w:cs="Times New Roman"/>
          <w:color w:val="000000"/>
          <w:sz w:val="24"/>
          <w:szCs w:val="24"/>
        </w:rPr>
      </w:pPr>
    </w:p>
    <w:p w:rsidR="008344E7" w:rsidRDefault="008344E7">
      <w:pPr>
        <w:rPr>
          <w:rFonts w:ascii="Times New Roman" w:hAnsi="Times New Roman" w:cs="Times New Roman"/>
        </w:rPr>
      </w:pPr>
    </w:p>
    <w:sectPr w:rsidR="008344E7" w:rsidSect="008344E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252" w:rsidRDefault="009D4252" w:rsidP="008344E7">
      <w:r>
        <w:separator/>
      </w:r>
    </w:p>
  </w:endnote>
  <w:endnote w:type="continuationSeparator" w:id="0">
    <w:p w:rsidR="009D4252" w:rsidRDefault="009D4252" w:rsidP="00834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4E7" w:rsidRDefault="000D1E1B">
    <w:pPr>
      <w:pStyle w:val="a3"/>
      <w:rPr>
        <w:rFonts w:cs="Times New Roman"/>
      </w:rPr>
    </w:pPr>
    <w:r w:rsidRPr="000D1E1B">
      <w:pict>
        <v:shapetype id="_x0000_t202" coordsize="21600,21600" o:spt="202" path="m,l,21600r21600,l21600,xe">
          <v:stroke joinstyle="miter"/>
          <v:path gradientshapeok="t" o:connecttype="rect"/>
        </v:shapetype>
        <v:shape id="_x0000_s2049" type="#_x0000_t202" style="position:absolute;margin-left:208pt;margin-top:0;width:2in;height:2in;z-index:1;mso-wrap-style:none;mso-position-horizontal:right;mso-position-horizontal-relative:margin" filled="f" stroked="f" strokeweight=".5pt">
          <v:textbox style="mso-fit-shape-to-text:t" inset="0,0,0,0">
            <w:txbxContent>
              <w:p w:rsidR="008344E7" w:rsidRDefault="000D1E1B">
                <w:pPr>
                  <w:pStyle w:val="a3"/>
                  <w:rPr>
                    <w:rFonts w:cs="Times New Roman"/>
                  </w:rPr>
                </w:pPr>
                <w:r>
                  <w:fldChar w:fldCharType="begin"/>
                </w:r>
                <w:r w:rsidR="00475CE8">
                  <w:instrText xml:space="preserve"> PAGE  \* MERGEFORMAT </w:instrText>
                </w:r>
                <w:r>
                  <w:fldChar w:fldCharType="separate"/>
                </w:r>
                <w:r w:rsidR="00A1159B">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252" w:rsidRDefault="009D4252" w:rsidP="008344E7">
      <w:r>
        <w:separator/>
      </w:r>
    </w:p>
  </w:footnote>
  <w:footnote w:type="continuationSeparator" w:id="0">
    <w:p w:rsidR="009D4252" w:rsidRDefault="009D4252" w:rsidP="008344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DE2BB"/>
    <w:multiLevelType w:val="singleLevel"/>
    <w:tmpl w:val="5A2DE2B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3F6B"/>
    <w:rsid w:val="000D1E1B"/>
    <w:rsid w:val="000D6F55"/>
    <w:rsid w:val="001B1A2D"/>
    <w:rsid w:val="00292DC8"/>
    <w:rsid w:val="00383674"/>
    <w:rsid w:val="00415136"/>
    <w:rsid w:val="00475CE8"/>
    <w:rsid w:val="00676011"/>
    <w:rsid w:val="006D3F6B"/>
    <w:rsid w:val="006E22EB"/>
    <w:rsid w:val="00717B47"/>
    <w:rsid w:val="007A7AB0"/>
    <w:rsid w:val="008344E7"/>
    <w:rsid w:val="008C77CD"/>
    <w:rsid w:val="009D4252"/>
    <w:rsid w:val="00A1159B"/>
    <w:rsid w:val="00B01903"/>
    <w:rsid w:val="00D552F8"/>
    <w:rsid w:val="00DD6482"/>
    <w:rsid w:val="00EB53B4"/>
    <w:rsid w:val="00EC3F8D"/>
    <w:rsid w:val="00FF0C81"/>
    <w:rsid w:val="06A854A0"/>
    <w:rsid w:val="06C74BF2"/>
    <w:rsid w:val="0B210BF0"/>
    <w:rsid w:val="102F6F26"/>
    <w:rsid w:val="12642F8E"/>
    <w:rsid w:val="172960A8"/>
    <w:rsid w:val="17361A26"/>
    <w:rsid w:val="1A7B3F25"/>
    <w:rsid w:val="1B334BB2"/>
    <w:rsid w:val="275F02F9"/>
    <w:rsid w:val="294377BE"/>
    <w:rsid w:val="34297103"/>
    <w:rsid w:val="3462566C"/>
    <w:rsid w:val="36E53D2B"/>
    <w:rsid w:val="37FD41B3"/>
    <w:rsid w:val="39326FFE"/>
    <w:rsid w:val="393D77AC"/>
    <w:rsid w:val="3A782BE6"/>
    <w:rsid w:val="3B64105C"/>
    <w:rsid w:val="40CA5E74"/>
    <w:rsid w:val="43484E31"/>
    <w:rsid w:val="43837126"/>
    <w:rsid w:val="4783089B"/>
    <w:rsid w:val="48BD61FB"/>
    <w:rsid w:val="508E246A"/>
    <w:rsid w:val="511B314F"/>
    <w:rsid w:val="54715C4C"/>
    <w:rsid w:val="54C500D6"/>
    <w:rsid w:val="563D6D92"/>
    <w:rsid w:val="5D105730"/>
    <w:rsid w:val="5D7A317A"/>
    <w:rsid w:val="5F8239B3"/>
    <w:rsid w:val="5FFA0AD6"/>
    <w:rsid w:val="629766F4"/>
    <w:rsid w:val="642F129B"/>
    <w:rsid w:val="661D5E41"/>
    <w:rsid w:val="6E5149AC"/>
    <w:rsid w:val="6F0A18DE"/>
    <w:rsid w:val="77351AA5"/>
    <w:rsid w:val="7F5C2D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lsdException w:name="caption" w:uiPriority="35" w:qFormat="1"/>
    <w:lsdException w:name="Title" w:semiHidden="0" w:uiPriority="10" w:unhideWhenUsed="0" w:qFormat="1"/>
    <w:lsdException w:name="Default Paragraph Font" w:locked="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NoSpacing1"/>
    <w:qFormat/>
    <w:rsid w:val="008344E7"/>
    <w:pPr>
      <w:widowControl w:val="0"/>
      <w:jc w:val="both"/>
    </w:pPr>
    <w:rPr>
      <w:rFonts w:ascii="Calibri" w:hAnsi="Calibri" w:cs="Calibri"/>
      <w:kern w:val="2"/>
      <w:sz w:val="21"/>
      <w:szCs w:val="21"/>
    </w:rPr>
  </w:style>
  <w:style w:type="paragraph" w:styleId="1">
    <w:name w:val="heading 1"/>
    <w:basedOn w:val="a"/>
    <w:next w:val="a"/>
    <w:link w:val="1Char"/>
    <w:uiPriority w:val="99"/>
    <w:qFormat/>
    <w:rsid w:val="008344E7"/>
    <w:pPr>
      <w:keepNext/>
      <w:keepLines/>
      <w:spacing w:beforeLines="100" w:afterLines="100"/>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1">
    <w:name w:val="No Spacing1"/>
    <w:uiPriority w:val="99"/>
    <w:rsid w:val="008344E7"/>
    <w:pPr>
      <w:widowControl w:val="0"/>
      <w:jc w:val="both"/>
    </w:pPr>
    <w:rPr>
      <w:rFonts w:ascii="Calibri" w:hAnsi="Calibri" w:cs="Calibri"/>
      <w:kern w:val="2"/>
      <w:sz w:val="21"/>
      <w:szCs w:val="21"/>
    </w:rPr>
  </w:style>
  <w:style w:type="paragraph" w:styleId="a3">
    <w:name w:val="footer"/>
    <w:basedOn w:val="a"/>
    <w:link w:val="Char"/>
    <w:uiPriority w:val="99"/>
    <w:rsid w:val="008344E7"/>
    <w:pPr>
      <w:tabs>
        <w:tab w:val="center" w:pos="4153"/>
        <w:tab w:val="right" w:pos="8306"/>
      </w:tabs>
      <w:snapToGrid w:val="0"/>
      <w:jc w:val="left"/>
    </w:pPr>
    <w:rPr>
      <w:sz w:val="18"/>
      <w:szCs w:val="18"/>
    </w:rPr>
  </w:style>
  <w:style w:type="paragraph" w:styleId="a4">
    <w:name w:val="header"/>
    <w:basedOn w:val="a"/>
    <w:link w:val="Char0"/>
    <w:uiPriority w:val="99"/>
    <w:qFormat/>
    <w:rsid w:val="008344E7"/>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1Char">
    <w:name w:val="标题 1 Char"/>
    <w:basedOn w:val="a0"/>
    <w:link w:val="1"/>
    <w:uiPriority w:val="99"/>
    <w:locked/>
    <w:rsid w:val="008344E7"/>
    <w:rPr>
      <w:rFonts w:ascii="Calibri" w:hAnsi="Calibri" w:cs="Calibri"/>
      <w:b/>
      <w:bCs/>
      <w:kern w:val="44"/>
      <w:sz w:val="44"/>
      <w:szCs w:val="44"/>
    </w:rPr>
  </w:style>
  <w:style w:type="character" w:customStyle="1" w:styleId="Char">
    <w:name w:val="页脚 Char"/>
    <w:basedOn w:val="a0"/>
    <w:link w:val="a3"/>
    <w:uiPriority w:val="99"/>
    <w:semiHidden/>
    <w:qFormat/>
    <w:locked/>
    <w:rsid w:val="008344E7"/>
    <w:rPr>
      <w:rFonts w:ascii="Calibri" w:hAnsi="Calibri" w:cs="Calibri"/>
      <w:sz w:val="18"/>
      <w:szCs w:val="18"/>
    </w:rPr>
  </w:style>
  <w:style w:type="character" w:customStyle="1" w:styleId="Char0">
    <w:name w:val="页眉 Char"/>
    <w:basedOn w:val="a0"/>
    <w:link w:val="a4"/>
    <w:uiPriority w:val="99"/>
    <w:semiHidden/>
    <w:qFormat/>
    <w:locked/>
    <w:rsid w:val="008344E7"/>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355</Words>
  <Characters>2027</Characters>
  <Application>Microsoft Office Word</Application>
  <DocSecurity>0</DocSecurity>
  <Lines>16</Lines>
  <Paragraphs>4</Paragraphs>
  <ScaleCrop>false</ScaleCrop>
  <Company>Microsoft</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溆浦县永久基本农田补划</dc:title>
  <dc:creator>Administrator</dc:creator>
  <cp:lastModifiedBy>Administrator</cp:lastModifiedBy>
  <cp:revision>6</cp:revision>
  <dcterms:created xsi:type="dcterms:W3CDTF">2021-06-08T02:55:00Z</dcterms:created>
  <dcterms:modified xsi:type="dcterms:W3CDTF">2021-08-10T03:49:00Z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88027DB7152B4B8E8079448D5C8AEF2D</vt:lpwstr>
  </property>
</Properties>
</file>