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sz w:val="56"/>
          <w:szCs w:val="56"/>
        </w:rPr>
      </w:pPr>
    </w:p>
    <w:p>
      <w:pPr>
        <w:pStyle w:val="9"/>
        <w:jc w:val="center"/>
        <w:rPr>
          <w:rFonts w:hint="eastAsia"/>
          <w:sz w:val="56"/>
          <w:szCs w:val="56"/>
        </w:rPr>
      </w:pPr>
    </w:p>
    <w:p>
      <w:pPr>
        <w:pStyle w:val="9"/>
        <w:jc w:val="center"/>
        <w:rPr>
          <w:rFonts w:hint="eastAsia"/>
          <w:sz w:val="84"/>
          <w:szCs w:val="84"/>
        </w:rPr>
      </w:pPr>
    </w:p>
    <w:p>
      <w:pPr>
        <w:pStyle w:val="9"/>
        <w:jc w:val="center"/>
        <w:rPr>
          <w:rFonts w:hint="eastAsia"/>
          <w:sz w:val="84"/>
          <w:szCs w:val="84"/>
        </w:rPr>
      </w:pPr>
    </w:p>
    <w:p>
      <w:pPr>
        <w:pStyle w:val="9"/>
        <w:jc w:val="center"/>
        <w:rPr>
          <w:rFonts w:hint="eastAsia"/>
          <w:sz w:val="84"/>
          <w:szCs w:val="84"/>
        </w:rPr>
      </w:pPr>
      <w:r>
        <w:rPr>
          <w:rFonts w:hint="eastAsia"/>
          <w:sz w:val="84"/>
          <w:szCs w:val="84"/>
        </w:rPr>
        <w:t>2019年度</w:t>
      </w:r>
    </w:p>
    <w:p>
      <w:pPr>
        <w:pStyle w:val="9"/>
        <w:jc w:val="center"/>
        <w:rPr>
          <w:rFonts w:hint="eastAsia"/>
          <w:sz w:val="84"/>
          <w:szCs w:val="84"/>
        </w:rPr>
      </w:pPr>
      <w:r>
        <w:rPr>
          <w:rFonts w:hint="eastAsia"/>
          <w:sz w:val="84"/>
          <w:szCs w:val="84"/>
        </w:rPr>
        <w:t>溆浦县微生物研究所部门决算</w:t>
      </w:r>
    </w:p>
    <w:p>
      <w:pPr>
        <w:pStyle w:val="9"/>
        <w:jc w:val="center"/>
        <w:rPr>
          <w:rFonts w:hint="eastAsia"/>
          <w:sz w:val="56"/>
          <w:szCs w:val="56"/>
        </w:rPr>
      </w:pPr>
    </w:p>
    <w:p>
      <w:pPr>
        <w:pStyle w:val="9"/>
        <w:jc w:val="center"/>
        <w:rPr>
          <w:rFonts w:hint="eastAsia"/>
          <w:sz w:val="56"/>
          <w:szCs w:val="56"/>
        </w:rPr>
      </w:pPr>
    </w:p>
    <w:p>
      <w:pPr>
        <w:pStyle w:val="9"/>
        <w:jc w:val="center"/>
        <w:rPr>
          <w:rFonts w:hint="eastAsia"/>
          <w:sz w:val="56"/>
          <w:szCs w:val="56"/>
        </w:rPr>
      </w:pPr>
    </w:p>
    <w:p>
      <w:pPr>
        <w:pStyle w:val="9"/>
        <w:jc w:val="center"/>
        <w:rPr>
          <w:rFonts w:hint="eastAsia"/>
          <w:sz w:val="56"/>
          <w:szCs w:val="56"/>
        </w:rPr>
      </w:pPr>
    </w:p>
    <w:p>
      <w:pPr>
        <w:pStyle w:val="9"/>
        <w:jc w:val="center"/>
        <w:rPr>
          <w:rFonts w:hint="eastAsia"/>
          <w:sz w:val="56"/>
          <w:szCs w:val="56"/>
        </w:rPr>
      </w:pPr>
    </w:p>
    <w:p>
      <w:pPr>
        <w:pStyle w:val="9"/>
        <w:jc w:val="center"/>
        <w:rPr>
          <w:rFonts w:hint="eastAsia"/>
          <w:sz w:val="56"/>
          <w:szCs w:val="56"/>
        </w:rPr>
      </w:pPr>
    </w:p>
    <w:p>
      <w:pPr>
        <w:pStyle w:val="9"/>
        <w:spacing w:line="520" w:lineRule="exact"/>
        <w:jc w:val="center"/>
        <w:rPr>
          <w:rFonts w:hint="eastAsia"/>
          <w:sz w:val="56"/>
          <w:szCs w:val="56"/>
        </w:rPr>
      </w:pPr>
      <w:r>
        <w:rPr>
          <w:rFonts w:hint="eastAsia"/>
          <w:sz w:val="56"/>
          <w:szCs w:val="56"/>
        </w:rPr>
        <w:t>目录</w:t>
      </w:r>
    </w:p>
    <w:p>
      <w:pPr>
        <w:pStyle w:val="9"/>
        <w:spacing w:line="520" w:lineRule="exact"/>
        <w:rPr>
          <w:rFonts w:ascii="仿宋_GB2312" w:hAnsi="仿宋_GB2312" w:cs="仿宋_GB2312"/>
          <w:b/>
          <w:sz w:val="28"/>
          <w:szCs w:val="28"/>
        </w:rPr>
      </w:pPr>
      <w:r>
        <w:rPr>
          <w:rFonts w:hint="eastAsia"/>
          <w:b/>
          <w:sz w:val="28"/>
          <w:szCs w:val="28"/>
        </w:rPr>
        <w:t>第一部分溆浦县微生物研究所单位概况</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2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2019</w:t>
      </w:r>
      <w:r>
        <w:rPr>
          <w:rFonts w:hint="eastAsia" w:hAnsi="仿宋_GB2312"/>
          <w:b/>
          <w:sz w:val="28"/>
          <w:szCs w:val="28"/>
        </w:rPr>
        <w:t>年度部门决算表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2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2019</w:t>
      </w:r>
      <w:r>
        <w:rPr>
          <w:rFonts w:hint="eastAsia" w:hAnsi="仿宋_GB2312"/>
          <w:b/>
          <w:sz w:val="28"/>
          <w:szCs w:val="28"/>
        </w:rPr>
        <w:t>年度部门决算情况说明</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第五部分附件</w:t>
      </w:r>
    </w:p>
    <w:p>
      <w:pPr>
        <w:jc w:val="center"/>
        <w:rPr>
          <w:rFonts w:hint="eastAsia"/>
          <w:sz w:val="72"/>
          <w:szCs w:val="72"/>
        </w:rPr>
      </w:pPr>
    </w:p>
    <w:p>
      <w:pPr>
        <w:jc w:val="center"/>
        <w:rPr>
          <w:rFonts w:hint="eastAsia"/>
          <w:sz w:val="72"/>
          <w:szCs w:val="72"/>
        </w:rPr>
      </w:pPr>
    </w:p>
    <w:p>
      <w:pPr>
        <w:jc w:val="center"/>
        <w:rPr>
          <w:rFonts w:hint="eastAsia"/>
          <w:sz w:val="72"/>
          <w:szCs w:val="72"/>
        </w:rPr>
      </w:pPr>
    </w:p>
    <w:p>
      <w:pPr>
        <w:rPr>
          <w:rFonts w:hint="eastAsia"/>
          <w:sz w:val="72"/>
          <w:szCs w:val="72"/>
        </w:rPr>
      </w:pPr>
    </w:p>
    <w:p>
      <w:pPr>
        <w:rPr>
          <w:rFonts w:hint="eastAsia"/>
          <w:sz w:val="72"/>
          <w:szCs w:val="72"/>
        </w:rPr>
      </w:pPr>
    </w:p>
    <w:p>
      <w:pPr>
        <w:pStyle w:val="9"/>
        <w:jc w:val="center"/>
        <w:rPr>
          <w:rFonts w:hint="eastAsia"/>
          <w:sz w:val="84"/>
          <w:szCs w:val="84"/>
        </w:rPr>
      </w:pPr>
      <w:r>
        <w:rPr>
          <w:rFonts w:hint="eastAsia"/>
          <w:sz w:val="84"/>
          <w:szCs w:val="84"/>
        </w:rPr>
        <w:t>第一部分</w:t>
      </w:r>
    </w:p>
    <w:p>
      <w:pPr>
        <w:pStyle w:val="9"/>
        <w:jc w:val="center"/>
        <w:rPr>
          <w:rFonts w:hint="eastAsia"/>
          <w:sz w:val="84"/>
          <w:szCs w:val="84"/>
        </w:rPr>
      </w:pPr>
    </w:p>
    <w:p>
      <w:pPr>
        <w:pStyle w:val="9"/>
        <w:jc w:val="center"/>
        <w:rPr>
          <w:rFonts w:hint="eastAsia"/>
          <w:sz w:val="84"/>
          <w:szCs w:val="84"/>
        </w:rPr>
      </w:pPr>
      <w:r>
        <w:rPr>
          <w:rFonts w:hint="eastAsia"/>
          <w:sz w:val="84"/>
          <w:szCs w:val="84"/>
        </w:rPr>
        <w:t>溆浦县微生物研究所概况</w:t>
      </w: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left"/>
        <w:rPr>
          <w:rFonts w:ascii="黑体" w:hAnsi="黑体" w:eastAsia="黑体"/>
          <w:sz w:val="32"/>
          <w:szCs w:val="32"/>
        </w:rPr>
      </w:pPr>
    </w:p>
    <w:p>
      <w:pPr>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640" w:firstLineChars="200"/>
        <w:jc w:val="left"/>
        <w:rPr>
          <w:rFonts w:asciiTheme="minorEastAsia" w:hAnsiTheme="minorEastAsia"/>
          <w:sz w:val="32"/>
          <w:szCs w:val="32"/>
        </w:rPr>
      </w:pPr>
      <w:r>
        <w:rPr>
          <w:rFonts w:hint="eastAsia" w:asciiTheme="minorEastAsia" w:hAnsiTheme="minorEastAsia"/>
          <w:sz w:val="32"/>
          <w:szCs w:val="32"/>
        </w:rPr>
        <w:t>溆浦县微生物研究所是全额拨款事业单位，属县林业局二级机构，主要负责白僵菌的研究和生产。</w:t>
      </w:r>
    </w:p>
    <w:p>
      <w:pPr>
        <w:jc w:val="left"/>
        <w:rPr>
          <w:rFonts w:ascii="仿宋_GB2312" w:eastAsia="仿宋_GB2312" w:hAnsiTheme="minorEastAsia"/>
          <w:sz w:val="28"/>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（一）内设机构设置：办公室、财务室。</w:t>
      </w:r>
    </w:p>
    <w:p>
      <w:pPr>
        <w:widowControl/>
        <w:spacing w:line="600" w:lineRule="exact"/>
        <w:rPr>
          <w:rFonts w:ascii="仿宋_GB2312" w:eastAsia="仿宋_GB2312" w:hAnsiTheme="minorEastAsia"/>
          <w:sz w:val="28"/>
          <w:szCs w:val="32"/>
        </w:rPr>
      </w:pPr>
      <w:r>
        <w:rPr>
          <w:rFonts w:hint="eastAsia" w:asciiTheme="minorEastAsia" w:hAnsiTheme="minorEastAsia"/>
          <w:bCs/>
          <w:kern w:val="0"/>
          <w:sz w:val="32"/>
          <w:szCs w:val="32"/>
        </w:rPr>
        <w:t>（二）决算单位构成。</w:t>
      </w:r>
      <w:r>
        <w:rPr>
          <w:rFonts w:hint="eastAsia" w:asciiTheme="minorEastAsia" w:hAnsiTheme="minorEastAsia"/>
          <w:sz w:val="32"/>
          <w:szCs w:val="32"/>
        </w:rPr>
        <w:t>溆浦县微生物研究所</w:t>
      </w:r>
      <w:r>
        <w:rPr>
          <w:rFonts w:asciiTheme="minorEastAsia" w:hAnsiTheme="minorEastAsia"/>
          <w:bCs/>
          <w:kern w:val="0"/>
          <w:sz w:val="32"/>
          <w:szCs w:val="32"/>
        </w:rPr>
        <w:t>2019</w:t>
      </w:r>
      <w:r>
        <w:rPr>
          <w:rFonts w:hint="eastAsia" w:asciiTheme="minorEastAsia" w:hAnsiTheme="minorEastAsia"/>
          <w:bCs/>
          <w:kern w:val="0"/>
          <w:sz w:val="32"/>
          <w:szCs w:val="32"/>
        </w:rPr>
        <w:t>年部门决算汇总公开单位构成包括：</w:t>
      </w:r>
      <w:r>
        <w:rPr>
          <w:rFonts w:hint="eastAsia" w:asciiTheme="minorEastAsia" w:hAnsiTheme="minorEastAsia"/>
          <w:sz w:val="32"/>
          <w:szCs w:val="32"/>
        </w:rPr>
        <w:t>溆浦县微生物研究所，无二级机构</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r>
        <w:rPr>
          <w:rFonts w:hint="eastAsia"/>
          <w:sz w:val="72"/>
          <w:szCs w:val="72"/>
        </w:rPr>
        <w:t>第二部分</w:t>
      </w:r>
    </w:p>
    <w:p>
      <w:pPr>
        <w:jc w:val="center"/>
        <w:rPr>
          <w:rFonts w:hint="eastAsia"/>
          <w:sz w:val="72"/>
          <w:szCs w:val="72"/>
        </w:rPr>
      </w:pPr>
    </w:p>
    <w:p>
      <w:pPr>
        <w:jc w:val="center"/>
        <w:rPr>
          <w:rFonts w:hint="eastAsia"/>
          <w:sz w:val="72"/>
          <w:szCs w:val="72"/>
        </w:rPr>
      </w:pPr>
      <w:r>
        <w:rPr>
          <w:rFonts w:hint="eastAsia"/>
          <w:sz w:val="72"/>
          <w:szCs w:val="72"/>
        </w:rPr>
        <w:t>部门决算表</w:t>
      </w: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left"/>
        <w:rPr>
          <w:rFonts w:hint="eastAsia"/>
          <w:sz w:val="32"/>
          <w:szCs w:val="32"/>
        </w:rPr>
      </w:pPr>
    </w:p>
    <w:p>
      <w:pPr>
        <w:jc w:val="left"/>
        <w:rPr>
          <w:rFonts w:asciiTheme="minorEastAsia" w:hAnsiTheme="minorEastAsia"/>
          <w:sz w:val="32"/>
          <w:szCs w:val="32"/>
        </w:rPr>
        <w:sectPr>
          <w:pgSz w:w="11906" w:h="16838"/>
          <w:pgMar w:top="1440" w:right="1800" w:bottom="1440" w:left="1800" w:header="851" w:footer="992" w:gutter="0"/>
          <w:cols w:space="425" w:num="1"/>
          <w:docGrid w:type="lines" w:linePitch="312" w:charSpace="0"/>
        </w:sectPr>
      </w:pPr>
    </w:p>
    <w:p>
      <w:pPr>
        <w:jc w:val="center"/>
        <w:rPr>
          <w:rFonts w:ascii="黑体" w:hAnsi="黑体" w:eastAsia="黑体"/>
          <w:sz w:val="36"/>
          <w:szCs w:val="32"/>
        </w:rPr>
      </w:pPr>
      <w:r>
        <w:rPr>
          <w:rFonts w:hint="eastAsia" w:ascii="黑体" w:hAnsi="黑体" w:eastAsia="黑体"/>
          <w:sz w:val="36"/>
          <w:szCs w:val="32"/>
        </w:rPr>
        <w:t>收入支出决算总表</w:t>
      </w:r>
    </w:p>
    <w:p>
      <w:pPr>
        <w:widowControl/>
        <w:spacing w:line="320" w:lineRule="exact"/>
        <w:ind w:right="198"/>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部门：溆浦县微生物研究所                                                                                                公开</w:t>
      </w:r>
      <w:r>
        <w:rPr>
          <w:rFonts w:ascii="Times New Roman" w:hAnsi="Times New Roman" w:eastAsia="仿宋_GB2312" w:cs="Times New Roman"/>
          <w:color w:val="000000"/>
          <w:kern w:val="0"/>
          <w:szCs w:val="21"/>
        </w:rPr>
        <w:t>01</w:t>
      </w:r>
      <w:r>
        <w:rPr>
          <w:rFonts w:hint="eastAsia" w:ascii="Times New Roman" w:hAnsi="Times New Roman" w:eastAsia="仿宋_GB2312" w:cs="Times New Roman"/>
          <w:color w:val="000000"/>
          <w:kern w:val="0"/>
          <w:szCs w:val="21"/>
        </w:rPr>
        <w:t>表</w:t>
      </w:r>
    </w:p>
    <w:p>
      <w:pPr>
        <w:widowControl/>
        <w:spacing w:line="320" w:lineRule="exact"/>
        <w:ind w:right="198"/>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单位：万元</w:t>
      </w:r>
    </w:p>
    <w:tbl>
      <w:tblPr>
        <w:tblStyle w:val="5"/>
        <w:tblW w:w="14061" w:type="dxa"/>
        <w:jc w:val="center"/>
        <w:tblLayout w:type="autofit"/>
        <w:tblCellMar>
          <w:top w:w="0" w:type="dxa"/>
          <w:left w:w="108" w:type="dxa"/>
          <w:bottom w:w="0" w:type="dxa"/>
          <w:right w:w="108" w:type="dxa"/>
        </w:tblCellMar>
      </w:tblPr>
      <w:tblGrid>
        <w:gridCol w:w="4932"/>
        <w:gridCol w:w="702"/>
        <w:gridCol w:w="1224"/>
        <w:gridCol w:w="4820"/>
        <w:gridCol w:w="702"/>
        <w:gridCol w:w="1681"/>
      </w:tblGrid>
      <w:tr>
        <w:tblPrEx>
          <w:tblCellMar>
            <w:top w:w="0" w:type="dxa"/>
            <w:left w:w="108" w:type="dxa"/>
            <w:bottom w:w="0" w:type="dxa"/>
            <w:right w:w="108" w:type="dxa"/>
          </w:tblCellMar>
        </w:tblPrEx>
        <w:trPr>
          <w:trHeight w:val="340" w:hRule="atLeast"/>
          <w:jc w:val="center"/>
        </w:trPr>
        <w:tc>
          <w:tcPr>
            <w:tcW w:w="6858"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收入</w:t>
            </w:r>
          </w:p>
        </w:tc>
        <w:tc>
          <w:tcPr>
            <w:tcW w:w="7203" w:type="dxa"/>
            <w:gridSpan w:val="3"/>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支出</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项目</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项目</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栏次</w:t>
            </w:r>
          </w:p>
        </w:tc>
        <w:tc>
          <w:tcPr>
            <w:tcW w:w="702" w:type="dxa"/>
            <w:tcBorders>
              <w:top w:val="nil"/>
              <w:left w:val="nil"/>
              <w:bottom w:val="single" w:color="auto" w:sz="4" w:space="0"/>
              <w:right w:val="single" w:color="auto" w:sz="4" w:space="0"/>
            </w:tcBorders>
            <w:noWrap/>
            <w:vAlign w:val="center"/>
          </w:tcPr>
          <w:p>
            <w:pP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17.75</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一、一般公共服务支出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6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二、政府性基金预算财政拨款收入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二、外交支出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三、上级补助收入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三、国防支出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四、事业收入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四、公共安全支出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五、经营收入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五、教育支出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六、附属单位上缴收入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六、科学技术支出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七、其他收入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七、农林水支出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17.75</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本年收入合计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17.75</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本年支出合计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17.75</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用事业基金弥补收支差额</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结余分配</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年初结转和结余</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0.06</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年末结转和结余</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0.06</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17.81</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17.81</w:t>
            </w:r>
          </w:p>
        </w:tc>
      </w:tr>
    </w:tbl>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注：本表反映部门本年度的总收支和年末结转结余情况。</w:t>
      </w: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收入决算表</w:t>
      </w:r>
    </w:p>
    <w:p>
      <w:pPr>
        <w:widowControl/>
        <w:ind w:firstLine="630" w:firstLineChars="3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 xml:space="preserve">溆浦县微生物研究所                                                                                                     </w:t>
      </w:r>
      <w:r>
        <w:rPr>
          <w:rFonts w:ascii="Times New Roman" w:hAnsi="Times New Roman" w:eastAsia="仿宋_GB2312" w:cs="Times New Roman"/>
          <w:color w:val="000000"/>
          <w:kern w:val="0"/>
          <w:szCs w:val="21"/>
        </w:rPr>
        <w:t>公开02表</w:t>
      </w:r>
    </w:p>
    <w:p>
      <w:pPr>
        <w:widowControl/>
        <w:ind w:right="63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3813" w:type="dxa"/>
        <w:jc w:val="center"/>
        <w:tblLayout w:type="autofit"/>
        <w:tblCellMar>
          <w:top w:w="0" w:type="dxa"/>
          <w:left w:w="108" w:type="dxa"/>
          <w:bottom w:w="0" w:type="dxa"/>
          <w:right w:w="108" w:type="dxa"/>
        </w:tblCellMar>
      </w:tblPr>
      <w:tblGrid>
        <w:gridCol w:w="1197"/>
        <w:gridCol w:w="1697"/>
        <w:gridCol w:w="1417"/>
        <w:gridCol w:w="1560"/>
        <w:gridCol w:w="1461"/>
        <w:gridCol w:w="1382"/>
        <w:gridCol w:w="1412"/>
        <w:gridCol w:w="1415"/>
        <w:gridCol w:w="2272"/>
      </w:tblGrid>
      <w:tr>
        <w:tblPrEx>
          <w:tblCellMar>
            <w:top w:w="0" w:type="dxa"/>
            <w:left w:w="108" w:type="dxa"/>
            <w:bottom w:w="0" w:type="dxa"/>
            <w:right w:w="108" w:type="dxa"/>
          </w:tblCellMar>
        </w:tblPrEx>
        <w:trPr>
          <w:trHeight w:val="450" w:hRule="atLeast"/>
          <w:jc w:val="center"/>
        </w:trPr>
        <w:tc>
          <w:tcPr>
            <w:tcW w:w="2894" w:type="dxa"/>
            <w:gridSpan w:val="2"/>
            <w:tcBorders>
              <w:top w:val="single" w:color="auto" w:sz="8" w:space="0"/>
              <w:left w:val="single" w:color="auto" w:sz="8" w:space="0"/>
              <w:bottom w:val="single" w:color="auto"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项目</w:t>
            </w:r>
          </w:p>
        </w:tc>
        <w:tc>
          <w:tcPr>
            <w:tcW w:w="1417"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本年收入合计</w:t>
            </w:r>
          </w:p>
        </w:tc>
        <w:tc>
          <w:tcPr>
            <w:tcW w:w="1560"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财政拨款收入</w:t>
            </w:r>
          </w:p>
        </w:tc>
        <w:tc>
          <w:tcPr>
            <w:tcW w:w="1461"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上级补助收入</w:t>
            </w:r>
          </w:p>
        </w:tc>
        <w:tc>
          <w:tcPr>
            <w:tcW w:w="1382"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事业收入</w:t>
            </w:r>
          </w:p>
        </w:tc>
        <w:tc>
          <w:tcPr>
            <w:tcW w:w="1412"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经营收入</w:t>
            </w:r>
          </w:p>
        </w:tc>
        <w:tc>
          <w:tcPr>
            <w:tcW w:w="1415"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附属单位上缴收入</w:t>
            </w:r>
          </w:p>
        </w:tc>
        <w:tc>
          <w:tcPr>
            <w:tcW w:w="2272" w:type="dxa"/>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其他收入</w:t>
            </w:r>
          </w:p>
        </w:tc>
      </w:tr>
      <w:tr>
        <w:tblPrEx>
          <w:tblCellMar>
            <w:top w:w="0" w:type="dxa"/>
            <w:left w:w="108" w:type="dxa"/>
            <w:bottom w:w="0" w:type="dxa"/>
            <w:right w:w="108" w:type="dxa"/>
          </w:tblCellMar>
        </w:tblPrEx>
        <w:trPr>
          <w:trHeight w:val="450" w:hRule="atLeast"/>
          <w:jc w:val="center"/>
        </w:trPr>
        <w:tc>
          <w:tcPr>
            <w:tcW w:w="1197" w:type="dxa"/>
            <w:vMerge w:val="restart"/>
            <w:tcBorders>
              <w:top w:val="single" w:color="auto" w:sz="4" w:space="0"/>
              <w:left w:val="single" w:color="auto" w:sz="8" w:space="0"/>
              <w:bottom w:val="single" w:color="000000"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169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41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56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61"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38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1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1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272"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197" w:type="dxa"/>
            <w:vMerge w:val="continue"/>
            <w:tcBorders>
              <w:top w:val="single" w:color="auto" w:sz="4" w:space="0"/>
              <w:left w:val="single" w:color="auto" w:sz="8" w:space="0"/>
              <w:bottom w:val="single" w:color="000000" w:sz="4" w:space="0"/>
              <w:right w:val="nil"/>
            </w:tcBorders>
            <w:vAlign w:val="center"/>
          </w:tcPr>
          <w:p>
            <w:pPr>
              <w:widowControl/>
              <w:jc w:val="left"/>
              <w:rPr>
                <w:rFonts w:ascii="Times New Roman" w:hAnsi="Times New Roman" w:eastAsia="仿宋_GB2312" w:cs="Times New Roman"/>
                <w:kern w:val="0"/>
                <w:szCs w:val="21"/>
              </w:rPr>
            </w:pPr>
          </w:p>
        </w:tc>
        <w:tc>
          <w:tcPr>
            <w:tcW w:w="169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1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56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61"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38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1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1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272"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2894" w:type="dxa"/>
            <w:gridSpan w:val="2"/>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38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4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4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2272" w:type="dxa"/>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r>
      <w:tr>
        <w:tblPrEx>
          <w:tblCellMar>
            <w:top w:w="0" w:type="dxa"/>
            <w:left w:w="108" w:type="dxa"/>
            <w:bottom w:w="0" w:type="dxa"/>
            <w:right w:w="108" w:type="dxa"/>
          </w:tblCellMar>
        </w:tblPrEx>
        <w:trPr>
          <w:trHeight w:val="450" w:hRule="atLeast"/>
          <w:jc w:val="center"/>
        </w:trPr>
        <w:tc>
          <w:tcPr>
            <w:tcW w:w="2894" w:type="dxa"/>
            <w:gridSpan w:val="2"/>
            <w:tcBorders>
              <w:top w:val="nil"/>
              <w:left w:val="single" w:color="auto" w:sz="8"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17.75</w:t>
            </w:r>
            <w:r>
              <w:rPr>
                <w:rFonts w:ascii="Times New Roman" w:hAnsi="Times New Roman" w:eastAsia="仿宋_GB2312" w:cs="Times New Roman"/>
                <w:kern w:val="0"/>
                <w:szCs w:val="21"/>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17.75</w:t>
            </w:r>
            <w:r>
              <w:rPr>
                <w:rFonts w:ascii="Times New Roman" w:hAnsi="Times New Roman" w:eastAsia="仿宋_GB2312" w:cs="Times New Roman"/>
                <w:kern w:val="0"/>
                <w:szCs w:val="21"/>
              </w:rPr>
              <w:t>　</w:t>
            </w:r>
          </w:p>
        </w:tc>
        <w:tc>
          <w:tcPr>
            <w:tcW w:w="146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27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213</w:t>
            </w:r>
          </w:p>
        </w:tc>
        <w:tc>
          <w:tcPr>
            <w:tcW w:w="169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农林水支出</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17.75</w:t>
            </w:r>
            <w:r>
              <w:rPr>
                <w:rFonts w:ascii="Times New Roman" w:hAnsi="Times New Roman" w:eastAsia="仿宋_GB2312" w:cs="Times New Roman"/>
                <w:kern w:val="0"/>
                <w:szCs w:val="21"/>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17.75</w:t>
            </w:r>
            <w:r>
              <w:rPr>
                <w:rFonts w:ascii="Times New Roman" w:hAnsi="Times New Roman" w:eastAsia="仿宋_GB2312" w:cs="Times New Roman"/>
                <w:kern w:val="0"/>
                <w:szCs w:val="21"/>
              </w:rPr>
              <w:t>　</w:t>
            </w:r>
          </w:p>
        </w:tc>
        <w:tc>
          <w:tcPr>
            <w:tcW w:w="146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27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21302</w:t>
            </w:r>
          </w:p>
        </w:tc>
        <w:tc>
          <w:tcPr>
            <w:tcW w:w="169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林业和草原</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17.75</w:t>
            </w:r>
            <w:r>
              <w:rPr>
                <w:rFonts w:ascii="Times New Roman" w:hAnsi="Times New Roman" w:eastAsia="仿宋_GB2312" w:cs="Times New Roman"/>
                <w:kern w:val="0"/>
                <w:szCs w:val="21"/>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17.75</w:t>
            </w:r>
            <w:r>
              <w:rPr>
                <w:rFonts w:ascii="Times New Roman" w:hAnsi="Times New Roman" w:eastAsia="仿宋_GB2312" w:cs="Times New Roman"/>
                <w:kern w:val="0"/>
                <w:szCs w:val="21"/>
              </w:rPr>
              <w:t>　</w:t>
            </w:r>
          </w:p>
        </w:tc>
        <w:tc>
          <w:tcPr>
            <w:tcW w:w="146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27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2130201</w:t>
            </w:r>
          </w:p>
        </w:tc>
        <w:tc>
          <w:tcPr>
            <w:tcW w:w="169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行政运行</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17.75</w:t>
            </w:r>
            <w:r>
              <w:rPr>
                <w:rFonts w:ascii="Times New Roman" w:hAnsi="Times New Roman" w:eastAsia="仿宋_GB2312" w:cs="Times New Roman"/>
                <w:kern w:val="0"/>
                <w:szCs w:val="21"/>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17.75</w:t>
            </w:r>
            <w:r>
              <w:rPr>
                <w:rFonts w:ascii="Times New Roman" w:hAnsi="Times New Roman" w:eastAsia="仿宋_GB2312" w:cs="Times New Roman"/>
                <w:kern w:val="0"/>
                <w:szCs w:val="21"/>
              </w:rPr>
              <w:t>　</w:t>
            </w:r>
          </w:p>
        </w:tc>
        <w:tc>
          <w:tcPr>
            <w:tcW w:w="146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27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9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6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27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9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6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272"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97" w:type="dxa"/>
            <w:tcBorders>
              <w:top w:val="nil"/>
              <w:left w:val="nil"/>
              <w:bottom w:val="single" w:color="auto" w:sz="8"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7"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60"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61"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5"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272" w:type="dxa"/>
            <w:tcBorders>
              <w:top w:val="nil"/>
              <w:left w:val="nil"/>
              <w:bottom w:val="single" w:color="auto" w:sz="8"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15" w:hRule="atLeast"/>
          <w:jc w:val="center"/>
        </w:trPr>
        <w:tc>
          <w:tcPr>
            <w:tcW w:w="13813" w:type="dxa"/>
            <w:gridSpan w:val="9"/>
            <w:tcBorders>
              <w:top w:val="single" w:color="auto" w:sz="8" w:space="0"/>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注：本表反映部门本年度取得的各项收入情况。</w:t>
            </w:r>
          </w:p>
        </w:tc>
      </w:tr>
    </w:tbl>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支出决算表</w:t>
      </w:r>
    </w:p>
    <w:p>
      <w:pPr>
        <w:widowControl/>
        <w:spacing w:line="400" w:lineRule="exact"/>
        <w:ind w:firstLine="600" w:firstLineChars="300"/>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Cs w:val="21"/>
        </w:rPr>
        <w:t xml:space="preserve">溆浦县微生物研究所                                                                                                     </w:t>
      </w:r>
      <w:r>
        <w:rPr>
          <w:rFonts w:ascii="Times New Roman" w:hAnsi="Times New Roman" w:eastAsia="仿宋_GB2312" w:cs="Times New Roman"/>
          <w:color w:val="000000"/>
          <w:kern w:val="0"/>
          <w:sz w:val="20"/>
          <w:szCs w:val="20"/>
        </w:rPr>
        <w:t>公开03表</w:t>
      </w:r>
    </w:p>
    <w:p>
      <w:pPr>
        <w:widowControl/>
        <w:spacing w:line="400" w:lineRule="exact"/>
        <w:ind w:right="700"/>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单位：万元</w:t>
      </w:r>
    </w:p>
    <w:tbl>
      <w:tblPr>
        <w:tblStyle w:val="5"/>
        <w:tblW w:w="140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02"/>
        <w:gridCol w:w="1505"/>
        <w:gridCol w:w="1519"/>
        <w:gridCol w:w="1985"/>
        <w:gridCol w:w="1842"/>
        <w:gridCol w:w="1843"/>
        <w:gridCol w:w="1985"/>
        <w:gridCol w:w="23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607"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项目</w:t>
            </w:r>
          </w:p>
        </w:tc>
        <w:tc>
          <w:tcPr>
            <w:tcW w:w="1519"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本年支出合计</w:t>
            </w:r>
          </w:p>
        </w:tc>
        <w:tc>
          <w:tcPr>
            <w:tcW w:w="1985"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基本支出</w:t>
            </w:r>
          </w:p>
        </w:tc>
        <w:tc>
          <w:tcPr>
            <w:tcW w:w="1842"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项目支出</w:t>
            </w:r>
          </w:p>
        </w:tc>
        <w:tc>
          <w:tcPr>
            <w:tcW w:w="1843"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上缴上级支出</w:t>
            </w:r>
          </w:p>
        </w:tc>
        <w:tc>
          <w:tcPr>
            <w:tcW w:w="1985"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经营支出</w:t>
            </w:r>
          </w:p>
        </w:tc>
        <w:tc>
          <w:tcPr>
            <w:tcW w:w="2308"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1505"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519"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3"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2308" w:type="dxa"/>
            <w:vMerge w:val="continue"/>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50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519"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3"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2308" w:type="dxa"/>
            <w:vMerge w:val="continue"/>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607" w:type="dxa"/>
            <w:gridSpan w:val="2"/>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519"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42"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43"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308"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607" w:type="dxa"/>
            <w:gridSpan w:val="2"/>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519"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17.75</w:t>
            </w: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17.75</w:t>
            </w:r>
            <w:r>
              <w:rPr>
                <w:rFonts w:ascii="Times New Roman" w:hAnsi="Times New Roman" w:eastAsia="仿宋_GB2312" w:cs="Times New Roman"/>
                <w:kern w:val="0"/>
                <w:szCs w:val="21"/>
              </w:rPr>
              <w:t>　</w:t>
            </w:r>
          </w:p>
        </w:tc>
        <w:tc>
          <w:tcPr>
            <w:tcW w:w="184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213</w:t>
            </w:r>
          </w:p>
        </w:tc>
        <w:tc>
          <w:tcPr>
            <w:tcW w:w="1505"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农林水支出</w:t>
            </w:r>
          </w:p>
        </w:tc>
        <w:tc>
          <w:tcPr>
            <w:tcW w:w="1519"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17.75</w:t>
            </w: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17.75</w:t>
            </w:r>
            <w:r>
              <w:rPr>
                <w:rFonts w:ascii="Times New Roman" w:hAnsi="Times New Roman" w:eastAsia="仿宋_GB2312" w:cs="Times New Roman"/>
                <w:kern w:val="0"/>
                <w:szCs w:val="21"/>
              </w:rPr>
              <w:t>　</w:t>
            </w:r>
          </w:p>
        </w:tc>
        <w:tc>
          <w:tcPr>
            <w:tcW w:w="184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21302</w:t>
            </w:r>
          </w:p>
        </w:tc>
        <w:tc>
          <w:tcPr>
            <w:tcW w:w="1505"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林业和草原</w:t>
            </w:r>
          </w:p>
        </w:tc>
        <w:tc>
          <w:tcPr>
            <w:tcW w:w="1519"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17.75</w:t>
            </w: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17.75</w:t>
            </w:r>
            <w:r>
              <w:rPr>
                <w:rFonts w:ascii="Times New Roman" w:hAnsi="Times New Roman" w:eastAsia="仿宋_GB2312" w:cs="Times New Roman"/>
                <w:kern w:val="0"/>
                <w:szCs w:val="21"/>
              </w:rPr>
              <w:t>　</w:t>
            </w:r>
          </w:p>
        </w:tc>
        <w:tc>
          <w:tcPr>
            <w:tcW w:w="184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6"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2130201</w:t>
            </w:r>
          </w:p>
        </w:tc>
        <w:tc>
          <w:tcPr>
            <w:tcW w:w="1505"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行政运行</w:t>
            </w:r>
          </w:p>
        </w:tc>
        <w:tc>
          <w:tcPr>
            <w:tcW w:w="1519"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17.75</w:t>
            </w: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17.75</w:t>
            </w:r>
            <w:r>
              <w:rPr>
                <w:rFonts w:ascii="Times New Roman" w:hAnsi="Times New Roman" w:eastAsia="仿宋_GB2312" w:cs="Times New Roman"/>
                <w:kern w:val="0"/>
                <w:szCs w:val="21"/>
              </w:rPr>
              <w:t>　</w:t>
            </w:r>
          </w:p>
        </w:tc>
        <w:tc>
          <w:tcPr>
            <w:tcW w:w="184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05"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19"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05"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19"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05"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19"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ind w:firstLine="630" w:firstLineChars="3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注：本表反映部门本年度各项支出情况。</w:t>
      </w: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ind w:left="93"/>
        <w:jc w:val="center"/>
        <w:rPr>
          <w:rFonts w:ascii="Times New Roman" w:hAnsi="Times New Roman" w:eastAsia="方正小标宋_GBK" w:cs="Times New Roman"/>
          <w:color w:val="000000"/>
          <w:kern w:val="0"/>
          <w:sz w:val="36"/>
          <w:szCs w:val="21"/>
        </w:rPr>
      </w:pPr>
      <w:r>
        <w:rPr>
          <w:rFonts w:ascii="Times New Roman" w:hAnsi="Times New Roman" w:eastAsia="方正小标宋_GBK" w:cs="Times New Roman"/>
          <w:color w:val="000000"/>
          <w:kern w:val="0"/>
          <w:sz w:val="36"/>
          <w:szCs w:val="21"/>
        </w:rPr>
        <w:t>财政拨款收入支出决算总表</w:t>
      </w:r>
    </w:p>
    <w:p>
      <w:pPr>
        <w:widowControl/>
        <w:tabs>
          <w:tab w:val="left" w:pos="4453"/>
          <w:tab w:val="left" w:pos="4933"/>
          <w:tab w:val="left" w:pos="6813"/>
          <w:tab w:val="left" w:pos="11113"/>
          <w:tab w:val="left" w:pos="11549"/>
          <w:tab w:val="left" w:pos="13429"/>
          <w:tab w:val="left" w:pos="15089"/>
        </w:tabs>
        <w:spacing w:line="240" w:lineRule="exact"/>
        <w:ind w:left="91" w:right="630"/>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公开04表</w:t>
      </w:r>
    </w:p>
    <w:p>
      <w:pPr>
        <w:widowControl/>
        <w:tabs>
          <w:tab w:val="left" w:pos="13725"/>
          <w:tab w:val="left" w:pos="13755"/>
          <w:tab w:val="left" w:pos="13800"/>
        </w:tabs>
        <w:spacing w:line="240" w:lineRule="exact"/>
        <w:ind w:left="91" w:firstLine="315" w:firstLineChars="1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溆浦县微生物研究所</w:t>
      </w:r>
      <w:r>
        <w:rPr>
          <w:rFonts w:ascii="Times New Roman" w:hAnsi="Times New Roman" w:eastAsia="仿宋_GB2312" w:cs="Times New Roman"/>
          <w:color w:val="000000"/>
          <w:kern w:val="0"/>
          <w:szCs w:val="21"/>
        </w:rPr>
        <w:tab/>
      </w:r>
      <w:r>
        <w:rPr>
          <w:rFonts w:ascii="Times New Roman" w:hAnsi="Times New Roman" w:eastAsia="仿宋_GB2312" w:cs="Times New Roman"/>
          <w:color w:val="000000"/>
          <w:kern w:val="0"/>
          <w:szCs w:val="21"/>
        </w:rPr>
        <w:t>单位：万元</w:t>
      </w:r>
    </w:p>
    <w:tbl>
      <w:tblPr>
        <w:tblStyle w:val="5"/>
        <w:tblW w:w="14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994"/>
        <w:gridCol w:w="480"/>
        <w:gridCol w:w="1880"/>
        <w:gridCol w:w="3761"/>
        <w:gridCol w:w="430"/>
        <w:gridCol w:w="1880"/>
        <w:gridCol w:w="1660"/>
        <w:gridCol w:w="1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5354" w:type="dxa"/>
            <w:gridSpan w:val="3"/>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收入</w:t>
            </w:r>
          </w:p>
        </w:tc>
        <w:tc>
          <w:tcPr>
            <w:tcW w:w="9303" w:type="dxa"/>
            <w:gridSpan w:val="5"/>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2994"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4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金额</w:t>
            </w:r>
          </w:p>
        </w:tc>
        <w:tc>
          <w:tcPr>
            <w:tcW w:w="3761"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43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合计</w:t>
            </w:r>
          </w:p>
        </w:tc>
        <w:tc>
          <w:tcPr>
            <w:tcW w:w="166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一般公共预算财政拨款</w:t>
            </w:r>
          </w:p>
        </w:tc>
        <w:tc>
          <w:tcPr>
            <w:tcW w:w="1572"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761"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17.75</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一、一般公共服务支出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二、政府性基金预算财政拨款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二、外交支出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三、国防支出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四、公共安全支出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五、教育支出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六、科学技术支出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七、农林水支出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17.75</w:t>
            </w: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17.75</w:t>
            </w: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本年收入合计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17.75</w:t>
            </w:r>
          </w:p>
        </w:tc>
        <w:tc>
          <w:tcPr>
            <w:tcW w:w="3761"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本年支出合计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17.75</w:t>
            </w: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17.75</w:t>
            </w: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年初财政拨款结转和结余</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0.06</w:t>
            </w:r>
          </w:p>
        </w:tc>
        <w:tc>
          <w:tcPr>
            <w:tcW w:w="3761"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年末财政拨款结转和结余</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0.06</w:t>
            </w: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0.06</w:t>
            </w: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w:t>
            </w:r>
            <w:r>
              <w:rPr>
                <w:rFonts w:ascii="Times New Roman" w:hAnsi="Times New Roman" w:eastAsia="仿宋_GB2312" w:cs="Times New Roman"/>
                <w:kern w:val="0"/>
                <w:szCs w:val="21"/>
              </w:rPr>
              <w:t>一般公共预算财政拨款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0.06</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w:t>
            </w:r>
            <w:r>
              <w:rPr>
                <w:rFonts w:ascii="Times New Roman" w:hAnsi="Times New Roman" w:eastAsia="仿宋_GB2312" w:cs="Times New Roman"/>
                <w:kern w:val="0"/>
                <w:szCs w:val="21"/>
              </w:rPr>
              <w:t>政府性基金预算财政拨款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27</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17.81</w:t>
            </w:r>
          </w:p>
        </w:tc>
        <w:tc>
          <w:tcPr>
            <w:tcW w:w="3761"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28</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17.81</w:t>
            </w: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17.81</w:t>
            </w: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注：本表反映部门本年度一般公共预算财政拨款和政府性基金预算财政拨款的总收支和年末结转结余情况。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br w:type="page"/>
      </w:r>
    </w:p>
    <w:p>
      <w:pPr>
        <w:widowControl/>
        <w:jc w:val="center"/>
        <w:rPr>
          <w:rFonts w:ascii="Times New Roman" w:hAnsi="Times New Roman" w:eastAsia="方正小标宋_GBK" w:cs="Times New Roman"/>
          <w:kern w:val="0"/>
          <w:sz w:val="36"/>
          <w:szCs w:val="36"/>
        </w:rPr>
      </w:pPr>
      <w:bookmarkStart w:id="0" w:name="RANGE!A1:F16"/>
      <w:r>
        <w:rPr>
          <w:rFonts w:ascii="Times New Roman" w:hAnsi="Times New Roman" w:eastAsia="方正小标宋_GBK" w:cs="Times New Roman"/>
          <w:kern w:val="0"/>
          <w:sz w:val="36"/>
          <w:szCs w:val="36"/>
        </w:rPr>
        <w:t>一般公共预算财政拨款支出决算表</w:t>
      </w:r>
      <w:bookmarkEnd w:id="0"/>
    </w:p>
    <w:p>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 xml:space="preserve">溆浦县微生物研究所                                                                                                         </w:t>
      </w:r>
      <w:r>
        <w:rPr>
          <w:rFonts w:ascii="Times New Roman" w:hAnsi="Times New Roman" w:eastAsia="仿宋_GB2312" w:cs="Times New Roman"/>
          <w:color w:val="000000"/>
          <w:kern w:val="0"/>
          <w:szCs w:val="21"/>
        </w:rPr>
        <w:t>公开05表</w:t>
      </w:r>
    </w:p>
    <w:p>
      <w:pPr>
        <w:widowControl/>
        <w:ind w:firstLine="13440" w:firstLineChars="6400"/>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17.75</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213</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农林水支出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17.75</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21302</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林业和草原</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17.75</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2130201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17.75</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jc w:val="center"/>
        <w:rPr>
          <w:rFonts w:ascii="Times New Roman" w:hAnsi="Times New Roman" w:eastAsia="方正小标宋_GBK" w:cs="Times New Roman"/>
          <w:color w:val="000000"/>
          <w:kern w:val="0"/>
          <w:sz w:val="28"/>
          <w:szCs w:val="36"/>
        </w:rPr>
      </w:pPr>
      <w:bookmarkStart w:id="1" w:name="RANGE!A1:I39"/>
      <w:r>
        <w:rPr>
          <w:rFonts w:ascii="Times New Roman" w:hAnsi="Times New Roman" w:eastAsia="方正小标宋_GBK" w:cs="Times New Roman"/>
          <w:color w:val="000000"/>
          <w:kern w:val="0"/>
          <w:sz w:val="28"/>
          <w:szCs w:val="36"/>
        </w:rPr>
        <w:t>一般公共预算财政拨款基本支出决算表</w:t>
      </w:r>
      <w:bookmarkEnd w:id="1"/>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 xml:space="preserve">溆浦县微生物研究所                                                                                                                </w:t>
      </w:r>
      <w:r>
        <w:rPr>
          <w:rFonts w:ascii="Times New Roman" w:hAnsi="Times New Roman" w:eastAsia="仿宋_GB2312" w:cs="Times New Roman"/>
          <w:color w:val="000000"/>
          <w:kern w:val="0"/>
          <w:szCs w:val="21"/>
        </w:rPr>
        <w:t>公开06表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0" w:type="auto"/>
        <w:tblInd w:w="93" w:type="dxa"/>
        <w:tblLayout w:type="fixed"/>
        <w:tblCellMar>
          <w:top w:w="0" w:type="dxa"/>
          <w:left w:w="108" w:type="dxa"/>
          <w:bottom w:w="0" w:type="dxa"/>
          <w:right w:w="108" w:type="dxa"/>
        </w:tblCellMar>
      </w:tblPr>
      <w:tblGrid>
        <w:gridCol w:w="1149"/>
        <w:gridCol w:w="3306"/>
        <w:gridCol w:w="856"/>
        <w:gridCol w:w="1110"/>
        <w:gridCol w:w="2297"/>
        <w:gridCol w:w="856"/>
        <w:gridCol w:w="1076"/>
        <w:gridCol w:w="4394"/>
        <w:gridCol w:w="856"/>
      </w:tblGrid>
      <w:tr>
        <w:tblPrEx>
          <w:tblCellMar>
            <w:top w:w="0" w:type="dxa"/>
            <w:left w:w="108" w:type="dxa"/>
            <w:bottom w:w="0" w:type="dxa"/>
            <w:right w:w="108" w:type="dxa"/>
          </w:tblCellMar>
        </w:tblPrEx>
        <w:trPr>
          <w:trHeight w:val="585" w:hRule="atLeas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330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11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229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07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439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w:t>
            </w:r>
          </w:p>
        </w:tc>
        <w:tc>
          <w:tcPr>
            <w:tcW w:w="330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工资福利支出</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17.75</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债务利息及费用支出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基本工资</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10.64</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30201</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办公费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国内债务付息</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津贴补贴</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7.11</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30202</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印刷费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国外债务付息</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奖金</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30203</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咨询费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资本性支出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30106</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伙食补助费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手续费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房屋建筑物购建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30107</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绩效工资</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水费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办公设备购置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30108</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机关事业单位基本养老保险费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电费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31003</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专用设备购置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职业年金缴费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邮电费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31005</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基础设施建设</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30110</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职工基本医疗保险缴费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取暖费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31006</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大型修缮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公务员医疗补助缴费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30209</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物业管理费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31007</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信息网络及软件购置更新</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其他社会保障缴费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30211</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差旅费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31008</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物资储备</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住房公积金</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30212</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因公出国（境）费用</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31009</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土地补偿</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30114</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医疗费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30213</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维修（护）费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31010</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安置补助</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30199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其他工资福利支出</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租赁费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地上附着物和青苗补偿</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w:t>
            </w:r>
          </w:p>
        </w:tc>
        <w:tc>
          <w:tcPr>
            <w:tcW w:w="330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对个人和家庭的补助</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会议费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拆迁补偿</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离休费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培训费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31013</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公务用车购置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退休费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公务接待费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31019</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其他交通工具购置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退职（役）费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专用材料费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文物和陈列品购置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30304</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抚恤金</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被装购置费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无形资产购置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30305</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生活补助</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专用燃料费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31099</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其他资本性支出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30306</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救济费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劳务费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30307</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医疗费补助</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委托业务费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39906</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赠与</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30308</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助学金</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工会经费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39907</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国家赔偿费用支出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30309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奖励金</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30229</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福利费</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39908</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对民间非营利组织和群众性自治组织补贴</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30310</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个人农业生产补贴</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30231</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公务用车运行维护费</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39999</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30399</w:t>
            </w:r>
          </w:p>
        </w:tc>
        <w:tc>
          <w:tcPr>
            <w:tcW w:w="3306"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仿宋_GB2312" w:hAnsi="Times New Roman" w:eastAsia="仿宋_GB2312" w:cs="Times New Roman"/>
                <w:color w:val="000000"/>
                <w:kern w:val="0"/>
                <w:sz w:val="18"/>
                <w:szCs w:val="18"/>
              </w:rPr>
              <w:t>对其他个人和家庭的补助支出</w:t>
            </w:r>
          </w:p>
        </w:tc>
        <w:tc>
          <w:tcPr>
            <w:tcW w:w="856"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30239</w:t>
            </w:r>
          </w:p>
        </w:tc>
        <w:tc>
          <w:tcPr>
            <w:tcW w:w="2297"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其他交通费用</w:t>
            </w:r>
          </w:p>
        </w:tc>
        <w:tc>
          <w:tcPr>
            <w:tcW w:w="856"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76"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single" w:color="auto" w:sz="8" w:space="0"/>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30240</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税金及附加费用</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30299</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其他商品和服务支出</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518" w:hRule="exact"/>
        </w:trPr>
        <w:tc>
          <w:tcPr>
            <w:tcW w:w="4455" w:type="dxa"/>
            <w:gridSpan w:val="2"/>
            <w:tcBorders>
              <w:top w:val="nil"/>
              <w:left w:val="single" w:color="auto" w:sz="8" w:space="0"/>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人员经费合计</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r>
              <w:rPr>
                <w:rFonts w:hint="eastAsia" w:ascii="Times New Roman" w:hAnsi="Times New Roman" w:eastAsia="宋体" w:cs="Times New Roman"/>
                <w:color w:val="000000"/>
                <w:kern w:val="0"/>
                <w:sz w:val="18"/>
                <w:szCs w:val="18"/>
              </w:rPr>
              <w:t>17.75</w:t>
            </w:r>
          </w:p>
        </w:tc>
        <w:tc>
          <w:tcPr>
            <w:tcW w:w="9733" w:type="dxa"/>
            <w:gridSpan w:val="5"/>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公用经费合计</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p>
        </w:tc>
      </w:tr>
    </w:tbl>
    <w:p>
      <w:pPr>
        <w:widowControl/>
        <w:jc w:val="left"/>
        <w:rPr>
          <w:rFonts w:ascii="黑体" w:hAnsi="黑体" w:eastAsia="黑体"/>
          <w:szCs w:val="21"/>
        </w:rPr>
      </w:pPr>
      <w:r>
        <w:rPr>
          <w:rFonts w:hint="eastAsia" w:ascii="黑体" w:hAnsi="黑体" w:eastAsia="黑体"/>
          <w:szCs w:val="21"/>
        </w:rPr>
        <w:t>注：本表反映部门年度一般公共预算财政拨款基本支出明细情况。</w:t>
      </w:r>
      <w:r>
        <w:rPr>
          <w:rFonts w:ascii="黑体" w:hAnsi="黑体" w:eastAsia="黑体"/>
          <w:szCs w:val="21"/>
        </w:rPr>
        <w:br w:type="page"/>
      </w: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溆浦县微生物研究所                                                                                                              公</w:t>
      </w:r>
      <w:r>
        <w:rPr>
          <w:rFonts w:ascii="Times New Roman" w:hAnsi="Times New Roman" w:eastAsia="仿宋_GB2312" w:cs="Times New Roman"/>
          <w:color w:val="000000"/>
          <w:kern w:val="0"/>
          <w:szCs w:val="21"/>
        </w:rPr>
        <w:t>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nil"/>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r>
    </w:tbl>
    <w:p>
      <w:pPr>
        <w:autoSpaceDE w:val="0"/>
        <w:autoSpaceDN w:val="0"/>
        <w:adjustRightInd w:val="0"/>
        <w:ind w:left="315" w:leftChars="150"/>
        <w:jc w:val="left"/>
        <w:rPr>
          <w:rFonts w:hint="eastAsia"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hint="eastAsia"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hint="eastAsia"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ind w:right="420"/>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 xml:space="preserve">溆浦县微生物研究所                                                                                                             </w:t>
      </w:r>
      <w:r>
        <w:rPr>
          <w:rFonts w:ascii="Times New Roman" w:hAnsi="Times New Roman" w:eastAsia="仿宋_GB2312" w:cs="Times New Roman"/>
          <w:color w:val="000000"/>
          <w:kern w:val="0"/>
          <w:szCs w:val="21"/>
        </w:rPr>
        <w:t>公开08表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color w:val="000000"/>
          <w:kern w:val="0"/>
          <w:szCs w:val="21"/>
        </w:rPr>
        <w:t>溆浦县微生物研究所</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hint="eastAsia"/>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9"/>
        <w:rPr>
          <w:rFonts w:hint="eastAsia"/>
          <w:sz w:val="72"/>
          <w:szCs w:val="72"/>
        </w:rPr>
      </w:pPr>
    </w:p>
    <w:p>
      <w:pPr>
        <w:pStyle w:val="9"/>
        <w:rPr>
          <w:rFonts w:hint="eastAsia"/>
          <w:sz w:val="72"/>
          <w:szCs w:val="72"/>
        </w:rPr>
      </w:pPr>
    </w:p>
    <w:p>
      <w:pPr>
        <w:pStyle w:val="9"/>
        <w:rPr>
          <w:rFonts w:hint="eastAsia"/>
          <w:sz w:val="72"/>
          <w:szCs w:val="72"/>
        </w:rPr>
      </w:pPr>
    </w:p>
    <w:p>
      <w:pPr>
        <w:pStyle w:val="9"/>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r>
        <w:rPr>
          <w:rFonts w:hint="eastAsia"/>
          <w:sz w:val="72"/>
          <w:szCs w:val="72"/>
        </w:rPr>
        <w:t>第三部分</w:t>
      </w:r>
    </w:p>
    <w:p>
      <w:pPr>
        <w:pStyle w:val="9"/>
        <w:jc w:val="center"/>
        <w:rPr>
          <w:rFonts w:hint="eastAsia"/>
          <w:sz w:val="70"/>
          <w:szCs w:val="70"/>
        </w:rPr>
      </w:pPr>
    </w:p>
    <w:p>
      <w:pPr>
        <w:pStyle w:val="9"/>
        <w:jc w:val="center"/>
        <w:rPr>
          <w:rFonts w:hint="eastAsia"/>
          <w:sz w:val="70"/>
          <w:szCs w:val="70"/>
        </w:rPr>
      </w:pPr>
      <w:r>
        <w:rPr>
          <w:sz w:val="70"/>
          <w:szCs w:val="70"/>
        </w:rPr>
        <w:t>2019</w:t>
      </w:r>
      <w:r>
        <w:rPr>
          <w:rFonts w:hint="eastAsia"/>
          <w:sz w:val="70"/>
          <w:szCs w:val="70"/>
        </w:rPr>
        <w:t>年度部门决算情况说明</w:t>
      </w:r>
    </w:p>
    <w:p>
      <w:pPr>
        <w:widowControl/>
        <w:jc w:val="left"/>
        <w:rPr>
          <w:rFonts w:hint="eastAsia"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2019 年度收</w:t>
      </w:r>
      <w:r>
        <w:rPr>
          <w:rFonts w:hint="eastAsia" w:asciiTheme="minorEastAsia" w:hAnsiTheme="minorEastAsia" w:eastAsiaTheme="minorEastAsia"/>
          <w:sz w:val="32"/>
          <w:szCs w:val="32"/>
          <w:lang w:eastAsia="zh-CN"/>
        </w:rPr>
        <w:t>、支总计</w:t>
      </w:r>
      <w:r>
        <w:rPr>
          <w:rFonts w:hint="eastAsia" w:asciiTheme="minorEastAsia" w:hAnsiTheme="minorEastAsia" w:eastAsiaTheme="minorEastAsia"/>
          <w:sz w:val="32"/>
          <w:szCs w:val="32"/>
          <w:lang w:val="en-US" w:eastAsia="zh-CN"/>
        </w:rPr>
        <w:t>17.81万元。因为2014年该机构被撤销，所以无上年对比数据。</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本年收入合计17.75万元，其中：财政拨款收入17.55万元，占100%。</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本年支出合计17.75万元，其中：基本支出17.75万元，占100%。</w:t>
      </w:r>
    </w:p>
    <w:p>
      <w:pPr>
        <w:pStyle w:val="9"/>
        <w:rPr>
          <w:rFonts w:hAnsi="黑体"/>
          <w:b/>
          <w:sz w:val="32"/>
          <w:szCs w:val="32"/>
        </w:rPr>
      </w:pPr>
      <w:r>
        <w:rPr>
          <w:rFonts w:hint="eastAsia" w:hAnsi="黑体"/>
          <w:b/>
          <w:sz w:val="32"/>
          <w:szCs w:val="32"/>
        </w:rPr>
        <w:t>四、财政拨款收入支出决算总体情况说明</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2019年度财政拨款收</w:t>
      </w:r>
      <w:r>
        <w:rPr>
          <w:rFonts w:hint="eastAsia" w:asciiTheme="minorEastAsia" w:hAnsiTheme="minorEastAsia" w:eastAsiaTheme="minorEastAsia"/>
          <w:sz w:val="32"/>
          <w:szCs w:val="32"/>
          <w:lang w:eastAsia="zh-CN"/>
        </w:rPr>
        <w:t>、支</w:t>
      </w:r>
      <w:r>
        <w:rPr>
          <w:rFonts w:hint="eastAsia" w:asciiTheme="minorEastAsia" w:hAnsiTheme="minorEastAsia" w:eastAsiaTheme="minorEastAsia"/>
          <w:sz w:val="32"/>
          <w:szCs w:val="32"/>
        </w:rPr>
        <w:t>总计17.</w:t>
      </w:r>
      <w:r>
        <w:rPr>
          <w:rFonts w:hint="eastAsia" w:asciiTheme="minorEastAsia" w:hAnsiTheme="minorEastAsia" w:eastAsiaTheme="minorEastAsia"/>
          <w:sz w:val="32"/>
          <w:szCs w:val="32"/>
          <w:lang w:val="en-US" w:eastAsia="zh-CN"/>
        </w:rPr>
        <w:t>81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。因为2014年该机构被撤销，所以无上年对比数据。</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2019年度财政拨款支出17.75万元，占本年支出合计的100%，与2018年相比，财政拨款支出减少15.99万元，减少47.39%，主要是因为财政拨款收入减少。</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2019年度财政拨款支出17.75万元，主要用于以下方面：农林水支出17.75万元，占100%。</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2019年度财政拨款支出年初预算数为17.75万元，支出决算数为17.75万元，完成年初预算的100%，其中：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农林水支出（类）林业和草原（款）行政运行（项）。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年初预算为17.75万元，支出决算为17.75万元，完成年初预算的100%。</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2019年度财政拨款基本支出17.75万元，其中：基本工资10.64万元、津贴补贴7.11万元。</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本单位无“三公”经费。</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无</w:t>
      </w:r>
    </w:p>
    <w:p>
      <w:pPr>
        <w:pStyle w:val="9"/>
        <w:rPr>
          <w:rFonts w:hAnsi="黑体"/>
          <w:b/>
          <w:sz w:val="32"/>
          <w:szCs w:val="32"/>
        </w:rPr>
      </w:pPr>
      <w:r>
        <w:rPr>
          <w:rFonts w:hint="eastAsia" w:hAnsi="黑体"/>
          <w:b/>
          <w:sz w:val="32"/>
          <w:szCs w:val="32"/>
        </w:rPr>
        <w:t>八、政府性基金预算收入支出决算情况</w:t>
      </w:r>
    </w:p>
    <w:p>
      <w:pPr>
        <w:pStyle w:val="9"/>
        <w:rPr>
          <w:rFonts w:asciiTheme="minorEastAsia" w:hAnsiTheme="minorEastAsia" w:eastAsiaTheme="minorEastAsia"/>
          <w:i/>
          <w:color w:val="auto"/>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color w:val="auto"/>
          <w:sz w:val="32"/>
          <w:szCs w:val="32"/>
        </w:rPr>
        <w:t xml:space="preserve"> </w:t>
      </w:r>
      <w:r>
        <w:rPr>
          <w:rFonts w:hint="eastAsia" w:asciiTheme="minorEastAsia" w:hAnsiTheme="minorEastAsia" w:eastAsiaTheme="minorEastAsia"/>
          <w:i/>
          <w:color w:val="auto"/>
          <w:sz w:val="32"/>
          <w:szCs w:val="32"/>
        </w:rPr>
        <w:t>本单位无政府性基金收支</w:t>
      </w:r>
    </w:p>
    <w:p>
      <w:pPr>
        <w:pStyle w:val="9"/>
        <w:rPr>
          <w:rFonts w:hAnsi="黑体"/>
          <w:b/>
          <w:sz w:val="32"/>
          <w:szCs w:val="32"/>
        </w:rPr>
      </w:pPr>
      <w:r>
        <w:rPr>
          <w:rFonts w:hint="eastAsia" w:hAnsi="黑体"/>
          <w:b/>
          <w:sz w:val="32"/>
          <w:szCs w:val="32"/>
        </w:rPr>
        <w:t>九、关于2019年度预算绩效情况说明</w:t>
      </w:r>
    </w:p>
    <w:p>
      <w:pPr>
        <w:pStyle w:val="9"/>
        <w:rPr>
          <w:rFonts w:hint="eastAsia" w:asciiTheme="minorEastAsia" w:hAnsiTheme="minorEastAsia" w:eastAsiaTheme="minorEastAsia" w:cstheme="minorEastAsia"/>
          <w:b/>
          <w:sz w:val="32"/>
          <w:szCs w:val="32"/>
        </w:rPr>
      </w:pPr>
      <w:r>
        <w:rPr>
          <w:rFonts w:hint="eastAsia" w:asciiTheme="minorEastAsia" w:hAnsiTheme="minorEastAsia" w:eastAsiaTheme="minorEastAsia"/>
          <w:sz w:val="32"/>
          <w:szCs w:val="32"/>
          <w:lang w:val="en-US" w:eastAsia="zh-CN"/>
        </w:rPr>
        <w:t>因为2014年该机构被撤销，</w:t>
      </w:r>
      <w:r>
        <w:rPr>
          <w:rFonts w:hint="eastAsia" w:asciiTheme="minorEastAsia" w:hAnsiTheme="minorEastAsia" w:eastAsiaTheme="minorEastAsia" w:cstheme="minorEastAsia"/>
          <w:sz w:val="32"/>
          <w:szCs w:val="32"/>
          <w:lang w:val="en-US" w:eastAsia="zh-CN"/>
        </w:rPr>
        <w:t>所以无</w:t>
      </w:r>
      <w:r>
        <w:rPr>
          <w:rFonts w:hint="eastAsia" w:asciiTheme="minorEastAsia" w:hAnsiTheme="minorEastAsia" w:eastAsiaTheme="minorEastAsia" w:cstheme="minorEastAsia"/>
          <w:b w:val="0"/>
          <w:bCs/>
          <w:sz w:val="32"/>
          <w:szCs w:val="32"/>
        </w:rPr>
        <w:t>2019年度预算绩效情况说明</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w:t>
      </w:r>
    </w:p>
    <w:p>
      <w:pPr>
        <w:pStyle w:val="9"/>
        <w:rPr>
          <w:rFonts w:hAnsi="黑体"/>
          <w:b/>
          <w:sz w:val="32"/>
          <w:szCs w:val="32"/>
        </w:rPr>
      </w:pPr>
      <w:r>
        <w:rPr>
          <w:rFonts w:hint="eastAsia" w:hAnsi="黑体"/>
          <w:b/>
          <w:sz w:val="32"/>
          <w:szCs w:val="32"/>
        </w:rPr>
        <w:t>十、其他重要事项情况说明</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ind w:firstLine="1280" w:firstLineChars="4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无</w:t>
      </w:r>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（二）一般性支出情况</w:t>
      </w:r>
    </w:p>
    <w:p>
      <w:pPr>
        <w:ind w:firstLine="1280" w:firstLineChars="4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无</w:t>
      </w:r>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（三）政府采购支出情况</w:t>
      </w:r>
    </w:p>
    <w:p>
      <w:pPr>
        <w:ind w:firstLine="1440" w:firstLineChars="450"/>
        <w:rPr>
          <w:rFonts w:cs="黑体" w:asciiTheme="minorEastAsia" w:hAnsiTheme="minorEastAsia"/>
          <w:i/>
          <w:color w:val="FF0000"/>
          <w:kern w:val="0"/>
          <w:sz w:val="32"/>
          <w:szCs w:val="32"/>
        </w:rPr>
      </w:pPr>
      <w:r>
        <w:rPr>
          <w:rFonts w:hint="eastAsia" w:cs="黑体" w:asciiTheme="minorEastAsia" w:hAnsiTheme="minorEastAsia"/>
          <w:color w:val="000000"/>
          <w:kern w:val="0"/>
          <w:sz w:val="32"/>
          <w:szCs w:val="32"/>
        </w:rPr>
        <w:t>无</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（四）国有资产占用情况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截至2019年12月31日，本单位共有车辆0辆。单位价值50万元以上通用设备0台（套）；单位价值100万元以上专用设备0台（套）。</w:t>
      </w:r>
    </w:p>
    <w:p>
      <w:pPr>
        <w:widowControl/>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br w:type="page"/>
      </w:r>
    </w:p>
    <w:p>
      <w:pPr>
        <w:ind w:firstLine="640" w:firstLineChars="200"/>
        <w:rPr>
          <w:rFonts w:cs="黑体" w:asciiTheme="minorEastAsia" w:hAnsiTheme="minorEastAsia"/>
          <w:color w:val="000000"/>
          <w:kern w:val="0"/>
          <w:sz w:val="32"/>
          <w:szCs w:val="3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r>
        <w:rPr>
          <w:rFonts w:hint="eastAsia"/>
          <w:sz w:val="72"/>
          <w:szCs w:val="72"/>
        </w:rPr>
        <w:t>第四部分</w:t>
      </w: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hint="eastAsia" w:ascii="黑体" w:eastAsia="黑体" w:cs="黑体"/>
          <w:color w:val="000000"/>
          <w:kern w:val="0"/>
          <w:sz w:val="32"/>
          <w:szCs w:val="32"/>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pStyle w:val="9"/>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1、财政拨款收入：指县财政当年拨付的资金。</w:t>
      </w:r>
    </w:p>
    <w:p>
      <w:pPr>
        <w:pStyle w:val="9"/>
        <w:ind w:firstLine="640" w:firstLineChars="200"/>
        <w:jc w:val="left"/>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2、基本支出：指部门为保障其机构正常运转、完成日常工作任务的年度基本支出，包括人员经费和公用经费两部分。</w:t>
      </w:r>
    </w:p>
    <w:p>
      <w:pPr>
        <w:pStyle w:val="9"/>
        <w:ind w:firstLine="640" w:firstLineChars="200"/>
        <w:jc w:val="left"/>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w:t>
      </w:r>
      <w:r>
        <w:rPr>
          <w:rFonts w:asciiTheme="minorEastAsia" w:hAnsiTheme="minorEastAsia" w:eastAsiaTheme="minorEastAsia"/>
          <w:sz w:val="32"/>
          <w:szCs w:val="32"/>
        </w:rPr>
        <w:t>“三公”经费:包括因公出国（境）费、公务接待费和公务用车购置及运行费</w:t>
      </w:r>
      <w:r>
        <w:rPr>
          <w:rFonts w:hint="eastAsia" w:asciiTheme="minorEastAsia" w:hAnsiTheme="minorEastAsia" w:eastAsiaTheme="minorEastAsia"/>
          <w:sz w:val="32"/>
          <w:szCs w:val="32"/>
        </w:rPr>
        <w:t>。</w:t>
      </w:r>
      <w:r>
        <w:rPr>
          <w:rFonts w:asciiTheme="minorEastAsia" w:hAnsiTheme="minorEastAsia" w:eastAsiaTheme="minorEastAsia"/>
          <w:sz w:val="32"/>
          <w:szCs w:val="32"/>
        </w:rPr>
        <w:t>因公出国（境）费，指单位工作人员公务出国（境）的住宿费、旅费、伙食补助费、杂费、培训费等支出</w:t>
      </w:r>
      <w:r>
        <w:rPr>
          <w:rFonts w:hint="eastAsia" w:asciiTheme="minorEastAsia" w:hAnsiTheme="minorEastAsia" w:eastAsiaTheme="minorEastAsia"/>
          <w:sz w:val="32"/>
          <w:szCs w:val="32"/>
        </w:rPr>
        <w:t>。</w:t>
      </w:r>
      <w:r>
        <w:rPr>
          <w:rFonts w:asciiTheme="minorEastAsia" w:hAnsiTheme="minorEastAsia" w:eastAsiaTheme="minorEastAsia"/>
          <w:sz w:val="32"/>
          <w:szCs w:val="32"/>
        </w:rPr>
        <w:t>公务接待费，指单位按规定开支的各类公务接待（含外宾接待）支出</w:t>
      </w:r>
      <w:r>
        <w:rPr>
          <w:rFonts w:hint="eastAsia" w:asciiTheme="minorEastAsia" w:hAnsiTheme="minorEastAsia" w:eastAsiaTheme="minorEastAsia"/>
          <w:sz w:val="32"/>
          <w:szCs w:val="32"/>
        </w:rPr>
        <w:t>。</w:t>
      </w:r>
      <w:r>
        <w:rPr>
          <w:rFonts w:asciiTheme="minorEastAsia" w:hAnsiTheme="minorEastAsia" w:eastAsiaTheme="minorEastAsia"/>
          <w:sz w:val="32"/>
          <w:szCs w:val="32"/>
        </w:rPr>
        <w:t>公务用车购置及运行费，指单位公务用车购置费及租用费、燃料费、维修费、过路过桥费、保险费、安全奖励费用等支出</w:t>
      </w:r>
      <w:r>
        <w:rPr>
          <w:rFonts w:hint="eastAsia" w:asciiTheme="minorEastAsia" w:hAnsiTheme="minorEastAsia" w:eastAsiaTheme="minorEastAsia"/>
          <w:sz w:val="32"/>
          <w:szCs w:val="32"/>
        </w:rPr>
        <w:t>，</w:t>
      </w:r>
      <w:r>
        <w:rPr>
          <w:rFonts w:asciiTheme="minorEastAsia" w:hAnsiTheme="minorEastAsia" w:eastAsiaTheme="minorEastAsia"/>
          <w:sz w:val="32"/>
          <w:szCs w:val="32"/>
        </w:rPr>
        <w:t>公务用车指用于履行公务的机动车辆。</w:t>
      </w:r>
    </w:p>
    <w:p>
      <w:pPr>
        <w:pStyle w:val="9"/>
        <w:ind w:firstLine="640" w:firstLineChars="200"/>
        <w:jc w:val="left"/>
        <w:rPr>
          <w:sz w:val="72"/>
          <w:szCs w:val="72"/>
        </w:rPr>
      </w:pPr>
      <w:r>
        <w:rPr>
          <w:rFonts w:hint="eastAsia" w:asciiTheme="minorEastAsia" w:hAnsiTheme="minorEastAsia" w:eastAsiaTheme="minorEastAsia"/>
          <w:sz w:val="32"/>
          <w:szCs w:val="32"/>
        </w:rPr>
        <w:t>4、机关运行经费：</w:t>
      </w:r>
      <w:r>
        <w:rPr>
          <w:rFonts w:asciiTheme="minorEastAsia" w:hAnsiTheme="minorEastAsia" w:eastAsiaTheme="minorEastAsia"/>
          <w:sz w:val="32"/>
          <w:szCs w:val="32"/>
        </w:rPr>
        <w:t>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9"/>
        <w:jc w:val="center"/>
        <w:rPr>
          <w:sz w:val="72"/>
          <w:szCs w:val="72"/>
        </w:rPr>
      </w:pPr>
    </w:p>
    <w:p>
      <w:pPr>
        <w:widowControl/>
        <w:jc w:val="left"/>
        <w:rPr>
          <w:rFonts w:asciiTheme="minorEastAsia" w:hAnsiTheme="minorEastAsia"/>
          <w:i/>
          <w:color w:val="FF0000"/>
          <w:sz w:val="32"/>
          <w:szCs w:val="32"/>
        </w:rPr>
      </w:pPr>
      <w:r>
        <w:rPr>
          <w:rFonts w:asciiTheme="minorEastAsia" w:hAnsiTheme="minorEastAsia"/>
          <w:i/>
          <w:color w:val="FF0000"/>
          <w:sz w:val="32"/>
          <w:szCs w:val="32"/>
        </w:rPr>
        <w:br w:type="page"/>
      </w: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r>
        <w:rPr>
          <w:rFonts w:hint="eastAsia"/>
          <w:sz w:val="72"/>
          <w:szCs w:val="72"/>
        </w:rPr>
        <w:t>第五部分</w:t>
      </w: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hint="eastAsia" w:ascii="黑体" w:eastAsia="黑体" w:cs="黑体"/>
          <w:color w:val="000000"/>
          <w:kern w:val="0"/>
          <w:sz w:val="70"/>
          <w:szCs w:val="70"/>
        </w:rPr>
      </w:pPr>
      <w:r>
        <w:rPr>
          <w:rFonts w:ascii="黑体" w:eastAsia="黑体" w:cs="黑体"/>
          <w:color w:val="000000"/>
          <w:kern w:val="0"/>
          <w:sz w:val="70"/>
          <w:szCs w:val="70"/>
        </w:rPr>
        <w:br w:type="page"/>
      </w:r>
    </w:p>
    <w:p>
      <w:pPr>
        <w:jc w:val="center"/>
        <w:rPr>
          <w:rFonts w:hint="eastAsia" w:ascii="黑体" w:eastAsia="黑体" w:cs="黑体"/>
          <w:color w:val="000000"/>
          <w:kern w:val="0"/>
          <w:sz w:val="70"/>
          <w:szCs w:val="70"/>
        </w:rPr>
      </w:pPr>
    </w:p>
    <w:p>
      <w:pPr>
        <w:ind w:firstLine="640" w:firstLineChars="200"/>
        <w:jc w:val="center"/>
        <w:rPr>
          <w:rFonts w:hint="eastAsia" w:cs="黑体" w:asciiTheme="minorEastAsia" w:hAnsiTheme="minorEastAsia"/>
          <w:b/>
          <w:color w:val="000000"/>
          <w:kern w:val="0"/>
          <w:sz w:val="32"/>
          <w:szCs w:val="32"/>
        </w:rPr>
      </w:pPr>
    </w:p>
    <w:p>
      <w:pPr>
        <w:ind w:firstLine="640" w:firstLineChars="200"/>
        <w:jc w:val="center"/>
        <w:rPr>
          <w:rFonts w:hint="eastAsia" w:cs="黑体" w:asciiTheme="minorEastAsia" w:hAnsiTheme="minorEastAsia"/>
          <w:b/>
          <w:color w:val="000000"/>
          <w:kern w:val="0"/>
          <w:sz w:val="32"/>
          <w:szCs w:val="32"/>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2019年度部门整体支出绩效评价报告</w:t>
      </w:r>
    </w:p>
    <w:p>
      <w:pPr>
        <w:pStyle w:val="9"/>
        <w:rPr>
          <w:rFonts w:hint="eastAsia" w:asciiTheme="minorEastAsia" w:hAnsiTheme="minorEastAsia" w:eastAsiaTheme="minorEastAsia"/>
          <w:sz w:val="32"/>
          <w:szCs w:val="32"/>
          <w:lang w:val="en-US" w:eastAsia="zh-CN"/>
        </w:rPr>
      </w:pPr>
    </w:p>
    <w:p>
      <w:pPr>
        <w:pStyle w:val="9"/>
        <w:rPr>
          <w:rFonts w:hint="eastAsia" w:asciiTheme="minorEastAsia" w:hAnsiTheme="minorEastAsia" w:eastAsiaTheme="minorEastAsia"/>
          <w:sz w:val="32"/>
          <w:szCs w:val="32"/>
          <w:lang w:val="en-US" w:eastAsia="zh-CN"/>
        </w:rPr>
      </w:pPr>
    </w:p>
    <w:p>
      <w:pPr>
        <w:pStyle w:val="9"/>
        <w:ind w:firstLine="960" w:firstLineChars="300"/>
        <w:rPr>
          <w:rFonts w:hint="eastAsia" w:asciiTheme="minorEastAsia" w:hAnsiTheme="minorEastAsia" w:eastAsiaTheme="minorEastAsia" w:cstheme="minorEastAsia"/>
          <w:b/>
          <w:sz w:val="32"/>
          <w:szCs w:val="32"/>
          <w:lang w:eastAsia="zh-CN"/>
        </w:rPr>
      </w:pPr>
      <w:r>
        <w:rPr>
          <w:rFonts w:hint="eastAsia" w:asciiTheme="minorEastAsia" w:hAnsiTheme="minorEastAsia" w:eastAsiaTheme="minorEastAsia"/>
          <w:sz w:val="32"/>
          <w:szCs w:val="32"/>
          <w:lang w:val="en-US" w:eastAsia="zh-CN"/>
        </w:rPr>
        <w:t>因为2014年该机构被撤销，</w:t>
      </w:r>
      <w:r>
        <w:rPr>
          <w:rFonts w:hint="eastAsia" w:asciiTheme="minorEastAsia" w:hAnsiTheme="minorEastAsia" w:eastAsiaTheme="minorEastAsia" w:cstheme="minorEastAsia"/>
          <w:sz w:val="32"/>
          <w:szCs w:val="32"/>
          <w:lang w:val="en-US" w:eastAsia="zh-CN"/>
        </w:rPr>
        <w:t>所以无</w:t>
      </w:r>
      <w:r>
        <w:rPr>
          <w:rFonts w:hint="eastAsia" w:asciiTheme="minorEastAsia" w:hAnsiTheme="minorEastAsia" w:eastAsiaTheme="minorEastAsia" w:cstheme="minorEastAsia"/>
          <w:b w:val="0"/>
          <w:bCs/>
          <w:sz w:val="32"/>
          <w:szCs w:val="32"/>
        </w:rPr>
        <w:t>2019年度预算绩效</w:t>
      </w:r>
      <w:r>
        <w:rPr>
          <w:rFonts w:hint="eastAsia" w:asciiTheme="minorEastAsia" w:hAnsiTheme="minorEastAsia" w:eastAsiaTheme="minorEastAsia" w:cstheme="minorEastAsia"/>
          <w:b w:val="0"/>
          <w:bCs/>
          <w:sz w:val="32"/>
          <w:szCs w:val="32"/>
          <w:lang w:eastAsia="zh-CN"/>
        </w:rPr>
        <w:t>评价报告。</w:t>
      </w:r>
    </w:p>
    <w:p>
      <w:pPr>
        <w:ind w:firstLine="640" w:firstLineChars="200"/>
        <w:jc w:val="left"/>
        <w:rPr>
          <w:rFonts w:cs="黑体" w:asciiTheme="minorEastAsia" w:hAnsiTheme="minorEastAsia"/>
          <w:color w:val="000000"/>
          <w:kern w:val="0"/>
          <w:sz w:val="32"/>
          <w:szCs w:val="32"/>
        </w:rPr>
      </w:pPr>
      <w:bookmarkStart w:id="2" w:name="_GoBack"/>
      <w:bookmarkEnd w:id="2"/>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06F9"/>
    <w:rsid w:val="0002229B"/>
    <w:rsid w:val="00026171"/>
    <w:rsid w:val="000273BD"/>
    <w:rsid w:val="000415B7"/>
    <w:rsid w:val="000658A3"/>
    <w:rsid w:val="00074155"/>
    <w:rsid w:val="00082830"/>
    <w:rsid w:val="000A3F69"/>
    <w:rsid w:val="000E6023"/>
    <w:rsid w:val="000F308B"/>
    <w:rsid w:val="00152C6D"/>
    <w:rsid w:val="00162D39"/>
    <w:rsid w:val="001A49F6"/>
    <w:rsid w:val="001A67DB"/>
    <w:rsid w:val="001B084B"/>
    <w:rsid w:val="001D51E5"/>
    <w:rsid w:val="001F0C3B"/>
    <w:rsid w:val="00214427"/>
    <w:rsid w:val="00225941"/>
    <w:rsid w:val="00265724"/>
    <w:rsid w:val="0027426B"/>
    <w:rsid w:val="002853BB"/>
    <w:rsid w:val="00297CF8"/>
    <w:rsid w:val="002B09C4"/>
    <w:rsid w:val="00330BAC"/>
    <w:rsid w:val="003479BD"/>
    <w:rsid w:val="00366EA8"/>
    <w:rsid w:val="003768D5"/>
    <w:rsid w:val="003A49A9"/>
    <w:rsid w:val="003C2BAD"/>
    <w:rsid w:val="004506F9"/>
    <w:rsid w:val="004717A2"/>
    <w:rsid w:val="00491741"/>
    <w:rsid w:val="00494115"/>
    <w:rsid w:val="00495084"/>
    <w:rsid w:val="004B6530"/>
    <w:rsid w:val="004D50FF"/>
    <w:rsid w:val="00500E5F"/>
    <w:rsid w:val="005122EF"/>
    <w:rsid w:val="00517C33"/>
    <w:rsid w:val="00523644"/>
    <w:rsid w:val="0054069E"/>
    <w:rsid w:val="0056739F"/>
    <w:rsid w:val="005767CC"/>
    <w:rsid w:val="00581E6E"/>
    <w:rsid w:val="00590D9F"/>
    <w:rsid w:val="00595D26"/>
    <w:rsid w:val="005A5960"/>
    <w:rsid w:val="005A5BED"/>
    <w:rsid w:val="005A74E6"/>
    <w:rsid w:val="005D4D55"/>
    <w:rsid w:val="005D55B7"/>
    <w:rsid w:val="005E0004"/>
    <w:rsid w:val="005E2CFB"/>
    <w:rsid w:val="0062378F"/>
    <w:rsid w:val="00634837"/>
    <w:rsid w:val="00651EEC"/>
    <w:rsid w:val="00652582"/>
    <w:rsid w:val="00652B8F"/>
    <w:rsid w:val="006A351B"/>
    <w:rsid w:val="006B0422"/>
    <w:rsid w:val="006C1B53"/>
    <w:rsid w:val="006D7730"/>
    <w:rsid w:val="006E5284"/>
    <w:rsid w:val="006F3EB5"/>
    <w:rsid w:val="00702E34"/>
    <w:rsid w:val="00704395"/>
    <w:rsid w:val="007049D4"/>
    <w:rsid w:val="00720FF1"/>
    <w:rsid w:val="00741CEA"/>
    <w:rsid w:val="00747AD8"/>
    <w:rsid w:val="00780DF1"/>
    <w:rsid w:val="007823AC"/>
    <w:rsid w:val="007A1770"/>
    <w:rsid w:val="007B15DB"/>
    <w:rsid w:val="007E669A"/>
    <w:rsid w:val="007F1923"/>
    <w:rsid w:val="00812ED5"/>
    <w:rsid w:val="008157B3"/>
    <w:rsid w:val="008277D9"/>
    <w:rsid w:val="008522BF"/>
    <w:rsid w:val="008A03B8"/>
    <w:rsid w:val="008A3E8D"/>
    <w:rsid w:val="008C2726"/>
    <w:rsid w:val="008D66BD"/>
    <w:rsid w:val="00907B94"/>
    <w:rsid w:val="009237C4"/>
    <w:rsid w:val="00950252"/>
    <w:rsid w:val="0095365D"/>
    <w:rsid w:val="00955C35"/>
    <w:rsid w:val="0095616F"/>
    <w:rsid w:val="009642C8"/>
    <w:rsid w:val="009645B3"/>
    <w:rsid w:val="00967F5D"/>
    <w:rsid w:val="00970BB3"/>
    <w:rsid w:val="009721F3"/>
    <w:rsid w:val="00986301"/>
    <w:rsid w:val="00996444"/>
    <w:rsid w:val="009A0F95"/>
    <w:rsid w:val="009A1A9E"/>
    <w:rsid w:val="009B3ADF"/>
    <w:rsid w:val="009C3B52"/>
    <w:rsid w:val="009F39C8"/>
    <w:rsid w:val="00A37CF1"/>
    <w:rsid w:val="00A42218"/>
    <w:rsid w:val="00A70249"/>
    <w:rsid w:val="00A9573A"/>
    <w:rsid w:val="00AD2714"/>
    <w:rsid w:val="00AE7AB2"/>
    <w:rsid w:val="00B33BEA"/>
    <w:rsid w:val="00B5170A"/>
    <w:rsid w:val="00B57C9F"/>
    <w:rsid w:val="00B72C2B"/>
    <w:rsid w:val="00B845B3"/>
    <w:rsid w:val="00B85D8B"/>
    <w:rsid w:val="00BC5CB6"/>
    <w:rsid w:val="00BE3674"/>
    <w:rsid w:val="00C147F6"/>
    <w:rsid w:val="00C3049A"/>
    <w:rsid w:val="00C31B1E"/>
    <w:rsid w:val="00C77645"/>
    <w:rsid w:val="00C86A0C"/>
    <w:rsid w:val="00CE04C3"/>
    <w:rsid w:val="00CE76A0"/>
    <w:rsid w:val="00D0561A"/>
    <w:rsid w:val="00D148C6"/>
    <w:rsid w:val="00D81EB5"/>
    <w:rsid w:val="00DC70E1"/>
    <w:rsid w:val="00DD06FF"/>
    <w:rsid w:val="00DD5FE9"/>
    <w:rsid w:val="00DE3D2D"/>
    <w:rsid w:val="00E00C7A"/>
    <w:rsid w:val="00E5358F"/>
    <w:rsid w:val="00E55B68"/>
    <w:rsid w:val="00EA5D83"/>
    <w:rsid w:val="00EC67EC"/>
    <w:rsid w:val="00EF0392"/>
    <w:rsid w:val="00F027C7"/>
    <w:rsid w:val="00F66644"/>
    <w:rsid w:val="00F74360"/>
    <w:rsid w:val="00F80718"/>
    <w:rsid w:val="00FB462F"/>
    <w:rsid w:val="00FD5CF9"/>
    <w:rsid w:val="00FE16FA"/>
    <w:rsid w:val="00FE328A"/>
    <w:rsid w:val="03291FC8"/>
    <w:rsid w:val="1489109A"/>
    <w:rsid w:val="2E121CB9"/>
    <w:rsid w:val="34262FD7"/>
    <w:rsid w:val="36452921"/>
    <w:rsid w:val="447A43D7"/>
    <w:rsid w:val="469A0398"/>
    <w:rsid w:val="47287B8B"/>
    <w:rsid w:val="4C9659B2"/>
    <w:rsid w:val="4CAA3E5C"/>
    <w:rsid w:val="5EB56C6A"/>
    <w:rsid w:val="670C56C7"/>
    <w:rsid w:val="759F638E"/>
    <w:rsid w:val="7E9C21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30A1E7-F808-45CB-B79D-DAEAA25BDCE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981</Words>
  <Characters>5596</Characters>
  <Lines>46</Lines>
  <Paragraphs>13</Paragraphs>
  <TotalTime>1</TotalTime>
  <ScaleCrop>false</ScaleCrop>
  <LinksUpToDate>false</LinksUpToDate>
  <CharactersWithSpaces>6564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2020-10-13T02:19:00Z</dcterms:created>
  <dc:creator>李航 null</dc:creator>
  <cp:lastModifiedBy>撇捺人生</cp:lastModifiedBy>
  <cp:lastPrinted>2020-07-15T07:25:00Z</cp:lastPrinted>
  <dcterms:modified xsi:type="dcterms:W3CDTF">2020-12-04T09:20:46Z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