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06433">
      <w:pPr>
        <w:pStyle w:val="2"/>
        <w:spacing w:before="111" w:line="219" w:lineRule="auto"/>
        <w:jc w:val="center"/>
        <w:outlineLvl w:val="0"/>
        <w:rPr>
          <w:rFonts w:ascii="方正大标宋简体" w:hAnsi="方正大标宋简体" w:eastAsia="方正大标宋简体" w:cs="方正大标宋简体"/>
          <w:sz w:val="44"/>
          <w:szCs w:val="44"/>
          <w:lang w:eastAsia="zh-CN"/>
        </w:rPr>
      </w:pPr>
      <w:r>
        <w:rPr>
          <w:rFonts w:hint="eastAsia" w:ascii="方正大标宋简体" w:hAnsi="方正大标宋简体" w:eastAsia="方正大标宋简体" w:cs="方正大标宋简体"/>
          <w:spacing w:val="-7"/>
          <w:sz w:val="44"/>
          <w:szCs w:val="44"/>
          <w:lang w:eastAsia="zh-CN"/>
        </w:rPr>
        <w:t>2024</w:t>
      </w:r>
      <w:r>
        <w:rPr>
          <w:rFonts w:hint="eastAsia" w:ascii="方正大标宋简体" w:hAnsi="方正大标宋简体" w:eastAsia="方正大标宋简体" w:cs="方正大标宋简体"/>
          <w:spacing w:val="-7"/>
          <w:sz w:val="44"/>
          <w:szCs w:val="44"/>
        </w:rPr>
        <w:t>上半年工作总结</w:t>
      </w:r>
      <w:r>
        <w:rPr>
          <w:rFonts w:hint="eastAsia" w:ascii="方正大标宋简体" w:hAnsi="方正大标宋简体" w:eastAsia="方正大标宋简体" w:cs="方正大标宋简体"/>
          <w:spacing w:val="-7"/>
          <w:sz w:val="44"/>
          <w:szCs w:val="44"/>
          <w:lang w:eastAsia="zh-CN"/>
        </w:rPr>
        <w:t>及下半年工作打算</w:t>
      </w:r>
    </w:p>
    <w:p w14:paraId="20205AE0">
      <w:pPr>
        <w:widowControl w:val="0"/>
        <w:kinsoku/>
        <w:overflowPunct w:val="0"/>
        <w:autoSpaceDE/>
        <w:autoSpaceDN/>
        <w:spacing w:line="560" w:lineRule="exact"/>
        <w:ind w:firstLine="640" w:firstLineChars="200"/>
        <w:jc w:val="both"/>
        <w:rPr>
          <w:rFonts w:ascii="楷体_GB2312" w:hAnsi="楷体_GB2312" w:eastAsia="楷体_GB2312" w:cs="楷体_GB2312"/>
          <w:sz w:val="32"/>
          <w:szCs w:val="32"/>
        </w:rPr>
      </w:pPr>
    </w:p>
    <w:p w14:paraId="27290445">
      <w:pPr>
        <w:pStyle w:val="2"/>
        <w:widowControl w:val="0"/>
        <w:kinsoku/>
        <w:overflowPunct w:val="0"/>
        <w:autoSpaceDE/>
        <w:autoSpaceDN/>
        <w:spacing w:line="560" w:lineRule="exact"/>
        <w:jc w:val="center"/>
        <w:rPr>
          <w:rFonts w:ascii="楷体_GB2312" w:hAnsi="楷体_GB2312" w:eastAsia="楷体_GB2312" w:cs="楷体_GB2312"/>
          <w:spacing w:val="-5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pacing w:val="-5"/>
          <w:sz w:val="32"/>
          <w:szCs w:val="32"/>
          <w:lang w:eastAsia="zh-CN"/>
        </w:rPr>
        <w:t>溆浦县财政局</w:t>
      </w:r>
    </w:p>
    <w:p w14:paraId="527F834E">
      <w:pPr>
        <w:pStyle w:val="2"/>
        <w:widowControl w:val="0"/>
        <w:kinsoku/>
        <w:overflowPunct w:val="0"/>
        <w:autoSpaceDE/>
        <w:autoSpaceDN/>
        <w:spacing w:line="560" w:lineRule="exact"/>
        <w:jc w:val="center"/>
        <w:rPr>
          <w:rFonts w:ascii="楷体_GB2312" w:hAnsi="楷体_GB2312" w:eastAsia="楷体_GB2312" w:cs="楷体_GB2312"/>
          <w:spacing w:val="-5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pacing w:val="-5"/>
          <w:sz w:val="32"/>
          <w:szCs w:val="32"/>
          <w:lang w:eastAsia="zh-CN"/>
        </w:rPr>
        <w:t>2024年7月10日</w:t>
      </w:r>
    </w:p>
    <w:p w14:paraId="1AA72A13">
      <w:pPr>
        <w:pStyle w:val="2"/>
        <w:widowControl w:val="0"/>
        <w:kinsoku/>
        <w:overflowPunct w:val="0"/>
        <w:autoSpaceDE/>
        <w:autoSpaceDN/>
        <w:spacing w:line="560" w:lineRule="exact"/>
        <w:ind w:firstLine="620" w:firstLineChars="200"/>
        <w:rPr>
          <w:rFonts w:ascii="楷体_GB2312" w:hAnsi="楷体_GB2312" w:eastAsia="楷体_GB2312" w:cs="楷体_GB2312"/>
          <w:spacing w:val="-5"/>
          <w:sz w:val="32"/>
          <w:szCs w:val="32"/>
          <w:lang w:eastAsia="zh-CN"/>
        </w:rPr>
      </w:pPr>
    </w:p>
    <w:p w14:paraId="78132A83">
      <w:pPr>
        <w:pStyle w:val="2"/>
        <w:widowControl w:val="0"/>
        <w:kinsoku/>
        <w:overflowPunct w:val="0"/>
        <w:autoSpaceDE/>
        <w:autoSpaceDN/>
        <w:spacing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根据部署安排，现将我局上半年工作总结如下：</w:t>
      </w:r>
    </w:p>
    <w:p w14:paraId="625BD8FD">
      <w:pPr>
        <w:pStyle w:val="2"/>
        <w:widowControl w:val="0"/>
        <w:kinsoku/>
        <w:overflowPunct w:val="0"/>
        <w:autoSpaceDE/>
        <w:autoSpaceDN/>
        <w:spacing w:line="58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、主要工作情况</w:t>
      </w:r>
    </w:p>
    <w:p w14:paraId="210B237D">
      <w:pPr>
        <w:pStyle w:val="2"/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1.统筹财政收入，确保财政收入稳中有升。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一是强化收入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建立健全财税协同机制，细化征管责任落实，确保收入颗粒归仓。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1-6月全县地方一般公共预算收入完成75034万元，同比增长22.69%。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加速盘活国有“三资”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坚持把清查盘活国有“三资”作为财源建设的重要手段，1-6月全县盘活“三资”17000万元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4036B3C8">
      <w:pPr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2.压缩弹性支出，有力保障重点支出。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推进财政部门习惯“过紧日子”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以“两办”名义印发出台《溆浦县严格落实党政机关习惯过紧日子要求十五条措施》，将厉行节约意识入心入脑。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</w:rPr>
        <w:t>二是有力保障“三保”支出。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坚持把“三保”放在财政支出的优先位置，预算优先安排，资金优先拨付，风险优先化解，全力以赴兜牢“三保”底线。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兜牢民生保障底线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优先安排人员经费和单位基本运转经费，以及义务教育学校保障机制、城乡居民医保、新农保、三农等民生配套资金，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更好</w:t>
      </w:r>
      <w:r>
        <w:rPr>
          <w:rFonts w:hint="eastAsia" w:ascii="仿宋_GB2312" w:hAnsi="仿宋_GB2312" w:eastAsia="仿宋_GB2312" w:cs="仿宋_GB2312"/>
          <w:sz w:val="32"/>
          <w:szCs w:val="32"/>
        </w:rPr>
        <w:t>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民生，增进民生福祉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四是全力化债防控风险。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制定《溆浦县防范化解地方政府债务风险总体工作方案》，健全债务风险防控机制和政府举债融资机制，坚决遏制债务增量，稳妥化解债务存量。1-6月，全县共化解各类债务本息85530万元，未发生债务风险事件。</w:t>
      </w:r>
    </w:p>
    <w:p w14:paraId="6C54AC34">
      <w:pPr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3.深化财政制度改革，不断提高财政管理水平。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一是继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续深化预算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管理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改革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探索零基预算改革理念，打破财政支出只增不减僵化格局，减轻财政负担，助推新一轮财税体制改革。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</w:rPr>
        <w:t>不断规范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政府采购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eastAsia="zh-CN"/>
        </w:rPr>
        <w:t>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积极推进预算单位政府采购电子卖场工作，不断加强政府采购限额标准以下的支出管理，全面实施政府采购意向挂网公示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提高了政府采购的透明度和公正性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充分发挥绩效评价效益。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巩固拓展“绩效管理提升年”行动成果，研究制定了《溆浦县财政局“绩效管理巩固年”行动实施方案》，全面实施预算绩效管理。聘请了第三方对147个单位的绩效目标进行了质量把控，选取5个项目进行事前绩效评价财政再评价，对147个单位的绩效自评进行全面审核，确保绩效质量有效提升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是助推产业转型升级。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认真落实创新驱动发展战略，全力保障科技投入，1-6月</w:t>
      </w:r>
      <w:r>
        <w:rPr>
          <w:rFonts w:hint="eastAsia" w:ascii="仿宋_GB2312" w:hAnsi="仿宋_GB2312" w:eastAsia="仿宋_GB2312" w:cs="仿宋_GB2312"/>
          <w:sz w:val="32"/>
          <w:szCs w:val="32"/>
        </w:rPr>
        <w:t>科学技术支出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2663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深入落实县委“招商引资年”决策部署，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安排招商引资专项资金4627.39万元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。</w:t>
      </w:r>
    </w:p>
    <w:p w14:paraId="674F6EAE">
      <w:pPr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4.推进依法理财，强化财政监督。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一是推进法治财政建设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严格执行《预算法》、《会计法》、《政府采购法》、《财政违法行为处罚处分条例》等法律法规，自觉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主动</w:t>
      </w:r>
      <w:r>
        <w:rPr>
          <w:rFonts w:hint="eastAsia" w:ascii="仿宋_GB2312" w:hAnsi="仿宋_GB2312" w:eastAsia="仿宋_GB2312" w:cs="仿宋_GB2312"/>
          <w:sz w:val="32"/>
          <w:szCs w:val="32"/>
        </w:rPr>
        <w:t>接受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人大监督。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二是加大财政综合监督工作力度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重点围绕用于公共服务领域的专项资金使用情况、部门预算编制执行情况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、政府采购活动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等社会关注、群众关心的问题开展监督检查，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对会计质量、预决算公开和“互联网+监督”进行专项检查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扎实做好“三湘护农”专项工作。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惠农补贴资金现场检查，对检查组交办问题进行认真核查整改，并全面开展自查自纠。截至6月，累计查出问题资金35.94万元，其中：违规发放资金8.38万元、已退回资金8.38万元。同时向县纪委监委精准移送问题线索2个。</w:t>
      </w:r>
    </w:p>
    <w:p w14:paraId="2AF8BB92">
      <w:pPr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5.强化政治建设，打造忠诚干净担当干部队伍。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坚决践行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民主集中制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严格执行“三重一大”制度，有</w:t>
      </w:r>
      <w:r>
        <w:rPr>
          <w:rFonts w:hint="eastAsia" w:ascii="仿宋_GB2312" w:hAnsi="仿宋_GB2312" w:eastAsia="仿宋_GB2312" w:cs="仿宋_GB2312"/>
          <w:sz w:val="32"/>
          <w:szCs w:val="32"/>
        </w:rPr>
        <w:t>涉及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“三重一大”及其他重要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一律</w:t>
      </w:r>
      <w:r>
        <w:rPr>
          <w:rFonts w:hint="eastAsia" w:ascii="仿宋_GB2312" w:hAnsi="仿宋_GB2312" w:eastAsia="仿宋_GB2312" w:cs="仿宋_GB2312"/>
          <w:sz w:val="32"/>
          <w:szCs w:val="32"/>
        </w:rPr>
        <w:t>经班子或班子扩大会议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集体研讨</w:t>
      </w:r>
      <w:r>
        <w:rPr>
          <w:rFonts w:hint="eastAsia" w:ascii="仿宋_GB2312" w:hAnsi="仿宋_GB2312" w:eastAsia="仿宋_GB2312" w:cs="仿宋_GB2312"/>
          <w:sz w:val="32"/>
          <w:szCs w:val="32"/>
        </w:rPr>
        <w:t>决定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，确保集体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决策、科学决策、民主决策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深耕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理论和业务学习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组织全局干部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职工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重点学习党的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二十</w:t>
      </w:r>
      <w:r>
        <w:rPr>
          <w:rFonts w:hint="eastAsia" w:ascii="仿宋_GB2312" w:hAnsi="仿宋_GB2312" w:eastAsia="仿宋_GB2312" w:cs="仿宋_GB2312"/>
          <w:sz w:val="32"/>
          <w:szCs w:val="32"/>
        </w:rPr>
        <w:t>大精神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、创新理论和习近平总书记关于财政工作的系列重要论述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常态化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学习各项方针、政策及《预算法》、《会计法》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《政府采购法》等，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不断提高财政</w:t>
      </w:r>
      <w:r>
        <w:rPr>
          <w:rFonts w:hint="eastAsia" w:ascii="仿宋_GB2312" w:hAnsi="仿宋_GB2312" w:eastAsia="仿宋_GB2312" w:cs="仿宋_GB2312"/>
          <w:sz w:val="32"/>
          <w:szCs w:val="32"/>
        </w:rPr>
        <w:t>干部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“政治三力”和</w:t>
      </w:r>
      <w:r>
        <w:rPr>
          <w:rFonts w:hint="eastAsia" w:ascii="仿宋_GB2312" w:hAnsi="仿宋_GB2312" w:eastAsia="仿宋_GB2312" w:cs="仿宋_GB2312"/>
          <w:sz w:val="32"/>
          <w:szCs w:val="32"/>
        </w:rPr>
        <w:t>业务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能力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筑牢干部廉洁自律防线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压实管党治党主体责任，扎实开展党纪学习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，坚持和运用好领导干部谈心谈话制度，用心问明、细心察明，敢于明断是非，充分讲明利害，谈出警示督促效果，奋力打造高度自律的财政“廉”军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坚持和完善制度建设。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坚持问题导向，不断巩固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完善内部管理制度，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推进干部能上能下实现新突破，不断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提高选人用人科学化制度化规范化水平，努力形成用制度约束人，用机制激励人，用榜样带动人的良好工作局面。</w:t>
      </w:r>
    </w:p>
    <w:p w14:paraId="636B594A">
      <w:pPr>
        <w:pStyle w:val="2"/>
        <w:widowControl w:val="0"/>
        <w:kinsoku/>
        <w:overflowPunct w:val="0"/>
        <w:autoSpaceDE/>
        <w:autoSpaceDN/>
        <w:spacing w:line="58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二、存在的问题</w:t>
      </w:r>
    </w:p>
    <w:p w14:paraId="75D23504">
      <w:pPr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Style w:val="10"/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1.收入质量不高，非税占比过高。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1-6</w:t>
      </w:r>
      <w:r>
        <w:rPr>
          <w:rStyle w:val="10"/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我县地方一般公共预算收入完成75034万元</w:t>
      </w:r>
      <w:r>
        <w:rPr>
          <w:rStyle w:val="10"/>
          <w:rFonts w:hint="eastAsia" w:ascii="仿宋_GB2312" w:hAnsi="仿宋_GB2312" w:eastAsia="仿宋_GB2312" w:cs="仿宋_GB2312"/>
          <w:sz w:val="32"/>
          <w:szCs w:val="32"/>
          <w:lang w:eastAsia="zh-CN"/>
        </w:rPr>
        <w:t>，而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非税收入完成35474万元，</w:t>
      </w:r>
      <w:r>
        <w:rPr>
          <w:rStyle w:val="10"/>
          <w:rFonts w:hint="eastAsia" w:ascii="仿宋_GB2312" w:hAnsi="仿宋_GB2312" w:eastAsia="仿宋_GB2312" w:cs="仿宋_GB2312"/>
          <w:sz w:val="32"/>
          <w:szCs w:val="32"/>
          <w:lang w:eastAsia="zh-CN"/>
        </w:rPr>
        <w:t>非税占比达47.3%。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在以后月份我县将加大税收缴存入库进度，非税占比预计将下降。</w:t>
      </w:r>
    </w:p>
    <w:p w14:paraId="7E40F569">
      <w:pPr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2.税收结构单一、主体税收下降明显。</w:t>
      </w:r>
      <w:r>
        <w:rPr>
          <w:rStyle w:val="10"/>
          <w:rFonts w:hint="eastAsia" w:ascii="仿宋_GB2312" w:hAnsi="仿宋_GB2312" w:eastAsia="仿宋_GB2312" w:cs="仿宋_GB2312"/>
          <w:sz w:val="32"/>
          <w:szCs w:val="32"/>
          <w:lang w:eastAsia="zh-CN"/>
        </w:rPr>
        <w:t>我县税源结构单一，基础薄弱，对房地产业的依存度较大，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县内特色产业</w:t>
      </w:r>
      <w:r>
        <w:rPr>
          <w:rFonts w:hint="eastAsia" w:ascii="仿宋_GB2312" w:hAnsi="仿宋_GB2312" w:eastAsia="仿宋_GB2312" w:cs="仿宋_GB2312"/>
          <w:sz w:val="32"/>
          <w:szCs w:val="32"/>
        </w:rPr>
        <w:t>集聚效应不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够</w:t>
      </w:r>
      <w:r>
        <w:rPr>
          <w:rFonts w:hint="eastAsia" w:ascii="仿宋_GB2312" w:hAnsi="仿宋_GB2312" w:eastAsia="仿宋_GB2312" w:cs="仿宋_GB2312"/>
          <w:sz w:val="32"/>
          <w:szCs w:val="32"/>
        </w:rPr>
        <w:t>明显，骨干税源少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。1-6月</w:t>
      </w:r>
      <w:r>
        <w:rPr>
          <w:rStyle w:val="10"/>
          <w:rFonts w:hint="eastAsia" w:ascii="仿宋_GB2312" w:hAnsi="仿宋_GB2312" w:eastAsia="仿宋_GB2312" w:cs="仿宋_GB2312"/>
          <w:sz w:val="32"/>
          <w:szCs w:val="32"/>
          <w:lang w:eastAsia="zh-CN"/>
        </w:rPr>
        <w:t>我县税收来源主要依靠土地增值税，土地增值税占高达49.7%；</w:t>
      </w:r>
      <w:r>
        <w:rPr>
          <w:rStyle w:val="10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主体税收增值税和企业所得税同比下降18.69%；主体税收占地方税收比例为15.93%，较上年下降3.73%。</w:t>
      </w:r>
    </w:p>
    <w:p w14:paraId="055603B3">
      <w:pPr>
        <w:pStyle w:val="2"/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3.财政支出及偿债压力大。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县级财政自我造血功能不强，一般性转移支付额度又相对稳定，而“三保”、乡村振兴、重大项目建设及社会民生服务等重点领域支出却在逐步增加，同时，政府性债务也进入了还款高峰期，还本付息压力陡增。</w:t>
      </w:r>
    </w:p>
    <w:p w14:paraId="034D6599">
      <w:pPr>
        <w:pStyle w:val="2"/>
        <w:widowControl w:val="0"/>
        <w:kinsoku/>
        <w:overflowPunct w:val="0"/>
        <w:autoSpaceDE/>
        <w:autoSpaceDN/>
        <w:spacing w:line="58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三、下半年工作打算</w:t>
      </w:r>
    </w:p>
    <w:p w14:paraId="099E510E">
      <w:pPr>
        <w:pStyle w:val="2"/>
        <w:widowControl w:val="0"/>
        <w:kinsoku/>
        <w:overflowPunct w:val="0"/>
        <w:autoSpaceDE/>
        <w:autoSpaceDN/>
        <w:spacing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下半年，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我局将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坚持以</w:t>
      </w:r>
      <w:r>
        <w:rPr>
          <w:rFonts w:hint="eastAsia" w:ascii="仿宋_GB2312" w:hAnsi="仿宋_GB2312" w:eastAsia="仿宋_GB2312" w:cs="仿宋_GB2312"/>
          <w:sz w:val="32"/>
          <w:szCs w:val="32"/>
        </w:rPr>
        <w:t>党的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二十大</w:t>
      </w:r>
      <w:r>
        <w:rPr>
          <w:rFonts w:hint="eastAsia" w:ascii="仿宋_GB2312" w:hAnsi="仿宋_GB2312" w:eastAsia="仿宋_GB2312" w:cs="仿宋_GB2312"/>
          <w:sz w:val="32"/>
          <w:szCs w:val="32"/>
        </w:rPr>
        <w:t>精神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为指引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认真落实县委县政府决策部署，紧盯全年目标，</w:t>
      </w:r>
      <w:r>
        <w:rPr>
          <w:rFonts w:hint="eastAsia" w:ascii="仿宋_GB2312" w:hAnsi="仿宋_GB2312" w:eastAsia="仿宋_GB2312" w:cs="仿宋_GB2312"/>
          <w:sz w:val="32"/>
          <w:szCs w:val="32"/>
        </w:rPr>
        <w:t>扎实做好各项财政工作，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努力写好量质齐升的财政下半年文章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BBBDA04">
      <w:pPr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(一)抓收入促增长。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紧盯全年征收计划。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将征收计划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及时下达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至各征管单位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加强动态沟通对接，倒排</w:t>
      </w:r>
      <w:r>
        <w:rPr>
          <w:rFonts w:hint="eastAsia" w:ascii="仿宋_GB2312" w:hAnsi="仿宋_GB2312" w:eastAsia="仿宋_GB2312" w:cs="仿宋_GB2312"/>
          <w:sz w:val="32"/>
          <w:szCs w:val="32"/>
        </w:rPr>
        <w:t>时间表，抓大不放小，全力确保财税收入应收尽收、均衡入库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全力清查盘活“三资”。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对全县行政事业单位国有资产进行全面清查，对符合市场化处置的资产，按照相关法规和程序进行盘活，最大限度挖掘资产资源价值。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多渠道、多方式推进资产资源处置盘活。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助推产业发展。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全力支持硅砂、湘维PVB、石材和风电、光伏等特色产业和“雨溆工业园区”做大做强，延伸产业链条，加快形成规模税源。</w:t>
      </w:r>
    </w:p>
    <w:p w14:paraId="4B571806">
      <w:pPr>
        <w:widowControl w:val="0"/>
        <w:shd w:val="clear" w:color="auto" w:fill="FFFFFF"/>
        <w:kinsoku/>
        <w:overflowPunct w:val="0"/>
        <w:autoSpaceDE/>
        <w:autoSpaceDN/>
        <w:spacing w:line="580" w:lineRule="exact"/>
        <w:ind w:firstLine="643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(二)抓支出促保障。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继续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树牢“过紧日子”思想。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持续压减非重点、非刚性、非必需资金，严格控制一般性支出，进一步压减行政经费，精准保障重点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刚性支出。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继续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强化预算刚性约束。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坚持“先预算，后支出，无预算，不支出”的要求，严控新增项目支出，充分开展财政承受能力评估，严禁随意扩大政策范围，提高补助标准，增加财政负担。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坚持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从紧有序安排支出。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在支付资金时，按照先“三保”、化债后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款，先刚性后非刚性的原则，优先保障工资、运转、基本民生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“三保”支出。</w:t>
      </w:r>
    </w:p>
    <w:p w14:paraId="06D51812">
      <w:pPr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（三）抓化债促稳定。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聚焦债务化解，想方设法确保政府债务逐步有效化解，守牢化债工作“不爆雷”底线。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一是坚决遏制隐形债务增量。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统筹好债务风险化解和高质量发展，坚持量力而行搞建设，有效控制项目规模，不超越发展阶段搞大融资、大开发、大建设，避免无效投入和浪费。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二是多方筹资有序化债。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按照年初统计出我县全年还本付息总额，将政府债务及隐性债务偿债资金纳入年度预算，将化债责任压实到债务单位，并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</w:t>
      </w:r>
      <w:r>
        <w:rPr>
          <w:rFonts w:hint="eastAsia" w:ascii="仿宋_GB2312" w:hAnsi="仿宋_GB2312" w:eastAsia="仿宋_GB2312" w:cs="仿宋_GB2312"/>
          <w:sz w:val="32"/>
          <w:szCs w:val="32"/>
        </w:rPr>
        <w:t>2024年化债方案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落实</w:t>
      </w:r>
      <w:r>
        <w:rPr>
          <w:rFonts w:hint="eastAsia" w:ascii="仿宋_GB2312" w:hAnsi="仿宋_GB2312" w:eastAsia="仿宋_GB2312" w:cs="仿宋_GB2312"/>
          <w:sz w:val="32"/>
          <w:szCs w:val="32"/>
        </w:rPr>
        <w:t>，多渠道筹集化债资金。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常态化监测预警债务风险。</w:t>
      </w:r>
      <w:r>
        <w:rPr>
          <w:rFonts w:hint="eastAsia" w:ascii="仿宋_GB2312" w:hAnsi="仿宋_GB2312" w:eastAsia="仿宋_GB2312" w:cs="仿宋_GB2312"/>
          <w:sz w:val="32"/>
          <w:szCs w:val="32"/>
        </w:rPr>
        <w:t>每月15号提前下达下个月《关于按期偿还到期债务本息的通知》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。对于</w:t>
      </w:r>
      <w:r>
        <w:rPr>
          <w:rFonts w:hint="eastAsia" w:ascii="仿宋_GB2312" w:hAnsi="仿宋_GB2312" w:eastAsia="仿宋_GB2312" w:cs="仿宋_GB2312"/>
          <w:sz w:val="32"/>
          <w:szCs w:val="32"/>
        </w:rPr>
        <w:t>确实无法落实资金来源的，提前与金融机构协商，通过展期或借新还旧缓释风险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10501238">
      <w:pPr>
        <w:pStyle w:val="2"/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(四)抓管理促增效。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一是规范政府采购管理。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坚持规范采购程序为手段，努力实现采购管理精细化、规范化和科学化，不断提高政府采购质效。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二是规范投资评审管理。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对政府投资项目严格把关，参与项目建设事前事中事后全过程监管。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三是加强财政监督管理。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加大财政资金监管力度，切实履行财政财务管理制度。选取重大项目特别是惠民实事项目全过程监督检查。</w:t>
      </w:r>
    </w:p>
    <w:p w14:paraId="672F01A0">
      <w:pPr>
        <w:pStyle w:val="2"/>
        <w:widowControl w:val="0"/>
        <w:kinsoku/>
        <w:overflowPunct w:val="0"/>
        <w:autoSpaceDE/>
        <w:autoSpaceDN/>
        <w:spacing w:line="58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(五)抓作风促效能。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以思想解放推进作风建设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以县委“作风建设年”为契机，不断解放思想，打破路径依赖，突破思维定势，敢于以全新的视角认识财政事业，创造性干好财政工作。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二是以高度政治自觉抓好落实。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牢记财政部门政治机关定位，对县委县政府各项安排部署，不折不扣做好执行，以高效履职尽责做好榜样示范，在狠抓落实中提高工作质效。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警钟长鸣把好廉洁关。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要弘扬清廉之风，树立正确权钱观，始终把纪律和规矩挺在前面，始终保持清醒头脑，全面查找廉洁风险点，坚守法纪底线红线，清白做事，堂正做人。</w:t>
      </w:r>
    </w:p>
    <w:sectPr>
      <w:footerReference r:id="rId3" w:type="default"/>
      <w:type w:val="continuous"/>
      <w:pgSz w:w="11910" w:h="16840"/>
      <w:pgMar w:top="2154" w:right="1814" w:bottom="1701" w:left="1814" w:header="850" w:footer="1247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9E1CB">
    <w:pPr>
      <w:spacing w:line="240" w:lineRule="exact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15FD58"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15FD58">
                    <w:pPr>
                      <w:pStyle w:val="4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420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1Zjk4ZDU3YmFiNmYyOWYxYzUxOTE2M2Q2NWU5ZGEifQ=="/>
    <w:docVar w:name="KSO_WPS_MARK_KEY" w:val="3bf489d5-d89b-4a93-9805-b7e7daa2011a"/>
  </w:docVars>
  <w:rsids>
    <w:rsidRoot w:val="009E1DA0"/>
    <w:rsid w:val="003F4A60"/>
    <w:rsid w:val="009E1DA0"/>
    <w:rsid w:val="00E459A2"/>
    <w:rsid w:val="017E630C"/>
    <w:rsid w:val="04657F2A"/>
    <w:rsid w:val="06FC0786"/>
    <w:rsid w:val="0BB82694"/>
    <w:rsid w:val="0C1240ED"/>
    <w:rsid w:val="12DA2A20"/>
    <w:rsid w:val="16FD0824"/>
    <w:rsid w:val="17EE07A8"/>
    <w:rsid w:val="1F7B8199"/>
    <w:rsid w:val="2029675F"/>
    <w:rsid w:val="23E39AA0"/>
    <w:rsid w:val="23FF1D9A"/>
    <w:rsid w:val="26062EC3"/>
    <w:rsid w:val="27FCB5DC"/>
    <w:rsid w:val="366B76A4"/>
    <w:rsid w:val="37BF513E"/>
    <w:rsid w:val="398E141A"/>
    <w:rsid w:val="3DEFD13E"/>
    <w:rsid w:val="3DF24824"/>
    <w:rsid w:val="3F7D4645"/>
    <w:rsid w:val="3FA77D7F"/>
    <w:rsid w:val="3FDF116A"/>
    <w:rsid w:val="3FF1F55F"/>
    <w:rsid w:val="431A1D67"/>
    <w:rsid w:val="4BB5041C"/>
    <w:rsid w:val="4FB73252"/>
    <w:rsid w:val="4FEDD668"/>
    <w:rsid w:val="50EB85A8"/>
    <w:rsid w:val="555B6607"/>
    <w:rsid w:val="567FF292"/>
    <w:rsid w:val="577F80BA"/>
    <w:rsid w:val="58B26F9F"/>
    <w:rsid w:val="59DF8688"/>
    <w:rsid w:val="59F9635F"/>
    <w:rsid w:val="5AD0320E"/>
    <w:rsid w:val="5AEEC6B8"/>
    <w:rsid w:val="5BBD147B"/>
    <w:rsid w:val="5BBDB994"/>
    <w:rsid w:val="5BD76D3C"/>
    <w:rsid w:val="5BFF8AD7"/>
    <w:rsid w:val="5D7548F2"/>
    <w:rsid w:val="5DFEADCC"/>
    <w:rsid w:val="5EFFB337"/>
    <w:rsid w:val="5FBD73AB"/>
    <w:rsid w:val="5FD93C1D"/>
    <w:rsid w:val="5FFE912C"/>
    <w:rsid w:val="61395AB8"/>
    <w:rsid w:val="63D6407F"/>
    <w:rsid w:val="66FE8039"/>
    <w:rsid w:val="68155852"/>
    <w:rsid w:val="68A85264"/>
    <w:rsid w:val="6EBF286F"/>
    <w:rsid w:val="6EBF9C79"/>
    <w:rsid w:val="6F765DA5"/>
    <w:rsid w:val="6FB726FE"/>
    <w:rsid w:val="6FD755C9"/>
    <w:rsid w:val="6FF7A995"/>
    <w:rsid w:val="6FFC2D82"/>
    <w:rsid w:val="737FC796"/>
    <w:rsid w:val="73DFE6D2"/>
    <w:rsid w:val="73FF7074"/>
    <w:rsid w:val="75F714AD"/>
    <w:rsid w:val="7737D0D0"/>
    <w:rsid w:val="774E5B40"/>
    <w:rsid w:val="7772CE96"/>
    <w:rsid w:val="77E108F6"/>
    <w:rsid w:val="7A707BCE"/>
    <w:rsid w:val="7A7BD86D"/>
    <w:rsid w:val="7AF6C2ED"/>
    <w:rsid w:val="7B737920"/>
    <w:rsid w:val="7DFB4F04"/>
    <w:rsid w:val="7DFE343C"/>
    <w:rsid w:val="7ECD8AF9"/>
    <w:rsid w:val="7EEFDD14"/>
    <w:rsid w:val="7FBFAABF"/>
    <w:rsid w:val="7FCF8AE4"/>
    <w:rsid w:val="7FD9B259"/>
    <w:rsid w:val="7FF764EB"/>
    <w:rsid w:val="7FFB3E5E"/>
    <w:rsid w:val="7FFF735C"/>
    <w:rsid w:val="8FBE8CF1"/>
    <w:rsid w:val="9ABD0B4F"/>
    <w:rsid w:val="9BF98FEC"/>
    <w:rsid w:val="9ECF409F"/>
    <w:rsid w:val="9F79C8FA"/>
    <w:rsid w:val="A3B17919"/>
    <w:rsid w:val="A7DF602E"/>
    <w:rsid w:val="ADAF2BA5"/>
    <w:rsid w:val="AF1790A5"/>
    <w:rsid w:val="B7BFC427"/>
    <w:rsid w:val="BDF2A917"/>
    <w:rsid w:val="BF1F36B3"/>
    <w:rsid w:val="BFD9F5D2"/>
    <w:rsid w:val="CCFB0FDD"/>
    <w:rsid w:val="CFCF7E31"/>
    <w:rsid w:val="D3CC7DF8"/>
    <w:rsid w:val="D7610705"/>
    <w:rsid w:val="D8EB359A"/>
    <w:rsid w:val="DBF94CAD"/>
    <w:rsid w:val="DDDB1F50"/>
    <w:rsid w:val="DE7CA70F"/>
    <w:rsid w:val="DEFBA720"/>
    <w:rsid w:val="DFBFBD03"/>
    <w:rsid w:val="DFEF16DE"/>
    <w:rsid w:val="DFEFED49"/>
    <w:rsid w:val="E6EB94D4"/>
    <w:rsid w:val="E7FFBF3C"/>
    <w:rsid w:val="E94F2073"/>
    <w:rsid w:val="EB6FFE11"/>
    <w:rsid w:val="EBEF38A3"/>
    <w:rsid w:val="EEE33AA1"/>
    <w:rsid w:val="EEFCEFE6"/>
    <w:rsid w:val="EF5D24CA"/>
    <w:rsid w:val="EF7EEA98"/>
    <w:rsid w:val="EFA5FFB8"/>
    <w:rsid w:val="EFDF00CE"/>
    <w:rsid w:val="F35F5C6C"/>
    <w:rsid w:val="F3FD504D"/>
    <w:rsid w:val="F67A24E1"/>
    <w:rsid w:val="F69BADAD"/>
    <w:rsid w:val="F6FF3909"/>
    <w:rsid w:val="F7D40636"/>
    <w:rsid w:val="F7FCE4FE"/>
    <w:rsid w:val="F9FED75D"/>
    <w:rsid w:val="FA7B9B2B"/>
    <w:rsid w:val="FAEE69A4"/>
    <w:rsid w:val="FB17419B"/>
    <w:rsid w:val="FBFE4616"/>
    <w:rsid w:val="FD55900C"/>
    <w:rsid w:val="FD76F0C9"/>
    <w:rsid w:val="FF7E53E5"/>
    <w:rsid w:val="FFBBE860"/>
    <w:rsid w:val="FFBDEF6E"/>
    <w:rsid w:val="FFBE2CF9"/>
    <w:rsid w:val="FFBF38B0"/>
    <w:rsid w:val="FFD70665"/>
    <w:rsid w:val="FFD7E5BB"/>
    <w:rsid w:val="FFDFBB4F"/>
    <w:rsid w:val="FFEDB18E"/>
    <w:rsid w:val="FFFDC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25"/>
      <w:szCs w:val="25"/>
    </w:rPr>
  </w:style>
  <w:style w:type="paragraph" w:styleId="3">
    <w:name w:val="Body Text First Indent"/>
    <w:basedOn w:val="2"/>
    <w:unhideWhenUsed/>
    <w:qFormat/>
    <w:uiPriority w:val="99"/>
    <w:pPr>
      <w:spacing w:before="100" w:beforeAutospacing="1" w:after="120"/>
      <w:ind w:firstLine="100" w:firstLineChars="100"/>
      <w:jc w:val="both"/>
    </w:pPr>
    <w:rPr>
      <w:rFonts w:ascii="Calibri" w:hAnsi="Calibri"/>
      <w:sz w:val="21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3167</Words>
  <Characters>3270</Characters>
  <Lines>23</Lines>
  <Paragraphs>6</Paragraphs>
  <TotalTime>0</TotalTime>
  <ScaleCrop>false</ScaleCrop>
  <LinksUpToDate>false</LinksUpToDate>
  <CharactersWithSpaces>3270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2024-07-10T07:09:00Z</dcterms:created>
  <dc:creator>Administrator</dc:creator>
  <cp:lastModifiedBy>敷衍</cp:lastModifiedBy>
  <cp:lastPrinted>2024-07-11T09:39:00Z</cp:lastPrinted>
  <dcterms:modified xsi:type="dcterms:W3CDTF">2026-07-06T07:08:14Z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2024-06-28T11:06:34Z</vt:filetime>
  </property>
  <property fmtid="{D5CDD505-2E9C-101B-9397-08002B2CF9AE}" pid="4" name="UsrData">
    <vt:lpwstr>667e28b5441e46001f1498d6wl</vt:lpwstr>
  </property>
  <property fmtid="{D5CDD505-2E9C-101B-9397-08002B2CF9AE}" pid="5" name="KSOProductBuildVer">
    <vt:lpwstr>2052-12.1.0.26895</vt:lpwstr>
  </property>
  <property fmtid="{D5CDD505-2E9C-101B-9397-08002B2CF9AE}" pid="6" name="ICV">
    <vt:lpwstr>038A3259E7B8435DADD79F149FA79C6E_13</vt:lpwstr>
  </property>
  <property fmtid="{D5CDD505-2E9C-101B-9397-08002B2CF9AE}" pid="7" name="KSOTemplateDocerSaveRecord">
    <vt:lpwstr>eyJoZGlkIjoiNDc4MWVmYWJkZTllNTNiZWFiODgyNWFlMTkxMjZhM2MiLCJ1c2VySWQiOiI5NTkxMTI2OTEifQ==</vt:lpwstr>
  </property>
</Properties>
</file>