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A0" w:rsidRDefault="00E459A2">
      <w:pPr>
        <w:pStyle w:val="a3"/>
        <w:spacing w:before="111" w:line="219" w:lineRule="auto"/>
        <w:jc w:val="center"/>
        <w:outlineLvl w:val="0"/>
        <w:rPr>
          <w:rFonts w:ascii="方正大标宋简体" w:eastAsia="方正大标宋简体" w:hAnsi="方正大标宋简体" w:cs="方正大标宋简体"/>
          <w:sz w:val="44"/>
          <w:szCs w:val="44"/>
          <w:lang w:eastAsia="zh-CN"/>
        </w:rPr>
      </w:pPr>
      <w:r>
        <w:rPr>
          <w:rFonts w:ascii="方正大标宋简体" w:eastAsia="方正大标宋简体" w:hAnsi="方正大标宋简体" w:cs="方正大标宋简体" w:hint="eastAsia"/>
          <w:spacing w:val="-7"/>
          <w:sz w:val="44"/>
          <w:szCs w:val="44"/>
          <w:lang w:eastAsia="zh-CN"/>
        </w:rPr>
        <w:t>2024</w:t>
      </w:r>
      <w:r>
        <w:rPr>
          <w:rFonts w:ascii="方正大标宋简体" w:eastAsia="方正大标宋简体" w:hAnsi="方正大标宋简体" w:cs="方正大标宋简体" w:hint="eastAsia"/>
          <w:spacing w:val="-7"/>
          <w:sz w:val="44"/>
          <w:szCs w:val="44"/>
        </w:rPr>
        <w:t>上半年工作总结</w:t>
      </w:r>
      <w:r>
        <w:rPr>
          <w:rFonts w:ascii="方正大标宋简体" w:eastAsia="方正大标宋简体" w:hAnsi="方正大标宋简体" w:cs="方正大标宋简体" w:hint="eastAsia"/>
          <w:spacing w:val="-7"/>
          <w:sz w:val="44"/>
          <w:szCs w:val="44"/>
          <w:lang w:eastAsia="zh-CN"/>
        </w:rPr>
        <w:t>及下半年工作打算</w:t>
      </w:r>
    </w:p>
    <w:p w:rsidR="009E1DA0" w:rsidRDefault="009E1DA0">
      <w:pPr>
        <w:widowControl w:val="0"/>
        <w:kinsoku/>
        <w:overflowPunct w:val="0"/>
        <w:autoSpaceDE/>
        <w:autoSpaceDN/>
        <w:spacing w:line="56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</w:rPr>
      </w:pPr>
    </w:p>
    <w:p w:rsidR="009E1DA0" w:rsidRDefault="00E459A2">
      <w:pPr>
        <w:pStyle w:val="a3"/>
        <w:widowControl w:val="0"/>
        <w:kinsoku/>
        <w:overflowPunct w:val="0"/>
        <w:autoSpaceDE/>
        <w:autoSpaceDN/>
        <w:spacing w:line="560" w:lineRule="exact"/>
        <w:jc w:val="center"/>
        <w:rPr>
          <w:rFonts w:ascii="楷体_GB2312" w:eastAsia="楷体_GB2312" w:hAnsi="楷体_GB2312" w:cs="楷体_GB2312"/>
          <w:spacing w:val="-5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  <w:lang w:eastAsia="zh-CN"/>
        </w:rPr>
        <w:t>溆浦县财政局</w:t>
      </w:r>
    </w:p>
    <w:p w:rsidR="009E1DA0" w:rsidRDefault="00E459A2">
      <w:pPr>
        <w:pStyle w:val="a3"/>
        <w:widowControl w:val="0"/>
        <w:kinsoku/>
        <w:overflowPunct w:val="0"/>
        <w:autoSpaceDE/>
        <w:autoSpaceDN/>
        <w:spacing w:line="560" w:lineRule="exact"/>
        <w:jc w:val="center"/>
        <w:rPr>
          <w:rFonts w:ascii="楷体_GB2312" w:eastAsia="楷体_GB2312" w:hAnsi="楷体_GB2312" w:cs="楷体_GB2312"/>
          <w:spacing w:val="-5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pacing w:val="-5"/>
          <w:sz w:val="32"/>
          <w:szCs w:val="32"/>
          <w:lang w:eastAsia="zh-CN"/>
        </w:rPr>
        <w:t>2024</w:t>
      </w:r>
      <w:r>
        <w:rPr>
          <w:rFonts w:ascii="楷体_GB2312" w:eastAsia="楷体_GB2312" w:hAnsi="楷体_GB2312" w:cs="楷体_GB2312" w:hint="eastAsia"/>
          <w:spacing w:val="-5"/>
          <w:sz w:val="32"/>
          <w:szCs w:val="32"/>
          <w:lang w:eastAsia="zh-CN"/>
        </w:rPr>
        <w:t>年</w:t>
      </w:r>
      <w:r>
        <w:rPr>
          <w:rFonts w:ascii="楷体_GB2312" w:eastAsia="楷体_GB2312" w:hAnsi="楷体_GB2312" w:cs="楷体_GB2312" w:hint="eastAsia"/>
          <w:spacing w:val="-5"/>
          <w:sz w:val="32"/>
          <w:szCs w:val="32"/>
          <w:lang w:eastAsia="zh-CN"/>
        </w:rPr>
        <w:t>7</w:t>
      </w:r>
      <w:r>
        <w:rPr>
          <w:rFonts w:ascii="楷体_GB2312" w:eastAsia="楷体_GB2312" w:hAnsi="楷体_GB2312" w:cs="楷体_GB2312" w:hint="eastAsia"/>
          <w:spacing w:val="-5"/>
          <w:sz w:val="32"/>
          <w:szCs w:val="32"/>
          <w:lang w:eastAsia="zh-CN"/>
        </w:rPr>
        <w:t>月</w:t>
      </w:r>
      <w:r>
        <w:rPr>
          <w:rFonts w:ascii="楷体_GB2312" w:eastAsia="楷体_GB2312" w:hAnsi="楷体_GB2312" w:cs="楷体_GB2312" w:hint="eastAsia"/>
          <w:spacing w:val="-5"/>
          <w:sz w:val="32"/>
          <w:szCs w:val="32"/>
          <w:lang w:eastAsia="zh-CN"/>
        </w:rPr>
        <w:t>10</w:t>
      </w:r>
      <w:r>
        <w:rPr>
          <w:rFonts w:ascii="楷体_GB2312" w:eastAsia="楷体_GB2312" w:hAnsi="楷体_GB2312" w:cs="楷体_GB2312" w:hint="eastAsia"/>
          <w:spacing w:val="-5"/>
          <w:sz w:val="32"/>
          <w:szCs w:val="32"/>
          <w:lang w:eastAsia="zh-CN"/>
        </w:rPr>
        <w:t>日</w:t>
      </w:r>
    </w:p>
    <w:p w:rsidR="009E1DA0" w:rsidRDefault="009E1DA0" w:rsidP="003F4A60">
      <w:pPr>
        <w:pStyle w:val="a3"/>
        <w:widowControl w:val="0"/>
        <w:kinsoku/>
        <w:overflowPunct w:val="0"/>
        <w:autoSpaceDE/>
        <w:autoSpaceDN/>
        <w:spacing w:line="560" w:lineRule="exact"/>
        <w:ind w:firstLineChars="200" w:firstLine="630"/>
        <w:rPr>
          <w:rFonts w:ascii="楷体_GB2312" w:eastAsia="楷体_GB2312" w:hAnsi="楷体_GB2312" w:cs="楷体_GB2312"/>
          <w:spacing w:val="-5"/>
          <w:sz w:val="32"/>
          <w:szCs w:val="32"/>
          <w:lang w:eastAsia="zh-CN"/>
        </w:rPr>
      </w:pPr>
    </w:p>
    <w:p w:rsidR="009E1DA0" w:rsidRDefault="00E459A2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根据部署安排，现将我局上半年工作总结如下：</w:t>
      </w:r>
    </w:p>
    <w:p w:rsidR="009E1DA0" w:rsidRDefault="00E459A2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、主要工作情况</w:t>
      </w:r>
    </w:p>
    <w:p w:rsidR="009E1DA0" w:rsidRDefault="00E459A2" w:rsidP="003F4A60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统筹财政收入，确保财政收入稳中有升。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一是强化收入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eastAsia="zh-CN"/>
        </w:rPr>
        <w:t>组织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建立健全财税协同机制，细化征管责任落实，确保收入颗粒归仓。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1-6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月全县地方一般公共预算收入完成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75034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万元，同比增长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22.69%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eastAsia="zh-CN"/>
        </w:rPr>
        <w:t>加速盘活国有“三资”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坚持把清查盘活国有“三资”作为财源建设的重要手段，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1-6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月全县盘活“三资”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17000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9E1DA0" w:rsidRDefault="00E459A2" w:rsidP="003F4A60">
      <w:pPr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压缩弹性支出，有力保障重点支出。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推进财政部门习惯“过紧日子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以“两办”名义印发出台《溆浦县严格落实党政机关习惯过紧日子要求十五条措施》，将厉行节约意识入心入脑。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eastAsia="zh-CN"/>
        </w:rPr>
        <w:t>二是有力保障“三保”支出。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坚持把“三保”放在财政支出的优先位置，预算优先安排，资金优先拨付，风险优先化解，全力以赴兜牢“三保”底线。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兜牢民生保障底线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优先安排人员经费和单位基本运转经费，以及义务教育学校保障机制、城乡居民医保、新农保、三农等民生配套资金，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更好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民生，增进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民生福祉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eastAsia="zh-CN"/>
        </w:rPr>
        <w:t>四是全力化债防控风险。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制定《溆浦县防范化解地方政府债务风险总体工作方案》，健全债务风险防控机制和政府举债融资机制，坚决遏制债务增量，稳妥化解债务存量。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1-6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月，全县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共化解各类债务本息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85530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万元，未发生债务风险事件。</w:t>
      </w:r>
    </w:p>
    <w:p w:rsidR="009E1DA0" w:rsidRDefault="00E459A2" w:rsidP="003F4A60">
      <w:pPr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3.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深化财政制度改革，不断提高财政管理水平。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一是继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续深化预算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管理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改革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探索零基预算改革理念，打破财政支出只增不减僵化格局，减轻财政负担，助推新一轮财税体制改革。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eastAsia="zh-CN"/>
        </w:rPr>
        <w:t>二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eastAsia="zh-CN"/>
        </w:rPr>
        <w:t>不断规范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政府采购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eastAsia="zh-CN"/>
        </w:rPr>
        <w:t>管理。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积极推进预算单位政府采购电子卖场工作，不断加强政府采购限额标准以下的支出管理，全面实施政府采购意向挂网公示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提高了政府采购的透明度和公正性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充分发挥绩效评价效益。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巩固拓展“绩效管理提升年”行动成果，研究制定了《溆浦县财政局“绩效管理巩固年”行动实施方案》，全面实施预算绩效管理。聘请了第三方对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个单位的绩效目标进行了质量把控，选取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个项目进行事前绩效评价财政再评价，对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147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个单位的绩效自评进行全面审核，确保绩效质量有效提升。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  <w:lang w:eastAsia="zh-CN"/>
        </w:rPr>
        <w:t>是助推产业转型升级。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认真落实创新驱动发展战略，全力保障科技投入，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1-6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科学技术支出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2663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深入落实县委“招商引资年”决策部署，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安排招商引资专项资金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4627.39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万元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CN"/>
        </w:rPr>
        <w:t>。</w:t>
      </w:r>
    </w:p>
    <w:p w:rsidR="009E1DA0" w:rsidRDefault="00E459A2" w:rsidP="003F4A60">
      <w:pPr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4.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推进依法理财，强化财政监督。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一是推进法治财政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建设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严格执行《预算法》、《会计法》、《政府采购法》、《财政违法行为处罚处分条例》等法律法规，自觉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主动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人大监督。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二是加大财政综合监督工作力度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重点围绕用于公共服务领域的专项资金使用情况、部门预算编制执行情况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、政府采购活动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等社会关注、群众关心的问题开展监督检查，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对会计质量、预决算公开和“互联网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监督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”进行专项检查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扎实做好“三湘护农”专项工作。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开展惠农补贴资金现场检查，对检查组交办问题进行认真核查整改，并全面开展自查自纠。截至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月，累计查出问题资金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35.94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万元，其中：违规发放资金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8.38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万元、已退回资金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8.38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万元。同时向县纪委监委精准移送问题线索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个。</w:t>
      </w:r>
    </w:p>
    <w:p w:rsidR="009E1DA0" w:rsidRDefault="00E459A2" w:rsidP="003F4A60">
      <w:pPr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5.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强化政治建设，打造忠诚干净担当干部队伍。</w:t>
      </w:r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坚决践行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民主集中制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严格执行“三重一大”制度，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“三重一大”及其他重要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事项的，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一律</w:t>
      </w:r>
      <w:r>
        <w:rPr>
          <w:rFonts w:ascii="仿宋_GB2312" w:eastAsia="仿宋_GB2312" w:hAnsi="仿宋_GB2312" w:cs="仿宋_GB2312" w:hint="eastAsia"/>
          <w:sz w:val="32"/>
          <w:szCs w:val="32"/>
        </w:rPr>
        <w:t>经班子或班子扩大会议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集体研讨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，确保集体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CN"/>
        </w:rPr>
        <w:t>决策、科学决策、民主决策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深耕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理论和业务学习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组织全局干部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重点学习党的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大精神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、创新理论和习近平总书记关于财政工作的系列重要论述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常态化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学习各项方针、政策及《预算法》、《会计法》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《政府采购法》等，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不断提高财政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干部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“政治三力”和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筑牢干部廉洁自律防线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压实管党治党主体责任，扎实开展党纪学习教育，坚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持和运用好领导干部谈心谈话制度，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用心问明、细心察明，敢于明断是非，充分讲明利害，谈出警示督促效果，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奋力打造高度自律的财政“廉”军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坚持和完善制度建设。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坚持问题导向，不断巩固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完善内部管理制度，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推进干部能上能下实现新突破，不断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CN"/>
        </w:rPr>
        <w:t>提高选人用人科学化制度化规范化水平，努力形成用制度约束人，用机制激励人，用榜样带动人的良好工作局面。</w:t>
      </w:r>
    </w:p>
    <w:p w:rsidR="009E1DA0" w:rsidRDefault="00E459A2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二、存在的问题</w:t>
      </w:r>
    </w:p>
    <w:p w:rsidR="009E1DA0" w:rsidRDefault="00E459A2" w:rsidP="003F4A60">
      <w:pPr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收入质量不高，非税占比过高。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1-6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我县地方一般公共预算收入完成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75034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，而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非税收入完成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35474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非税占比达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47.3%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在以后月份我县将加大税收缴存入库进度，非税占比预计将下降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9E1DA0" w:rsidRDefault="00E459A2" w:rsidP="003F4A60">
      <w:pPr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税收结构单一、主体税收下降明显。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我县税源结构单一，基础薄弱，对房地产业的依存度较大，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县内特色产业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集聚效应不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够</w:t>
      </w:r>
      <w:r>
        <w:rPr>
          <w:rFonts w:ascii="仿宋_GB2312" w:eastAsia="仿宋_GB2312" w:hAnsi="仿宋_GB2312" w:cs="仿宋_GB2312" w:hint="eastAsia"/>
          <w:sz w:val="32"/>
          <w:szCs w:val="32"/>
        </w:rPr>
        <w:t>明显，骨干税源少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1-6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我县税收来源主要依靠土地增值税，土地增值税占高达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49.7%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  <w:r>
        <w:rPr>
          <w:rStyle w:val="NormalCharacter"/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主体税收增值税和企业所得税同比下降</w:t>
      </w:r>
      <w:r>
        <w:rPr>
          <w:rStyle w:val="NormalCharacter"/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18.69%</w:t>
      </w:r>
      <w:r>
        <w:rPr>
          <w:rStyle w:val="NormalCharacter"/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；主体税收占地方税收比例为</w:t>
      </w:r>
      <w:r>
        <w:rPr>
          <w:rStyle w:val="NormalCharacter"/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15.93%</w:t>
      </w:r>
      <w:r>
        <w:rPr>
          <w:rStyle w:val="NormalCharacter"/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，较上年下降</w:t>
      </w:r>
      <w:r>
        <w:rPr>
          <w:rStyle w:val="NormalCharacter"/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3.73%</w:t>
      </w:r>
      <w:r>
        <w:rPr>
          <w:rStyle w:val="NormalCharacter"/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。</w:t>
      </w:r>
    </w:p>
    <w:p w:rsidR="009E1DA0" w:rsidRDefault="00E459A2" w:rsidP="003F4A60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3.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财政支出及偿债压力大。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县级财政自我造血功能不强，一般性转移支付额度又相对稳定，而“三保”、乡村振兴、重大项目建设及社会民生服务等重点领域支出却在逐步增加，同时，政府性债务也进入了还款高峰期，还本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付息压力陡增。</w:t>
      </w:r>
    </w:p>
    <w:p w:rsidR="009E1DA0" w:rsidRDefault="00E459A2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三、下半年工作打算</w:t>
      </w:r>
    </w:p>
    <w:p w:rsidR="009E1DA0" w:rsidRDefault="00E459A2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下半年，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坚持以</w:t>
      </w:r>
      <w:r>
        <w:rPr>
          <w:rFonts w:ascii="仿宋_GB2312" w:eastAsia="仿宋_GB2312" w:hAnsi="仿宋_GB2312" w:cs="仿宋_GB2312" w:hint="eastAsia"/>
          <w:sz w:val="32"/>
          <w:szCs w:val="32"/>
        </w:rPr>
        <w:t>党的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二十大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为指引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认真落实县委县政府决策部署，紧盯全年目标，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扎实做好各项财政工作，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努力写好量质齐升的财政下半年文章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E1DA0" w:rsidRDefault="00E459A2" w:rsidP="003F4A60">
      <w:pPr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(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一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)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抓收入促增长。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紧盯全年征收计划。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将征收计划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下达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至各征管单位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加强动态沟通对接，倒排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时间表，抓大不放小，全力确保财税收入应收尽收、均衡入库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全力清查盘活“三资”。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对全县行政事业单位国有资产进行全面清查，对符合市场化处置的资产，按照相关法规和程序进行盘活，最大限度挖掘资产资源价值。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多渠道、多方式推进资产资源处置盘活。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助推产业发展。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全力支持硅砂、湘维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PVB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、石材和风电、光伏等特色产业和“雨溆工业园区”做大做强，延伸产业链条，加快形成规模税源。</w:t>
      </w:r>
    </w:p>
    <w:p w:rsidR="009E1DA0" w:rsidRDefault="00E459A2" w:rsidP="003F4A60">
      <w:pPr>
        <w:widowControl w:val="0"/>
        <w:shd w:val="clear" w:color="auto" w:fill="FFFFFF"/>
        <w:kinsoku/>
        <w:overflowPunct w:val="0"/>
        <w:autoSpaceDE/>
        <w:autoSpaceDN/>
        <w:spacing w:line="5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(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)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抓支出促保障。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继续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树牢“过紧日子”思想。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持续压减非重点、非刚性、非必需资金，严格控制一般性支出，进一步压减行政经费，精准保障重点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刚性支出。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继续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强化预算刚性约束。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坚持“先预算，后支出，无预算，不支出”的要求，严控新增项目支出，充分开展财政承受能力评估，严禁随意扩大政策范围，提高补助标准，增加财政负担。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坚持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从紧有序安排支出。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支付资金时，按照先“三保”、化债后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款，先刚性后非刚性的原则，优先保障工资、运转、基本民生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“三保”支出。</w:t>
      </w:r>
    </w:p>
    <w:p w:rsidR="009E1DA0" w:rsidRDefault="00E459A2" w:rsidP="003F4A60">
      <w:pPr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（三）抓化债促稳定。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聚焦债务化解，想方设法确保政府债务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逐步有效化解，守牢化债工作“不爆雷”底线。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一是坚决遏制隐形债务增量。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统筹好债务风险化解和高质量发展，坚持量力而行搞建设，有效控制项目规模，不超越发展阶段搞大融资、大开发、大建设，避免无效投入和浪费。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二是多方筹资有序化债。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按照年初统计出我县全年还本付息总额，将政府债务及隐性债务偿债资金纳入年度预算，将化债责任压实到债务单位，并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按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年化债方案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，多渠道筹集化债资金。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三是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常态化监测预警债务风险。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号提前下达下个月《关于按期偿还到期债务本息的通知》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。对于</w:t>
      </w:r>
      <w:r>
        <w:rPr>
          <w:rFonts w:ascii="仿宋_GB2312" w:eastAsia="仿宋_GB2312" w:hAnsi="仿宋_GB2312" w:cs="仿宋_GB2312" w:hint="eastAsia"/>
          <w:sz w:val="32"/>
          <w:szCs w:val="32"/>
        </w:rPr>
        <w:t>确实无法落实资金来源的，提前与金融机构协商，通过展期或借新还旧缓释风险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9E1DA0" w:rsidRDefault="00E459A2" w:rsidP="003F4A60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(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)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抓管理促增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效。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一是规范政府采购管理。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坚持规范采购程序为手段，努力实现采购管理精细化、规范化和科学化，不断提高政府采购质效。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二是规范投资评审管理。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对政府投资项目严格把关，参与项目建设事前事中事后全过程监管。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三是加强财政监督管理。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加大财政资金监管力度，切实履行财政财务管理制度。选取重大项目特别是惠民实事项目全过程监督检查。</w:t>
      </w:r>
    </w:p>
    <w:p w:rsidR="009E1DA0" w:rsidRDefault="00E459A2" w:rsidP="009E1DA0">
      <w:pPr>
        <w:pStyle w:val="a3"/>
        <w:widowControl w:val="0"/>
        <w:kinsoku/>
        <w:overflowPunct w:val="0"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lastRenderedPageBreak/>
        <w:t>(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五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)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抓作风促效能。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以思想解放推进作风建设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以县委“作风建设年”为契机，不断解放思想，打破路径依赖，突破思维定势，敢于以全新的视角认识财政事业，创造性干好财政工作。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二是以高度政治自觉抓好落实。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牢记财政部门政治机关定位，对县委县政府各项安排部署，不折不扣做好执行，以高效履职尽责做好榜样示范，在狠抓落实中提高工作质效。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警钟长鸣把好廉洁关。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要弘扬清廉之风，树立正确权钱观，始终把纪律和规矩挺在前面，始终保持清醒头脑，全面查找廉洁风险点，坚守法纪底线红线，清白做事，堂正做人。</w:t>
      </w:r>
    </w:p>
    <w:sectPr w:rsidR="009E1DA0" w:rsidSect="009E1DA0">
      <w:footerReference w:type="default" r:id="rId7"/>
      <w:type w:val="continuous"/>
      <w:pgSz w:w="11910" w:h="16840"/>
      <w:pgMar w:top="2154" w:right="1814" w:bottom="1701" w:left="1814" w:header="850" w:footer="1247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A2" w:rsidRDefault="00E459A2">
      <w:r>
        <w:separator/>
      </w:r>
    </w:p>
  </w:endnote>
  <w:endnote w:type="continuationSeparator" w:id="0">
    <w:p w:rsidR="00E459A2" w:rsidRDefault="00E4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A0" w:rsidRDefault="009E1DA0">
    <w:pPr>
      <w:spacing w:line="240" w:lineRule="exact"/>
      <w:rPr>
        <w:sz w:val="2"/>
      </w:rPr>
    </w:pPr>
    <w:r w:rsidRPr="009E1DA0"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9E1DA0" w:rsidRDefault="009E1DA0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E459A2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3F4A6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A2" w:rsidRDefault="00E459A2">
      <w:r>
        <w:separator/>
      </w:r>
    </w:p>
  </w:footnote>
  <w:footnote w:type="continuationSeparator" w:id="0">
    <w:p w:rsidR="00E459A2" w:rsidRDefault="00E45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4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ZDM1Zjk4ZDU3YmFiNmYyOWYxYzUxOTE2M2Q2NWU5ZGEifQ=="/>
    <w:docVar w:name="KSO_WPS_MARK_KEY" w:val="3bf489d5-d89b-4a93-9805-b7e7daa2011a"/>
  </w:docVars>
  <w:rsids>
    <w:rsidRoot w:val="009E1DA0"/>
    <w:rsid w:val="F3FD504D"/>
    <w:rsid w:val="F67A24E1"/>
    <w:rsid w:val="F69BADAD"/>
    <w:rsid w:val="F6FF3909"/>
    <w:rsid w:val="F7D40636"/>
    <w:rsid w:val="F7FCE4FE"/>
    <w:rsid w:val="F9FED75D"/>
    <w:rsid w:val="FA7B9B2B"/>
    <w:rsid w:val="FAEE69A4"/>
    <w:rsid w:val="FB17419B"/>
    <w:rsid w:val="FBFE4616"/>
    <w:rsid w:val="FD55900C"/>
    <w:rsid w:val="FD76F0C9"/>
    <w:rsid w:val="FF7E53E5"/>
    <w:rsid w:val="FFBBE860"/>
    <w:rsid w:val="FFBDEF6E"/>
    <w:rsid w:val="FFBE2CF9"/>
    <w:rsid w:val="FFBF38B0"/>
    <w:rsid w:val="FFD70665"/>
    <w:rsid w:val="FFD7E5BB"/>
    <w:rsid w:val="FFDFBB4F"/>
    <w:rsid w:val="FFEDB18E"/>
    <w:rsid w:val="FFFDC47C"/>
    <w:rsid w:val="003F4A60"/>
    <w:rsid w:val="009E1DA0"/>
    <w:rsid w:val="00E459A2"/>
    <w:rsid w:val="017E630C"/>
    <w:rsid w:val="04657F2A"/>
    <w:rsid w:val="06FC0786"/>
    <w:rsid w:val="0BB82694"/>
    <w:rsid w:val="0C1240ED"/>
    <w:rsid w:val="12DA2A20"/>
    <w:rsid w:val="16FD0824"/>
    <w:rsid w:val="17EE07A8"/>
    <w:rsid w:val="1F7B8199"/>
    <w:rsid w:val="2029675F"/>
    <w:rsid w:val="23E39AA0"/>
    <w:rsid w:val="23FF1D9A"/>
    <w:rsid w:val="26062EC3"/>
    <w:rsid w:val="27FCB5DC"/>
    <w:rsid w:val="366B76A4"/>
    <w:rsid w:val="37BF513E"/>
    <w:rsid w:val="398E141A"/>
    <w:rsid w:val="3DEFD13E"/>
    <w:rsid w:val="3DF24824"/>
    <w:rsid w:val="3F7D4645"/>
    <w:rsid w:val="3FA77D7F"/>
    <w:rsid w:val="3FDF116A"/>
    <w:rsid w:val="3FF1F55F"/>
    <w:rsid w:val="431A1D67"/>
    <w:rsid w:val="4BB5041C"/>
    <w:rsid w:val="4FB73252"/>
    <w:rsid w:val="4FEDD668"/>
    <w:rsid w:val="50EB85A8"/>
    <w:rsid w:val="555B6607"/>
    <w:rsid w:val="567FF292"/>
    <w:rsid w:val="577F80BA"/>
    <w:rsid w:val="58B26F9F"/>
    <w:rsid w:val="59DF8688"/>
    <w:rsid w:val="59F9635F"/>
    <w:rsid w:val="5AD0320E"/>
    <w:rsid w:val="5AEEC6B8"/>
    <w:rsid w:val="5BBD147B"/>
    <w:rsid w:val="5BBDB994"/>
    <w:rsid w:val="5BFF8AD7"/>
    <w:rsid w:val="5D7548F2"/>
    <w:rsid w:val="5DFEADCC"/>
    <w:rsid w:val="5EFFB337"/>
    <w:rsid w:val="5FBD73AB"/>
    <w:rsid w:val="5FD93C1D"/>
    <w:rsid w:val="5FFE912C"/>
    <w:rsid w:val="61395AB8"/>
    <w:rsid w:val="63D6407F"/>
    <w:rsid w:val="66FE8039"/>
    <w:rsid w:val="68155852"/>
    <w:rsid w:val="68A85264"/>
    <w:rsid w:val="6EBF286F"/>
    <w:rsid w:val="6EBF9C79"/>
    <w:rsid w:val="6F765DA5"/>
    <w:rsid w:val="6FB726FE"/>
    <w:rsid w:val="6FD755C9"/>
    <w:rsid w:val="6FF7A995"/>
    <w:rsid w:val="6FFC2D82"/>
    <w:rsid w:val="737FC796"/>
    <w:rsid w:val="73DFE6D2"/>
    <w:rsid w:val="73FF7074"/>
    <w:rsid w:val="75F714AD"/>
    <w:rsid w:val="7737D0D0"/>
    <w:rsid w:val="774E5B40"/>
    <w:rsid w:val="7772CE96"/>
    <w:rsid w:val="77E108F6"/>
    <w:rsid w:val="7A707BCE"/>
    <w:rsid w:val="7A7BD86D"/>
    <w:rsid w:val="7AF6C2ED"/>
    <w:rsid w:val="7B737920"/>
    <w:rsid w:val="7DFB4F04"/>
    <w:rsid w:val="7DFE343C"/>
    <w:rsid w:val="7ECD8AF9"/>
    <w:rsid w:val="7EEFDD14"/>
    <w:rsid w:val="7FBFAABF"/>
    <w:rsid w:val="7FCF8AE4"/>
    <w:rsid w:val="7FD9B259"/>
    <w:rsid w:val="7FF764EB"/>
    <w:rsid w:val="7FFB3E5E"/>
    <w:rsid w:val="7FFF735C"/>
    <w:rsid w:val="8FBE8CF1"/>
    <w:rsid w:val="9ABD0B4F"/>
    <w:rsid w:val="9BF98FEC"/>
    <w:rsid w:val="9ECF409F"/>
    <w:rsid w:val="9F79C8FA"/>
    <w:rsid w:val="A3B17919"/>
    <w:rsid w:val="A7DF602E"/>
    <w:rsid w:val="ADAF2BA5"/>
    <w:rsid w:val="AF1790A5"/>
    <w:rsid w:val="B7BFC427"/>
    <w:rsid w:val="BDF2A917"/>
    <w:rsid w:val="BF1F36B3"/>
    <w:rsid w:val="BFD9F5D2"/>
    <w:rsid w:val="CCFB0FDD"/>
    <w:rsid w:val="CFCF7E31"/>
    <w:rsid w:val="D3CC7DF8"/>
    <w:rsid w:val="D7610705"/>
    <w:rsid w:val="D8EB359A"/>
    <w:rsid w:val="DBF94CAD"/>
    <w:rsid w:val="DDDB1F50"/>
    <w:rsid w:val="DE7CA70F"/>
    <w:rsid w:val="DEFBA720"/>
    <w:rsid w:val="DFBFBD03"/>
    <w:rsid w:val="DFEF16DE"/>
    <w:rsid w:val="DFEFED49"/>
    <w:rsid w:val="E6EB94D4"/>
    <w:rsid w:val="E7FFBF3C"/>
    <w:rsid w:val="E94F2073"/>
    <w:rsid w:val="EB6FFE11"/>
    <w:rsid w:val="EBEF38A3"/>
    <w:rsid w:val="EEE33AA1"/>
    <w:rsid w:val="EEFCEFE6"/>
    <w:rsid w:val="EF5D24CA"/>
    <w:rsid w:val="EF7EEA98"/>
    <w:rsid w:val="EFA5FFB8"/>
    <w:rsid w:val="EFDF00CE"/>
    <w:rsid w:val="F35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9E1DA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semiHidden/>
    <w:qFormat/>
    <w:rsid w:val="009E1DA0"/>
    <w:rPr>
      <w:rFonts w:ascii="宋体" w:eastAsia="宋体" w:hAnsi="宋体" w:cs="宋体"/>
      <w:sz w:val="25"/>
      <w:szCs w:val="25"/>
    </w:rPr>
  </w:style>
  <w:style w:type="paragraph" w:styleId="a4">
    <w:name w:val="Body Text First Indent"/>
    <w:basedOn w:val="a3"/>
    <w:uiPriority w:val="99"/>
    <w:unhideWhenUsed/>
    <w:qFormat/>
    <w:rsid w:val="009E1DA0"/>
    <w:pPr>
      <w:spacing w:before="100" w:beforeAutospacing="1" w:after="120"/>
      <w:ind w:firstLineChars="100" w:firstLine="100"/>
      <w:jc w:val="both"/>
    </w:pPr>
    <w:rPr>
      <w:rFonts w:ascii="Calibri" w:hAnsi="Calibri"/>
      <w:sz w:val="21"/>
      <w:szCs w:val="21"/>
    </w:rPr>
  </w:style>
  <w:style w:type="paragraph" w:styleId="a5">
    <w:name w:val="footer"/>
    <w:basedOn w:val="a"/>
    <w:qFormat/>
    <w:rsid w:val="009E1DA0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rsid w:val="009E1D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9E1DA0"/>
    <w:rPr>
      <w:sz w:val="24"/>
    </w:rPr>
  </w:style>
  <w:style w:type="table" w:customStyle="1" w:styleId="TableNormal">
    <w:name w:val="Table Normal"/>
    <w:semiHidden/>
    <w:unhideWhenUsed/>
    <w:qFormat/>
    <w:rsid w:val="009E1DA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Character">
    <w:name w:val="NormalCharacter"/>
    <w:semiHidden/>
    <w:qFormat/>
    <w:rsid w:val="009E1D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2024-07-11T09:39:00Z</cp:lastPrinted>
  <dcterms:created xsi:type="dcterms:W3CDTF">2024-07-10T07:09:00Z</dcterms:created>
  <dcterms:modified xsi:type="dcterms:W3CDTF">2024-07-10T07:09:00Z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2024-06-28T11:06:34Z</vt:filetime>
  </property>
  <property fmtid="{D5CDD505-2E9C-101B-9397-08002B2CF9AE}" pid="4" name="UsrData">
    <vt:lpwstr>667e28b5441e46001f1498d6wl</vt:lpwstr>
  </property>
  <property fmtid="{D5CDD505-2E9C-101B-9397-08002B2CF9AE}" pid="5" name="KSOProductBuildVer">
    <vt:lpwstr>2052-11.1.0.14309</vt:lpwstr>
  </property>
  <property fmtid="{D5CDD505-2E9C-101B-9397-08002B2CF9AE}" pid="6" name="ICV">
    <vt:lpwstr>90F56117A50045D9B8A7DAED5BC009EB_13</vt:lpwstr>
  </property>
</Properties>
</file>