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32659">
      <w:pPr>
        <w:keepNext w:val="0"/>
        <w:keepLines w:val="0"/>
        <w:pageBreakBefore w:val="0"/>
        <w:widowControl/>
        <w:shd w:val="clear" w:color="auto" w:fill="FFFFFF"/>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lang w:bidi="ar"/>
        </w:rPr>
        <w:t>溆浦县科学技术局</w:t>
      </w:r>
    </w:p>
    <w:p w14:paraId="2CE984A6">
      <w:pPr>
        <w:keepNext w:val="0"/>
        <w:keepLines w:val="0"/>
        <w:pageBreakBefore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lang w:bidi="ar"/>
        </w:rPr>
        <w:t>202</w:t>
      </w:r>
      <w:r>
        <w:rPr>
          <w:rFonts w:hint="eastAsia" w:ascii="方正小标宋_GBK" w:hAnsi="方正小标宋_GBK" w:eastAsia="方正小标宋_GBK" w:cs="方正小标宋_GBK"/>
          <w:b w:val="0"/>
          <w:bCs/>
          <w:sz w:val="44"/>
          <w:szCs w:val="44"/>
          <w:lang w:val="en-US" w:eastAsia="zh-CN" w:bidi="ar"/>
        </w:rPr>
        <w:t>4</w:t>
      </w:r>
      <w:r>
        <w:rPr>
          <w:rFonts w:hint="eastAsia" w:ascii="方正小标宋_GBK" w:hAnsi="方正小标宋_GBK" w:eastAsia="方正小标宋_GBK" w:cs="方正小标宋_GBK"/>
          <w:b w:val="0"/>
          <w:bCs/>
          <w:sz w:val="44"/>
          <w:szCs w:val="44"/>
          <w:lang w:bidi="ar"/>
        </w:rPr>
        <w:t>年度部门整体支出绩效自评报告</w:t>
      </w:r>
    </w:p>
    <w:p w14:paraId="07A94AAD">
      <w:pPr>
        <w:jc w:val="center"/>
        <w:rPr>
          <w:b/>
          <w:sz w:val="32"/>
          <w:szCs w:val="32"/>
        </w:rPr>
      </w:pPr>
    </w:p>
    <w:p w14:paraId="2514051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一、部门、单位基本情况</w:t>
      </w:r>
    </w:p>
    <w:p w14:paraId="4AD3D69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eastAsia"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（一）机构设置情况</w:t>
      </w:r>
    </w:p>
    <w:p w14:paraId="14905B6F">
      <w:pPr>
        <w:spacing w:line="58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 溆浦县科学技术局设立</w:t>
      </w:r>
      <w:r>
        <w:rPr>
          <w:rFonts w:hint="eastAsia" w:ascii="仿宋_GB2312" w:hAnsi="仿宋_GB2312" w:eastAsia="仿宋_GB2312" w:cs="仿宋_GB2312"/>
          <w:sz w:val="32"/>
          <w:szCs w:val="32"/>
          <w:lang w:val="en-US" w:eastAsia="zh-CN" w:bidi="ar"/>
        </w:rPr>
        <w:t>2</w:t>
      </w:r>
      <w:r>
        <w:rPr>
          <w:rFonts w:hint="eastAsia" w:ascii="仿宋_GB2312" w:hAnsi="仿宋_GB2312" w:eastAsia="仿宋_GB2312" w:cs="仿宋_GB2312"/>
          <w:sz w:val="32"/>
          <w:szCs w:val="32"/>
          <w:lang w:bidi="ar"/>
        </w:rPr>
        <w:t>个内设机构：办公室、高新技术发展与产业化股</w:t>
      </w:r>
      <w:r>
        <w:rPr>
          <w:rFonts w:hint="eastAsia" w:ascii="仿宋_GB2312" w:hAnsi="仿宋_GB2312" w:eastAsia="仿宋_GB2312" w:cs="仿宋_GB2312"/>
          <w:sz w:val="32"/>
          <w:szCs w:val="32"/>
          <w:lang w:eastAsia="zh-CN" w:bidi="ar"/>
        </w:rPr>
        <w:t>及非</w:t>
      </w:r>
      <w:r>
        <w:rPr>
          <w:rFonts w:hint="eastAsia" w:ascii="仿宋_GB2312" w:hAnsi="仿宋_GB2312" w:eastAsia="仿宋_GB2312" w:cs="仿宋_GB2312"/>
          <w:sz w:val="32"/>
          <w:szCs w:val="32"/>
          <w:lang w:bidi="ar"/>
        </w:rPr>
        <w:t>独立核算的二级机构科技创新服务中心。</w:t>
      </w:r>
    </w:p>
    <w:p w14:paraId="18FA0D5A">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（二）人员编制情况</w:t>
      </w:r>
    </w:p>
    <w:p w14:paraId="7CE70E36">
      <w:pPr>
        <w:spacing w:line="58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bidi="ar"/>
        </w:rPr>
        <w:t xml:space="preserve"> </w:t>
      </w:r>
      <w:r>
        <w:rPr>
          <w:rFonts w:hint="eastAsia" w:ascii="仿宋_GB2312" w:hAnsi="仿宋_GB2312" w:eastAsia="仿宋_GB2312" w:cs="仿宋_GB2312"/>
          <w:sz w:val="32"/>
          <w:szCs w:val="32"/>
          <w:lang w:bidi="ar"/>
        </w:rPr>
        <w:t>本单位是行政单位，核定编制1</w:t>
      </w:r>
      <w:r>
        <w:rPr>
          <w:rFonts w:hint="eastAsia" w:ascii="仿宋_GB2312" w:hAnsi="仿宋_GB2312" w:eastAsia="仿宋_GB2312" w:cs="仿宋_GB2312"/>
          <w:sz w:val="32"/>
          <w:szCs w:val="32"/>
          <w:lang w:val="en-US" w:eastAsia="zh-CN" w:bidi="ar"/>
        </w:rPr>
        <w:t>6</w:t>
      </w:r>
      <w:r>
        <w:rPr>
          <w:rFonts w:hint="eastAsia" w:ascii="仿宋_GB2312" w:hAnsi="仿宋_GB2312" w:eastAsia="仿宋_GB2312" w:cs="仿宋_GB2312"/>
          <w:sz w:val="32"/>
          <w:szCs w:val="32"/>
          <w:lang w:bidi="ar"/>
        </w:rPr>
        <w:t>名，其中行政编制</w:t>
      </w:r>
      <w:r>
        <w:rPr>
          <w:rFonts w:hint="eastAsia" w:ascii="仿宋_GB2312" w:hAnsi="仿宋_GB2312" w:eastAsia="仿宋_GB2312" w:cs="仿宋_GB2312"/>
          <w:sz w:val="32"/>
          <w:szCs w:val="32"/>
          <w:lang w:val="en-US" w:eastAsia="zh-CN" w:bidi="ar"/>
        </w:rPr>
        <w:t>7</w:t>
      </w:r>
      <w:r>
        <w:rPr>
          <w:rFonts w:hint="eastAsia" w:ascii="仿宋_GB2312" w:hAnsi="仿宋_GB2312" w:eastAsia="仿宋_GB2312" w:cs="仿宋_GB2312"/>
          <w:sz w:val="32"/>
          <w:szCs w:val="32"/>
          <w:lang w:bidi="ar"/>
        </w:rPr>
        <w:t>名，事业编制</w:t>
      </w:r>
      <w:r>
        <w:rPr>
          <w:rFonts w:hint="eastAsia" w:ascii="仿宋_GB2312" w:hAnsi="仿宋_GB2312" w:eastAsia="仿宋_GB2312" w:cs="仿宋_GB2312"/>
          <w:sz w:val="32"/>
          <w:szCs w:val="32"/>
          <w:lang w:val="en-US" w:eastAsia="zh-CN" w:bidi="ar"/>
        </w:rPr>
        <w:t>9</w:t>
      </w:r>
      <w:r>
        <w:rPr>
          <w:rFonts w:hint="eastAsia" w:ascii="仿宋_GB2312" w:hAnsi="仿宋_GB2312" w:eastAsia="仿宋_GB2312" w:cs="仿宋_GB2312"/>
          <w:sz w:val="32"/>
          <w:szCs w:val="32"/>
          <w:lang w:bidi="ar"/>
        </w:rPr>
        <w:t>名。实有在职人员1</w:t>
      </w:r>
      <w:r>
        <w:rPr>
          <w:rFonts w:hint="eastAsia" w:ascii="仿宋_GB2312" w:hAnsi="仿宋_GB2312" w:eastAsia="仿宋_GB2312" w:cs="仿宋_GB2312"/>
          <w:sz w:val="32"/>
          <w:szCs w:val="32"/>
          <w:lang w:val="en-US" w:eastAsia="zh-CN" w:bidi="ar"/>
        </w:rPr>
        <w:t>6</w:t>
      </w:r>
      <w:r>
        <w:rPr>
          <w:rFonts w:hint="eastAsia" w:ascii="仿宋_GB2312" w:hAnsi="仿宋_GB2312" w:eastAsia="仿宋_GB2312" w:cs="仿宋_GB2312"/>
          <w:sz w:val="32"/>
          <w:szCs w:val="32"/>
          <w:lang w:bidi="ar"/>
        </w:rPr>
        <w:t>人，其中行政人员</w:t>
      </w:r>
      <w:r>
        <w:rPr>
          <w:rFonts w:hint="eastAsia" w:ascii="仿宋_GB2312" w:hAnsi="仿宋_GB2312" w:eastAsia="仿宋_GB2312" w:cs="仿宋_GB2312"/>
          <w:sz w:val="32"/>
          <w:szCs w:val="32"/>
          <w:lang w:val="en-US" w:eastAsia="zh-CN" w:bidi="ar"/>
        </w:rPr>
        <w:t>7</w:t>
      </w:r>
      <w:r>
        <w:rPr>
          <w:rFonts w:hint="eastAsia" w:ascii="仿宋_GB2312" w:hAnsi="仿宋_GB2312" w:eastAsia="仿宋_GB2312" w:cs="仿宋_GB2312"/>
          <w:sz w:val="32"/>
          <w:szCs w:val="32"/>
          <w:lang w:bidi="ar"/>
        </w:rPr>
        <w:t>人，事业人员</w:t>
      </w:r>
      <w:r>
        <w:rPr>
          <w:rFonts w:hint="eastAsia" w:ascii="仿宋_GB2312" w:hAnsi="仿宋_GB2312" w:eastAsia="仿宋_GB2312" w:cs="仿宋_GB2312"/>
          <w:sz w:val="32"/>
          <w:szCs w:val="32"/>
          <w:lang w:val="en-US" w:eastAsia="zh-CN" w:bidi="ar"/>
        </w:rPr>
        <w:t>9</w:t>
      </w:r>
      <w:r>
        <w:rPr>
          <w:rFonts w:hint="eastAsia" w:ascii="仿宋_GB2312" w:hAnsi="仿宋_GB2312" w:eastAsia="仿宋_GB2312" w:cs="仿宋_GB2312"/>
          <w:sz w:val="32"/>
          <w:szCs w:val="32"/>
          <w:lang w:bidi="ar"/>
        </w:rPr>
        <w:t>人，退休人员13人</w:t>
      </w:r>
      <w:r>
        <w:rPr>
          <w:rFonts w:hint="eastAsia" w:ascii="仿宋_GB2312" w:hAnsi="仿宋_GB2312" w:eastAsia="仿宋_GB2312" w:cs="仿宋_GB2312"/>
          <w:sz w:val="32"/>
          <w:szCs w:val="32"/>
          <w:lang w:eastAsia="zh-CN" w:bidi="ar"/>
        </w:rPr>
        <w:t>，遗属人员</w:t>
      </w:r>
      <w:r>
        <w:rPr>
          <w:rFonts w:hint="eastAsia" w:ascii="仿宋_GB2312" w:hAnsi="仿宋_GB2312" w:eastAsia="仿宋_GB2312" w:cs="仿宋_GB2312"/>
          <w:sz w:val="32"/>
          <w:szCs w:val="32"/>
          <w:lang w:val="en-US" w:eastAsia="zh-CN" w:bidi="ar"/>
        </w:rPr>
        <w:t>2</w:t>
      </w:r>
      <w:r>
        <w:rPr>
          <w:rFonts w:hint="eastAsia" w:ascii="仿宋_GB2312" w:hAnsi="仿宋_GB2312" w:eastAsia="仿宋_GB2312" w:cs="仿宋_GB2312"/>
          <w:sz w:val="32"/>
          <w:szCs w:val="32"/>
          <w:lang w:eastAsia="zh-CN" w:bidi="ar"/>
        </w:rPr>
        <w:t>人</w:t>
      </w:r>
      <w:r>
        <w:rPr>
          <w:rFonts w:hint="eastAsia" w:ascii="仿宋_GB2312" w:hAnsi="仿宋_GB2312" w:eastAsia="仿宋_GB2312" w:cs="仿宋_GB2312"/>
          <w:sz w:val="32"/>
          <w:szCs w:val="32"/>
          <w:lang w:bidi="ar"/>
        </w:rPr>
        <w:t>。</w:t>
      </w:r>
    </w:p>
    <w:p w14:paraId="529381C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（三）主要职能职责</w:t>
      </w:r>
    </w:p>
    <w:p w14:paraId="62DBCCAE">
      <w:pPr>
        <w:spacing w:line="58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   溆浦县科学技术局根据县人民政府授权，主管全县科技发展工作。</w:t>
      </w:r>
    </w:p>
    <w:p w14:paraId="6A7A1FE1">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本单位的主要职责有：负责编制全县科学技术发展的中长期规划和年度计划；参与对全县经济社会发展重大影响的跨部门、多学科的综合性项目论证与决策。贯彻实施科技体制改革的方针、政策和措施；推动建立适应社会主义市场经济和科技自身发展规律的科技创新体制和科技创新机制。合理配置科技人才资源，会同有关部门考察选拔科技副县长；研究探索加大科技投入的措施，促进科技资源的合理开发；负责科学事业费、科技项目经费等有关经费的管理。</w:t>
      </w:r>
    </w:p>
    <w:p w14:paraId="151F1307">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1、贯彻实施科技发展的宏观战略和科技促进经济与社会发展的法律、法规、方针、政策；研究全县科技促进经济与社会发展的重大问题；研究确定全县科技发展的重大布局和优先领域；推动全县科技创新体系建设，提高全县科技创新能力。</w:t>
      </w:r>
    </w:p>
    <w:p w14:paraId="7703E41C">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2、负责编制全县科学技术发展的中长期规划和年度计划；参与对全县经济社会发展重大影响的跨部门、多学科的综合性项目论证与决策。</w:t>
      </w:r>
    </w:p>
    <w:p w14:paraId="4EF9CA2C">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3、贯彻实施科技体制改革的方针、政策和措施；推动建立适应社会主义市场经济和科技自身发展规律的科技创新体制和科技创新机制。</w:t>
      </w:r>
    </w:p>
    <w:p w14:paraId="39DB3F09">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4、合理配置科技人才资源，会同有关部门考察选拔科技副县长；研究探索加大科技投入的措施，促进科技资源的合理开发；负责科学事业费、科技项目经费等有关经费的管理。</w:t>
      </w:r>
    </w:p>
    <w:p w14:paraId="39863AE4">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5、贯彻实施加强基础性研究、高新技术发展的政策措施；负责制订并组织实施全县高新技术引进及产业发展计划、科技攻关计划、实施火炬计划、科技星创计划、专利开发计划、科技成果推广计划等科技计划项目的筛选、编制、申报及项目的实施管理工作。</w:t>
      </w:r>
    </w:p>
    <w:p w14:paraId="379D9A55">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6、归口管理权限科技创新、科技奖励、科技保密、技术市场以及与科技有关的知识产权工作；主管科技型企业，制订发展规划，负责科技型企业的认定和管理；参与全县地震灾害预防、应急救援、防震减灾科学研究和科技成果推广、防震减灾宣传等工作；制订全县科学技术普及工作规划，实行政策引导，推动科普及工作发展；促进科技咨询、招标、评估等社会中介组织的发展，推动科技服务体系的建设。</w:t>
      </w:r>
    </w:p>
    <w:p w14:paraId="5C6AE205">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7、负责科技信息、科技统计工作；审核科研机构的组建和调整。</w:t>
      </w:r>
    </w:p>
    <w:p w14:paraId="523D891E">
      <w:pPr>
        <w:spacing w:line="58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8、指导协调县人民政府各部门和全县各乡镇的科技管理工作。</w:t>
      </w:r>
    </w:p>
    <w:p w14:paraId="52A42B5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（四）绩效目标设定情况</w:t>
      </w:r>
    </w:p>
    <w:p w14:paraId="193B187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hAnsi="仿宋_GB2312" w:eastAsia="仿宋_GB2312" w:cs="仿宋_GB2312"/>
          <w:kern w:val="2"/>
          <w:sz w:val="32"/>
          <w:szCs w:val="32"/>
          <w:lang w:val="en-US" w:eastAsia="zh-CN" w:bidi="ar"/>
        </w:rPr>
      </w:pPr>
      <w:r>
        <w:rPr>
          <w:rFonts w:hint="default" w:ascii="仿宋_GB2312" w:hAnsi="仿宋_GB2312" w:eastAsia="仿宋_GB2312" w:cs="仿宋_GB2312"/>
          <w:kern w:val="2"/>
          <w:sz w:val="32"/>
          <w:szCs w:val="32"/>
          <w:lang w:val="en-US" w:eastAsia="zh-CN" w:bidi="ar"/>
        </w:rPr>
        <w:t xml:space="preserve"> 一是保障在职人员的正常办公、生活秩序，各项工作顺利开展。 二是以科普基地、科技下乡等措施，提高全县人民科技水平。三是重点培育高企科技创新能力，通过兑现高企奖补政策，进一步激励县内企业申报国家高新技术企业，有效提高全县高企占比。四是结合科技项目与高企认定实施科技成果转化与推广，完成绩效考核任务，促进科技成果转化，助推县域经济发展。五是让科技特派员为乡村振兴提供强大的智力支持，促进农村快步进入小康；六是通过对企业研发投入的奖补，激励企业加大科技投入，增强企业内生动力。七是完成科技相关的其他工作。</w:t>
      </w:r>
    </w:p>
    <w:p w14:paraId="7EE74D7F">
      <w:pPr>
        <w:shd w:val="clear" w:color="auto" w:fill="FFFFFF"/>
        <w:autoSpaceDE w:val="0"/>
        <w:spacing w:line="580" w:lineRule="exact"/>
        <w:ind w:firstLine="684" w:firstLineChars="213"/>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lang w:bidi="ar"/>
        </w:rPr>
        <w:t>二、部门整体支出管理及使用情况</w:t>
      </w:r>
    </w:p>
    <w:p w14:paraId="105EDD3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（一）</w:t>
      </w:r>
      <w:r>
        <w:rPr>
          <w:rFonts w:hint="eastAsia" w:ascii="楷体_GB2312" w:hAnsi="楷体_GB2312" w:eastAsia="楷体_GB2312" w:cs="楷体_GB2312"/>
          <w:b/>
          <w:bCs/>
          <w:i w:val="0"/>
          <w:iCs w:val="0"/>
          <w:caps w:val="0"/>
          <w:color w:val="000000"/>
          <w:spacing w:val="0"/>
          <w:sz w:val="32"/>
          <w:szCs w:val="32"/>
          <w:shd w:val="clear" w:color="auto" w:fill="FFFFFF"/>
        </w:rPr>
        <w:t>预算执行、使用、管理总体情况。</w:t>
      </w:r>
    </w:p>
    <w:p w14:paraId="03FC2D6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sz w:val="30"/>
          <w:szCs w:val="30"/>
          <w:shd w:val="clear" w:fill="FFFFFF"/>
          <w:lang w:eastAsia="zh-CN"/>
        </w:rPr>
        <w:t>溆浦县科学技术局</w:t>
      </w:r>
      <w:r>
        <w:rPr>
          <w:rFonts w:hint="eastAsia" w:ascii="宋体" w:hAnsi="宋体" w:eastAsia="宋体" w:cs="宋体"/>
          <w:i w:val="0"/>
          <w:iCs w:val="0"/>
          <w:caps w:val="0"/>
          <w:color w:val="333333"/>
          <w:spacing w:val="0"/>
          <w:sz w:val="30"/>
          <w:szCs w:val="30"/>
          <w:shd w:val="clear" w:fill="FFFFFF"/>
        </w:rPr>
        <w:t>地方一般公共预算收入完成</w:t>
      </w:r>
      <w:r>
        <w:rPr>
          <w:rFonts w:hint="eastAsia" w:ascii="宋体" w:hAnsi="宋体" w:eastAsia="宋体" w:cs="宋体"/>
          <w:i w:val="0"/>
          <w:iCs w:val="0"/>
          <w:caps w:val="0"/>
          <w:color w:val="333333"/>
          <w:spacing w:val="0"/>
          <w:sz w:val="30"/>
          <w:szCs w:val="30"/>
          <w:shd w:val="clear" w:fill="FFFFFF"/>
          <w:lang w:val="en-US" w:eastAsia="zh-CN"/>
        </w:rPr>
        <w:t>1297.04</w:t>
      </w:r>
      <w:r>
        <w:rPr>
          <w:rFonts w:hint="eastAsia" w:ascii="宋体" w:hAnsi="宋体" w:eastAsia="宋体" w:cs="宋体"/>
          <w:i w:val="0"/>
          <w:iCs w:val="0"/>
          <w:caps w:val="0"/>
          <w:color w:val="333333"/>
          <w:spacing w:val="0"/>
          <w:sz w:val="30"/>
          <w:szCs w:val="30"/>
          <w:shd w:val="clear" w:fill="FFFFFF"/>
        </w:rPr>
        <w:t>万元，完成年初预算数的</w:t>
      </w:r>
      <w:r>
        <w:rPr>
          <w:rFonts w:hint="eastAsia" w:ascii="宋体" w:hAnsi="宋体" w:eastAsia="宋体" w:cs="宋体"/>
          <w:i w:val="0"/>
          <w:iCs w:val="0"/>
          <w:caps w:val="0"/>
          <w:color w:val="333333"/>
          <w:spacing w:val="0"/>
          <w:sz w:val="30"/>
          <w:szCs w:val="30"/>
          <w:shd w:val="clear" w:fill="FFFFFF"/>
          <w:lang w:val="en-US" w:eastAsia="zh-CN"/>
        </w:rPr>
        <w:t>122.11</w:t>
      </w:r>
      <w:r>
        <w:rPr>
          <w:rFonts w:hint="eastAsia" w:ascii="宋体" w:hAnsi="宋体" w:eastAsia="宋体" w:cs="宋体"/>
          <w:i w:val="0"/>
          <w:iCs w:val="0"/>
          <w:caps w:val="0"/>
          <w:color w:val="333333"/>
          <w:spacing w:val="0"/>
          <w:sz w:val="30"/>
          <w:szCs w:val="30"/>
          <w:shd w:val="clear" w:fill="FFFFFF"/>
        </w:rPr>
        <w:t>%</w:t>
      </w:r>
      <w:r>
        <w:rPr>
          <w:rFonts w:hint="eastAsia" w:ascii="宋体" w:hAnsi="宋体" w:eastAsia="宋体" w:cs="宋体"/>
          <w:i w:val="0"/>
          <w:iCs w:val="0"/>
          <w:caps w:val="0"/>
          <w:color w:val="333333"/>
          <w:spacing w:val="0"/>
          <w:sz w:val="30"/>
          <w:szCs w:val="30"/>
          <w:shd w:val="clear" w:fill="FFFFFF"/>
          <w:lang w:eastAsia="zh-CN"/>
        </w:rPr>
        <w:t>；</w:t>
      </w:r>
      <w:r>
        <w:rPr>
          <w:rFonts w:hint="eastAsia" w:ascii="宋体" w:hAnsi="宋体" w:eastAsia="宋体" w:cs="宋体"/>
          <w:i w:val="0"/>
          <w:iCs w:val="0"/>
          <w:caps w:val="0"/>
          <w:color w:val="333333"/>
          <w:spacing w:val="0"/>
          <w:sz w:val="30"/>
          <w:szCs w:val="30"/>
          <w:shd w:val="clear" w:fill="FFFFFF"/>
        </w:rPr>
        <w:t>地方一般公共预算支出完成</w:t>
      </w:r>
      <w:r>
        <w:rPr>
          <w:rFonts w:hint="eastAsia" w:ascii="宋体" w:hAnsi="宋体" w:eastAsia="宋体" w:cs="宋体"/>
          <w:i w:val="0"/>
          <w:iCs w:val="0"/>
          <w:caps w:val="0"/>
          <w:color w:val="333333"/>
          <w:spacing w:val="0"/>
          <w:sz w:val="30"/>
          <w:szCs w:val="30"/>
          <w:shd w:val="clear" w:fill="FFFFFF"/>
          <w:lang w:val="en-US" w:eastAsia="zh-CN"/>
        </w:rPr>
        <w:t>1297.04</w:t>
      </w:r>
      <w:r>
        <w:rPr>
          <w:rFonts w:hint="eastAsia" w:ascii="宋体" w:hAnsi="宋体" w:eastAsia="宋体" w:cs="宋体"/>
          <w:i w:val="0"/>
          <w:iCs w:val="0"/>
          <w:caps w:val="0"/>
          <w:color w:val="333333"/>
          <w:spacing w:val="0"/>
          <w:sz w:val="30"/>
          <w:szCs w:val="30"/>
          <w:shd w:val="clear" w:fill="FFFFFF"/>
        </w:rPr>
        <w:t>万元，</w:t>
      </w:r>
      <w:r>
        <w:rPr>
          <w:rFonts w:hint="eastAsia" w:ascii="宋体" w:hAnsi="宋体" w:eastAsia="宋体" w:cs="宋体"/>
          <w:i w:val="0"/>
          <w:iCs w:val="0"/>
          <w:caps w:val="0"/>
          <w:color w:val="333333"/>
          <w:spacing w:val="0"/>
          <w:sz w:val="30"/>
          <w:szCs w:val="30"/>
          <w:shd w:val="clear" w:fill="FFFFFF"/>
          <w:lang w:eastAsia="zh-CN"/>
        </w:rPr>
        <w:t>同上年比下降</w:t>
      </w:r>
      <w:r>
        <w:rPr>
          <w:rFonts w:hint="eastAsia" w:ascii="宋体" w:hAnsi="宋体" w:eastAsia="宋体" w:cs="宋体"/>
          <w:i w:val="0"/>
          <w:iCs w:val="0"/>
          <w:caps w:val="0"/>
          <w:color w:val="333333"/>
          <w:spacing w:val="0"/>
          <w:sz w:val="30"/>
          <w:szCs w:val="30"/>
          <w:shd w:val="clear" w:fill="FFFFFF"/>
          <w:lang w:val="en-US" w:eastAsia="zh-CN"/>
        </w:rPr>
        <w:t>8.84%</w:t>
      </w:r>
      <w:r>
        <w:rPr>
          <w:rFonts w:hint="eastAsia" w:ascii="宋体" w:hAnsi="宋体" w:eastAsia="宋体" w:cs="宋体"/>
          <w:i w:val="0"/>
          <w:iCs w:val="0"/>
          <w:caps w:val="0"/>
          <w:color w:val="333333"/>
          <w:spacing w:val="0"/>
          <w:sz w:val="30"/>
          <w:szCs w:val="30"/>
          <w:shd w:val="clear" w:fill="FFFFFF"/>
        </w:rPr>
        <w:t>。</w:t>
      </w:r>
    </w:p>
    <w:p w14:paraId="11F0E98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（二）部门预算执行情况</w:t>
      </w:r>
    </w:p>
    <w:p w14:paraId="2EEF5AE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bCs/>
          <w:kern w:val="0"/>
          <w:sz w:val="32"/>
          <w:szCs w:val="32"/>
          <w:lang w:bidi="ar"/>
        </w:rPr>
        <w:t>本年决算收入总计</w:t>
      </w:r>
      <w:r>
        <w:rPr>
          <w:rFonts w:hint="eastAsia" w:ascii="仿宋_GB2312" w:hAnsi="仿宋_GB2312" w:eastAsia="仿宋_GB2312" w:cs="仿宋_GB2312"/>
          <w:bCs/>
          <w:kern w:val="0"/>
          <w:sz w:val="32"/>
          <w:szCs w:val="32"/>
          <w:lang w:val="en-US" w:eastAsia="zh-CN" w:bidi="ar"/>
        </w:rPr>
        <w:t>1297.04</w:t>
      </w:r>
      <w:r>
        <w:rPr>
          <w:rFonts w:hint="eastAsia" w:ascii="仿宋_GB2312" w:hAnsi="仿宋_GB2312" w:eastAsia="仿宋_GB2312" w:cs="仿宋_GB2312"/>
          <w:bCs/>
          <w:kern w:val="0"/>
          <w:sz w:val="32"/>
          <w:szCs w:val="32"/>
          <w:lang w:bidi="ar"/>
        </w:rPr>
        <w:t>万元，</w:t>
      </w:r>
      <w:r>
        <w:rPr>
          <w:rFonts w:hint="eastAsia" w:ascii="仿宋_GB2312" w:hAnsi="仿宋_GB2312" w:eastAsia="仿宋_GB2312" w:cs="仿宋_GB2312"/>
          <w:kern w:val="0"/>
          <w:sz w:val="32"/>
          <w:szCs w:val="32"/>
          <w:lang w:bidi="ar"/>
        </w:rPr>
        <w:t>财政拨款收入</w:t>
      </w:r>
      <w:r>
        <w:rPr>
          <w:rFonts w:hint="eastAsia" w:ascii="仿宋_GB2312" w:hAnsi="仿宋_GB2312" w:eastAsia="仿宋_GB2312" w:cs="仿宋_GB2312"/>
          <w:bCs/>
          <w:kern w:val="0"/>
          <w:sz w:val="32"/>
          <w:szCs w:val="32"/>
          <w:lang w:val="en-US" w:eastAsia="zh-CN" w:bidi="ar"/>
        </w:rPr>
        <w:t>1297.04</w:t>
      </w:r>
      <w:r>
        <w:rPr>
          <w:rFonts w:hint="eastAsia" w:ascii="仿宋_GB2312" w:hAnsi="仿宋_GB2312" w:eastAsia="仿宋_GB2312" w:cs="仿宋_GB2312"/>
          <w:kern w:val="0"/>
          <w:sz w:val="32"/>
          <w:szCs w:val="32"/>
          <w:lang w:bidi="ar"/>
        </w:rPr>
        <w:t>万元，本年</w:t>
      </w:r>
      <w:r>
        <w:rPr>
          <w:rFonts w:hint="eastAsia" w:ascii="仿宋_GB2312" w:hAnsi="仿宋_GB2312" w:eastAsia="仿宋_GB2312" w:cs="仿宋_GB2312"/>
          <w:bCs/>
          <w:kern w:val="0"/>
          <w:sz w:val="32"/>
          <w:szCs w:val="32"/>
          <w:lang w:bidi="ar"/>
        </w:rPr>
        <w:t>决算</w:t>
      </w:r>
      <w:r>
        <w:rPr>
          <w:rFonts w:hint="eastAsia" w:ascii="仿宋_GB2312" w:hAnsi="仿宋_GB2312" w:eastAsia="仿宋_GB2312" w:cs="仿宋_GB2312"/>
          <w:kern w:val="0"/>
          <w:sz w:val="32"/>
          <w:szCs w:val="32"/>
          <w:lang w:bidi="ar"/>
        </w:rPr>
        <w:t>支出总计</w:t>
      </w:r>
      <w:r>
        <w:rPr>
          <w:rFonts w:hint="eastAsia" w:ascii="仿宋_GB2312" w:hAnsi="仿宋_GB2312" w:eastAsia="仿宋_GB2312" w:cs="仿宋_GB2312"/>
          <w:bCs/>
          <w:kern w:val="0"/>
          <w:sz w:val="32"/>
          <w:szCs w:val="32"/>
          <w:lang w:val="en-US" w:eastAsia="zh-CN" w:bidi="ar"/>
        </w:rPr>
        <w:t>1297.04</w:t>
      </w:r>
      <w:r>
        <w:rPr>
          <w:rFonts w:hint="eastAsia" w:ascii="仿宋_GB2312" w:hAnsi="仿宋_GB2312" w:eastAsia="仿宋_GB2312" w:cs="仿宋_GB2312"/>
          <w:bCs/>
          <w:kern w:val="0"/>
          <w:sz w:val="32"/>
          <w:szCs w:val="32"/>
          <w:lang w:bidi="ar"/>
        </w:rPr>
        <w:t>万元</w:t>
      </w:r>
      <w:r>
        <w:rPr>
          <w:rFonts w:hint="eastAsia" w:ascii="仿宋_GB2312" w:hAnsi="仿宋_GB2312" w:eastAsia="仿宋_GB2312" w:cs="仿宋_GB2312"/>
          <w:kern w:val="0"/>
          <w:sz w:val="32"/>
          <w:szCs w:val="32"/>
          <w:lang w:bidi="ar"/>
        </w:rPr>
        <w:t>。收支平衡。本年财政拨款收入支出决算数总计</w:t>
      </w:r>
      <w:r>
        <w:rPr>
          <w:rFonts w:hint="eastAsia" w:ascii="仿宋_GB2312" w:hAnsi="仿宋_GB2312" w:eastAsia="仿宋_GB2312" w:cs="仿宋_GB2312"/>
          <w:bCs/>
          <w:kern w:val="0"/>
          <w:sz w:val="32"/>
          <w:szCs w:val="32"/>
          <w:lang w:val="en-US" w:eastAsia="zh-CN" w:bidi="ar"/>
        </w:rPr>
        <w:t>1297.04</w:t>
      </w:r>
      <w:r>
        <w:rPr>
          <w:rFonts w:hint="eastAsia" w:ascii="仿宋_GB2312" w:hAnsi="仿宋_GB2312" w:eastAsia="仿宋_GB2312" w:cs="仿宋_GB2312"/>
          <w:kern w:val="0"/>
          <w:sz w:val="32"/>
          <w:szCs w:val="32"/>
          <w:lang w:bidi="ar"/>
        </w:rPr>
        <w:t>万元。</w:t>
      </w:r>
      <w:r>
        <w:rPr>
          <w:rFonts w:hint="eastAsia" w:ascii="仿宋_GB2312" w:hAnsi="仿宋_GB2312" w:eastAsia="仿宋_GB2312" w:cs="仿宋_GB2312"/>
          <w:kern w:val="0"/>
          <w:sz w:val="32"/>
          <w:szCs w:val="32"/>
          <w:lang w:eastAsia="zh-CN" w:bidi="ar"/>
        </w:rPr>
        <w:t>较</w:t>
      </w:r>
      <w:r>
        <w:rPr>
          <w:rFonts w:hint="eastAsia" w:ascii="仿宋_GB2312" w:hAnsi="仿宋_GB2312" w:eastAsia="仿宋_GB2312" w:cs="仿宋_GB2312"/>
          <w:kern w:val="0"/>
          <w:sz w:val="32"/>
          <w:szCs w:val="32"/>
          <w:lang w:val="en-US" w:eastAsia="zh-CN" w:bidi="ar"/>
        </w:rPr>
        <w:t>2024年决算收入支出数</w:t>
      </w:r>
      <w:r>
        <w:rPr>
          <w:rFonts w:hint="eastAsia" w:ascii="仿宋_GB2312" w:hAnsi="仿宋_GB2312" w:eastAsia="仿宋_GB2312" w:cs="仿宋_GB2312"/>
          <w:bCs/>
          <w:kern w:val="0"/>
          <w:sz w:val="32"/>
          <w:szCs w:val="32"/>
          <w:lang w:val="en-US" w:eastAsia="zh-CN" w:bidi="ar"/>
        </w:rPr>
        <w:t>1062.2</w:t>
      </w:r>
      <w:r>
        <w:rPr>
          <w:rFonts w:hint="eastAsia" w:ascii="仿宋_GB2312" w:hAnsi="仿宋_GB2312" w:eastAsia="仿宋_GB2312" w:cs="仿宋_GB2312"/>
          <w:bCs/>
          <w:kern w:val="0"/>
          <w:sz w:val="32"/>
          <w:szCs w:val="32"/>
          <w:lang w:bidi="ar"/>
        </w:rPr>
        <w:t>万元</w:t>
      </w:r>
      <w:r>
        <w:rPr>
          <w:rFonts w:hint="eastAsia" w:ascii="仿宋_GB2312" w:hAnsi="仿宋_GB2312" w:eastAsia="仿宋_GB2312" w:cs="仿宋_GB2312"/>
          <w:bCs/>
          <w:kern w:val="0"/>
          <w:sz w:val="32"/>
          <w:szCs w:val="32"/>
          <w:lang w:eastAsia="zh-CN" w:bidi="ar"/>
        </w:rPr>
        <w:t>，增加</w:t>
      </w:r>
      <w:r>
        <w:rPr>
          <w:rFonts w:hint="eastAsia" w:ascii="仿宋_GB2312" w:hAnsi="仿宋_GB2312" w:eastAsia="仿宋_GB2312" w:cs="仿宋_GB2312"/>
          <w:bCs/>
          <w:kern w:val="0"/>
          <w:sz w:val="32"/>
          <w:szCs w:val="32"/>
          <w:lang w:val="en-US" w:eastAsia="zh-CN" w:bidi="ar"/>
        </w:rPr>
        <w:t>234.84万元，主是2024年财政增加企业投入。</w:t>
      </w:r>
    </w:p>
    <w:p w14:paraId="4A470A5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rPr>
      </w:pPr>
      <w:r>
        <w:rPr>
          <w:rFonts w:hint="default" w:ascii="仿宋_GB2312" w:eastAsia="仿宋_GB2312" w:cs="仿宋_GB2312"/>
          <w:i w:val="0"/>
          <w:iCs w:val="0"/>
          <w:caps w:val="0"/>
          <w:color w:val="000000"/>
          <w:spacing w:val="0"/>
          <w:sz w:val="32"/>
          <w:szCs w:val="32"/>
          <w:shd w:val="clear" w:color="auto" w:fill="FFFFFF"/>
        </w:rPr>
        <w:t>1.基本支出情况</w:t>
      </w:r>
    </w:p>
    <w:p w14:paraId="58170AF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kern w:val="0"/>
          <w:sz w:val="32"/>
          <w:szCs w:val="32"/>
          <w:lang w:bidi="ar"/>
        </w:rPr>
      </w:pPr>
      <w:r>
        <w:rPr>
          <w:rFonts w:hint="eastAsia" w:ascii="仿宋_GB2312" w:hAnsi="仿宋_GB2312" w:eastAsia="仿宋_GB2312" w:cs="仿宋_GB2312"/>
          <w:kern w:val="0"/>
          <w:sz w:val="32"/>
          <w:szCs w:val="32"/>
          <w:lang w:bidi="ar"/>
        </w:rPr>
        <w:t>基本支出</w:t>
      </w:r>
      <w:r>
        <w:rPr>
          <w:rFonts w:hint="eastAsia" w:ascii="仿宋_GB2312" w:hAnsi="仿宋_GB2312" w:eastAsia="仿宋_GB2312" w:cs="仿宋_GB2312"/>
          <w:kern w:val="0"/>
          <w:sz w:val="32"/>
          <w:szCs w:val="32"/>
          <w:lang w:val="en-US" w:eastAsia="zh-CN" w:bidi="ar"/>
        </w:rPr>
        <w:t>441.84</w:t>
      </w:r>
      <w:r>
        <w:rPr>
          <w:rFonts w:hint="eastAsia" w:ascii="仿宋_GB2312" w:hAnsi="仿宋_GB2312" w:eastAsia="仿宋_GB2312" w:cs="仿宋_GB2312"/>
          <w:kern w:val="0"/>
          <w:sz w:val="32"/>
          <w:szCs w:val="32"/>
          <w:lang w:bidi="ar"/>
        </w:rPr>
        <w:t>万元，</w:t>
      </w:r>
      <w:r>
        <w:rPr>
          <w:rFonts w:hint="eastAsia" w:ascii="仿宋" w:hAnsi="仿宋" w:eastAsia="仿宋" w:cs="仿宋"/>
          <w:kern w:val="0"/>
          <w:sz w:val="32"/>
          <w:szCs w:val="32"/>
          <w:lang w:bidi="ar"/>
        </w:rPr>
        <w:t>人员经费</w:t>
      </w:r>
      <w:r>
        <w:rPr>
          <w:rFonts w:hint="eastAsia" w:ascii="仿宋" w:hAnsi="仿宋" w:eastAsia="仿宋" w:cs="仿宋"/>
          <w:kern w:val="0"/>
          <w:sz w:val="32"/>
          <w:szCs w:val="32"/>
          <w:lang w:val="en-US" w:eastAsia="zh-CN" w:bidi="ar"/>
        </w:rPr>
        <w:t>203.34</w:t>
      </w:r>
      <w:r>
        <w:rPr>
          <w:rFonts w:hint="eastAsia" w:ascii="仿宋" w:hAnsi="仿宋" w:eastAsia="仿宋" w:cs="仿宋"/>
          <w:kern w:val="0"/>
          <w:sz w:val="32"/>
          <w:szCs w:val="32"/>
          <w:lang w:bidi="ar"/>
        </w:rPr>
        <w:t>万元，其中：工资福利支出</w:t>
      </w:r>
      <w:r>
        <w:rPr>
          <w:rFonts w:hint="eastAsia" w:ascii="仿宋" w:hAnsi="仿宋" w:eastAsia="仿宋" w:cs="仿宋"/>
          <w:kern w:val="0"/>
          <w:sz w:val="32"/>
          <w:szCs w:val="32"/>
          <w:lang w:val="en-US" w:eastAsia="zh-CN" w:bidi="ar"/>
        </w:rPr>
        <w:t>191.59</w:t>
      </w:r>
      <w:r>
        <w:rPr>
          <w:rFonts w:hint="eastAsia" w:ascii="仿宋" w:hAnsi="仿宋" w:eastAsia="仿宋" w:cs="仿宋"/>
          <w:kern w:val="0"/>
          <w:sz w:val="32"/>
          <w:szCs w:val="32"/>
          <w:lang w:bidi="ar"/>
        </w:rPr>
        <w:t>万元，对个人和家庭补助支出</w:t>
      </w:r>
      <w:r>
        <w:rPr>
          <w:rFonts w:hint="eastAsia" w:ascii="仿宋" w:hAnsi="仿宋" w:eastAsia="仿宋" w:cs="仿宋"/>
          <w:kern w:val="0"/>
          <w:sz w:val="32"/>
          <w:szCs w:val="32"/>
          <w:lang w:val="en-US" w:eastAsia="zh-CN" w:bidi="ar"/>
        </w:rPr>
        <w:t>11.75</w:t>
      </w:r>
      <w:r>
        <w:rPr>
          <w:rFonts w:hint="eastAsia" w:ascii="仿宋" w:hAnsi="仿宋" w:eastAsia="仿宋" w:cs="仿宋"/>
          <w:kern w:val="0"/>
          <w:sz w:val="32"/>
          <w:szCs w:val="32"/>
          <w:lang w:bidi="ar"/>
        </w:rPr>
        <w:t>万元。公用经费</w:t>
      </w:r>
      <w:r>
        <w:rPr>
          <w:rFonts w:hint="eastAsia" w:ascii="仿宋" w:hAnsi="仿宋" w:eastAsia="仿宋" w:cs="仿宋"/>
          <w:kern w:val="0"/>
          <w:sz w:val="32"/>
          <w:szCs w:val="32"/>
          <w:lang w:val="en-US" w:eastAsia="zh-CN" w:bidi="ar"/>
        </w:rPr>
        <w:t>238.50</w:t>
      </w:r>
      <w:r>
        <w:rPr>
          <w:rFonts w:hint="eastAsia" w:ascii="仿宋" w:hAnsi="仿宋" w:eastAsia="仿宋" w:cs="仿宋"/>
          <w:kern w:val="0"/>
          <w:sz w:val="32"/>
          <w:szCs w:val="32"/>
          <w:lang w:bidi="ar"/>
        </w:rPr>
        <w:t>万元，其中：商品服务支出</w:t>
      </w:r>
      <w:r>
        <w:rPr>
          <w:rFonts w:hint="eastAsia" w:ascii="仿宋" w:hAnsi="仿宋" w:eastAsia="仿宋" w:cs="仿宋"/>
          <w:kern w:val="0"/>
          <w:sz w:val="32"/>
          <w:szCs w:val="32"/>
          <w:lang w:val="en-US" w:eastAsia="zh-CN" w:bidi="ar"/>
        </w:rPr>
        <w:t>235.92</w:t>
      </w:r>
      <w:r>
        <w:rPr>
          <w:rFonts w:hint="eastAsia" w:ascii="仿宋" w:hAnsi="仿宋" w:eastAsia="仿宋" w:cs="仿宋"/>
          <w:kern w:val="0"/>
          <w:sz w:val="32"/>
          <w:szCs w:val="32"/>
          <w:lang w:bidi="ar"/>
        </w:rPr>
        <w:t>万元，资本性支出</w:t>
      </w:r>
      <w:r>
        <w:rPr>
          <w:rFonts w:hint="eastAsia" w:ascii="仿宋" w:hAnsi="仿宋" w:eastAsia="仿宋" w:cs="仿宋"/>
          <w:kern w:val="0"/>
          <w:sz w:val="32"/>
          <w:szCs w:val="32"/>
          <w:lang w:val="en-US" w:eastAsia="zh-CN" w:bidi="ar"/>
        </w:rPr>
        <w:t>2.58</w:t>
      </w:r>
      <w:r>
        <w:rPr>
          <w:rFonts w:hint="eastAsia" w:ascii="仿宋_GB2312" w:hAnsi="仿宋_GB2312" w:eastAsia="仿宋_GB2312" w:cs="仿宋_GB2312"/>
          <w:kern w:val="0"/>
          <w:sz w:val="32"/>
          <w:szCs w:val="32"/>
          <w:lang w:bidi="ar"/>
        </w:rPr>
        <w:t>万元。</w:t>
      </w:r>
    </w:p>
    <w:p w14:paraId="3A9E7C8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000000"/>
          <w:spacing w:val="0"/>
          <w:sz w:val="32"/>
          <w:szCs w:val="32"/>
        </w:rPr>
      </w:pPr>
      <w:r>
        <w:rPr>
          <w:rFonts w:hint="default" w:ascii="仿宋_GB2312" w:eastAsia="仿宋_GB2312" w:cs="仿宋_GB2312"/>
          <w:i w:val="0"/>
          <w:iCs w:val="0"/>
          <w:caps w:val="0"/>
          <w:color w:val="000000"/>
          <w:spacing w:val="0"/>
          <w:sz w:val="32"/>
          <w:szCs w:val="32"/>
          <w:shd w:val="clear" w:color="auto" w:fill="FFFFFF"/>
        </w:rPr>
        <w:t>2.项目支出情况</w:t>
      </w:r>
    </w:p>
    <w:p w14:paraId="04BD59B0">
      <w:pPr>
        <w:widowControl/>
        <w:spacing w:line="580" w:lineRule="exact"/>
        <w:ind w:firstLine="640" w:firstLineChars="200"/>
        <w:rPr>
          <w:rFonts w:hint="eastAsia" w:ascii="仿宋_GB2312" w:hAnsi="仿宋_GB2312" w:eastAsia="仿宋" w:cs="仿宋_GB2312"/>
          <w:kern w:val="0"/>
          <w:sz w:val="32"/>
          <w:szCs w:val="32"/>
          <w:lang w:eastAsia="zh-CN" w:bidi="ar"/>
        </w:rPr>
      </w:pPr>
      <w:r>
        <w:rPr>
          <w:rFonts w:hint="eastAsia" w:ascii="仿宋_GB2312" w:hAnsi="仿宋_GB2312" w:eastAsia="仿宋_GB2312" w:cs="仿宋_GB2312"/>
          <w:kern w:val="0"/>
          <w:sz w:val="32"/>
          <w:szCs w:val="32"/>
          <w:lang w:bidi="ar"/>
        </w:rPr>
        <w:t>项目支出</w:t>
      </w:r>
      <w:r>
        <w:rPr>
          <w:rFonts w:hint="eastAsia" w:ascii="仿宋_GB2312" w:hAnsi="仿宋_GB2312" w:eastAsia="仿宋_GB2312" w:cs="仿宋_GB2312"/>
          <w:kern w:val="0"/>
          <w:sz w:val="32"/>
          <w:szCs w:val="32"/>
          <w:lang w:val="en-US" w:eastAsia="zh-CN" w:bidi="ar"/>
        </w:rPr>
        <w:t>855.20</w:t>
      </w:r>
      <w:r>
        <w:rPr>
          <w:rFonts w:hint="eastAsia" w:ascii="仿宋_GB2312" w:hAnsi="仿宋_GB2312" w:eastAsia="仿宋_GB2312" w:cs="仿宋_GB2312"/>
          <w:kern w:val="0"/>
          <w:sz w:val="32"/>
          <w:szCs w:val="32"/>
          <w:lang w:bidi="ar"/>
        </w:rPr>
        <w:t>万元</w:t>
      </w:r>
      <w:r>
        <w:rPr>
          <w:rFonts w:hint="eastAsia" w:ascii="仿宋" w:hAnsi="仿宋" w:eastAsia="仿宋" w:cs="仿宋"/>
          <w:kern w:val="0"/>
          <w:sz w:val="32"/>
          <w:szCs w:val="32"/>
          <w:lang w:bidi="ar"/>
        </w:rPr>
        <w:t>。</w:t>
      </w:r>
    </w:p>
    <w:p w14:paraId="4B88D214">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（三）"三公"经费使用和管理情况</w:t>
      </w:r>
    </w:p>
    <w:p w14:paraId="554192D2">
      <w:pPr>
        <w:widowControl/>
        <w:spacing w:line="580" w:lineRule="exact"/>
        <w:ind w:firstLine="640" w:firstLineChars="200"/>
        <w:rPr>
          <w:rFonts w:hint="eastAsia" w:ascii="仿宋_GB2312" w:hAnsi="仿宋_GB2312" w:eastAsia="仿宋_GB2312" w:cs="仿宋_GB2312"/>
          <w:color w:val="FF0000"/>
          <w:kern w:val="0"/>
          <w:sz w:val="32"/>
          <w:szCs w:val="32"/>
          <w:lang w:val="en-US" w:eastAsia="zh-CN"/>
        </w:rPr>
      </w:pPr>
      <w:r>
        <w:rPr>
          <w:rFonts w:hint="eastAsia" w:ascii="仿宋_GB2312" w:hAnsi="仿宋_GB2312" w:eastAsia="仿宋_GB2312" w:cs="仿宋_GB2312"/>
          <w:kern w:val="0"/>
          <w:sz w:val="32"/>
          <w:szCs w:val="32"/>
          <w:lang w:bidi="ar"/>
        </w:rPr>
        <w:t>本年“三公”经费支出</w:t>
      </w:r>
      <w:r>
        <w:rPr>
          <w:rFonts w:hint="eastAsia" w:ascii="仿宋_GB2312" w:hAnsi="仿宋_GB2312" w:eastAsia="仿宋_GB2312" w:cs="仿宋_GB2312"/>
          <w:bCs/>
          <w:kern w:val="0"/>
          <w:sz w:val="32"/>
          <w:szCs w:val="32"/>
          <w:lang w:bidi="ar"/>
        </w:rPr>
        <w:t>决算合计</w:t>
      </w:r>
      <w:r>
        <w:rPr>
          <w:rFonts w:hint="eastAsia" w:ascii="仿宋_GB2312" w:hAnsi="仿宋_GB2312" w:eastAsia="仿宋_GB2312" w:cs="仿宋_GB2312"/>
          <w:bCs/>
          <w:kern w:val="0"/>
          <w:sz w:val="32"/>
          <w:szCs w:val="32"/>
          <w:lang w:val="en-US" w:eastAsia="zh-CN" w:bidi="ar"/>
        </w:rPr>
        <w:t>0</w:t>
      </w:r>
      <w:r>
        <w:rPr>
          <w:rFonts w:hint="eastAsia" w:ascii="仿宋_GB2312" w:hAnsi="仿宋_GB2312" w:eastAsia="仿宋_GB2312" w:cs="仿宋_GB2312"/>
          <w:kern w:val="0"/>
          <w:sz w:val="32"/>
          <w:szCs w:val="32"/>
          <w:lang w:bidi="ar"/>
        </w:rPr>
        <w:t>万元，较年初预算数</w:t>
      </w:r>
      <w:r>
        <w:rPr>
          <w:rFonts w:hint="eastAsia" w:ascii="仿宋_GB2312" w:hAnsi="仿宋_GB2312" w:eastAsia="仿宋_GB2312" w:cs="仿宋_GB2312"/>
          <w:kern w:val="0"/>
          <w:sz w:val="32"/>
          <w:szCs w:val="32"/>
          <w:lang w:val="en-US" w:eastAsia="zh-CN" w:bidi="ar"/>
        </w:rPr>
        <w:t>0</w:t>
      </w:r>
      <w:r>
        <w:rPr>
          <w:rFonts w:hint="eastAsia" w:ascii="仿宋_GB2312" w:hAnsi="仿宋_GB2312" w:eastAsia="仿宋_GB2312" w:cs="仿宋_GB2312"/>
          <w:kern w:val="0"/>
          <w:sz w:val="32"/>
          <w:szCs w:val="32"/>
          <w:lang w:bidi="ar"/>
        </w:rPr>
        <w:t>万元没有超支。</w:t>
      </w:r>
    </w:p>
    <w:p w14:paraId="6E582BD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三、政府性基金预算支出情况</w:t>
      </w:r>
    </w:p>
    <w:p w14:paraId="07244F7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本单位无政府性基金预算支出。</w:t>
      </w:r>
    </w:p>
    <w:p w14:paraId="095DF39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四、国有资本经营预算支出情况</w:t>
      </w:r>
    </w:p>
    <w:p w14:paraId="6870BC2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本单位无国有资本经营预算支出。</w:t>
      </w:r>
    </w:p>
    <w:p w14:paraId="788E845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五、社会保险基金预算支出情况</w:t>
      </w:r>
    </w:p>
    <w:p w14:paraId="346F618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仿宋" w:hAnsi="仿宋" w:eastAsia="仿宋" w:cs="仿宋"/>
          <w:i w:val="0"/>
          <w:iCs w:val="0"/>
          <w:caps w:val="0"/>
          <w:color w:val="000000"/>
          <w:spacing w:val="0"/>
          <w:sz w:val="32"/>
          <w:szCs w:val="32"/>
          <w:shd w:val="clear" w:color="auto" w:fill="FFFFFF"/>
          <w:lang w:eastAsia="zh-CN"/>
        </w:rPr>
      </w:pPr>
      <w:r>
        <w:rPr>
          <w:rFonts w:hint="eastAsia" w:ascii="仿宋" w:hAnsi="仿宋" w:eastAsia="仿宋" w:cs="仿宋"/>
          <w:i w:val="0"/>
          <w:iCs w:val="0"/>
          <w:caps w:val="0"/>
          <w:color w:val="000000"/>
          <w:spacing w:val="0"/>
          <w:sz w:val="32"/>
          <w:szCs w:val="32"/>
          <w:shd w:val="clear" w:color="auto" w:fill="FFFFFF"/>
          <w:lang w:eastAsia="zh-CN"/>
        </w:rPr>
        <w:t>本单位无社会保险基金预算支出。</w:t>
      </w:r>
    </w:p>
    <w:p w14:paraId="5D27EA3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color="auto" w:fill="FFFFFF"/>
        </w:rPr>
        <w:t>六、部门整体支出绩效情况</w:t>
      </w:r>
    </w:p>
    <w:p w14:paraId="41A477D4">
      <w:pPr>
        <w:keepNext w:val="0"/>
        <w:keepLines w:val="0"/>
        <w:pageBreakBefore w:val="0"/>
        <w:widowControl w:val="0"/>
        <w:numPr>
          <w:ilvl w:val="0"/>
          <w:numId w:val="0"/>
        </w:numPr>
        <w:kinsoku/>
        <w:wordWrap/>
        <w:overflowPunct/>
        <w:topLinePunct w:val="0"/>
        <w:autoSpaceDE/>
        <w:autoSpaceDN/>
        <w:bidi w:val="0"/>
        <w:adjustRightInd/>
        <w:spacing w:line="610" w:lineRule="exact"/>
        <w:ind w:left="0" w:firstLine="643" w:firstLineChars="200"/>
        <w:jc w:val="both"/>
        <w:textAlignment w:val="auto"/>
        <w:rPr>
          <w:rFonts w:hint="eastAsia" w:ascii="仿宋_GB2312" w:hAnsi="仿宋_GB2312" w:eastAsia="仿宋_GB2312" w:cs="仿宋_GB2312"/>
          <w:color w:val="FF0000"/>
          <w:sz w:val="32"/>
          <w:szCs w:val="32"/>
          <w:lang w:eastAsia="zh-CN" w:bidi="ar"/>
        </w:rPr>
      </w:pPr>
      <w:r>
        <w:rPr>
          <w:rFonts w:hint="eastAsia" w:ascii="楷体_GB2312" w:hAnsi="楷体_GB2312" w:eastAsia="楷体_GB2312" w:cs="楷体_GB2312"/>
          <w:b/>
          <w:bCs/>
          <w:i w:val="0"/>
          <w:iCs w:val="0"/>
          <w:caps w:val="0"/>
          <w:color w:val="000000"/>
          <w:spacing w:val="0"/>
          <w:sz w:val="32"/>
          <w:szCs w:val="32"/>
          <w:shd w:val="clear" w:color="auto" w:fill="FFFFFF"/>
        </w:rPr>
        <w:t>（一）综合评价结论。</w:t>
      </w:r>
      <w:r>
        <w:rPr>
          <w:rFonts w:hint="eastAsia" w:ascii="仿宋_GB2312" w:hAnsi="仿宋_GB2312" w:eastAsia="仿宋_GB2312" w:cs="仿宋_GB2312"/>
          <w:sz w:val="32"/>
          <w:szCs w:val="32"/>
          <w:lang w:bidi="ar"/>
        </w:rPr>
        <w:t>根据溆浦县财政局202</w:t>
      </w:r>
      <w:r>
        <w:rPr>
          <w:rFonts w:hint="eastAsia" w:ascii="仿宋_GB2312" w:hAnsi="仿宋_GB2312" w:eastAsia="仿宋_GB2312" w:cs="仿宋_GB2312"/>
          <w:sz w:val="32"/>
          <w:szCs w:val="32"/>
          <w:lang w:val="en-US" w:eastAsia="zh-CN" w:bidi="ar"/>
        </w:rPr>
        <w:t>4</w:t>
      </w:r>
      <w:r>
        <w:rPr>
          <w:rFonts w:hint="eastAsia" w:ascii="仿宋_GB2312" w:hAnsi="仿宋_GB2312" w:eastAsia="仿宋_GB2312" w:cs="仿宋_GB2312"/>
          <w:sz w:val="32"/>
          <w:szCs w:val="32"/>
          <w:lang w:bidi="ar"/>
        </w:rPr>
        <w:t>年度部门整体支出绩效评价指标考评，此次自评综合得分为</w:t>
      </w:r>
      <w:r>
        <w:rPr>
          <w:rFonts w:hint="eastAsia" w:ascii="仿宋_GB2312" w:hAnsi="仿宋_GB2312" w:eastAsia="仿宋_GB2312" w:cs="仿宋_GB2312"/>
          <w:sz w:val="32"/>
          <w:szCs w:val="32"/>
          <w:lang w:val="en-US" w:eastAsia="zh-CN" w:bidi="ar"/>
        </w:rPr>
        <w:t>95</w:t>
      </w:r>
      <w:r>
        <w:rPr>
          <w:rFonts w:hint="eastAsia" w:ascii="仿宋_GB2312" w:hAnsi="仿宋_GB2312" w:eastAsia="仿宋_GB2312" w:cs="仿宋_GB2312"/>
          <w:sz w:val="32"/>
          <w:szCs w:val="32"/>
          <w:lang w:bidi="ar"/>
        </w:rPr>
        <w:t>分，</w:t>
      </w:r>
      <w:r>
        <w:rPr>
          <w:rFonts w:hint="eastAsia" w:ascii="仿宋_GB2312" w:hAnsi="仿宋_GB2312" w:eastAsia="仿宋_GB2312" w:cs="仿宋_GB2312"/>
          <w:sz w:val="32"/>
          <w:szCs w:val="32"/>
          <w:lang w:eastAsia="zh-CN" w:bidi="ar"/>
        </w:rPr>
        <w:t>优秀。</w:t>
      </w:r>
    </w:p>
    <w:p w14:paraId="4B11088E">
      <w:pPr>
        <w:spacing w:line="580" w:lineRule="exact"/>
        <w:ind w:firstLine="643" w:firstLineChars="200"/>
        <w:jc w:val="left"/>
        <w:rPr>
          <w:rFonts w:hint="eastAsia" w:ascii="仿宋_GB2312" w:hAnsi="仿宋_GB2312" w:eastAsia="仿宋_GB2312" w:cs="仿宋_GB2312"/>
          <w:sz w:val="32"/>
          <w:szCs w:val="32"/>
        </w:rPr>
      </w:pPr>
      <w:r>
        <w:rPr>
          <w:rFonts w:hint="default" w:ascii="楷体_GB2312" w:hAnsi="楷体_GB2312" w:eastAsia="楷体_GB2312" w:cs="楷体_GB2312"/>
          <w:b/>
          <w:bCs/>
          <w:i w:val="0"/>
          <w:iCs w:val="0"/>
          <w:caps w:val="0"/>
          <w:color w:val="000000"/>
          <w:spacing w:val="0"/>
          <w:sz w:val="32"/>
          <w:szCs w:val="32"/>
          <w:shd w:val="clear" w:color="auto" w:fill="FFFFFF"/>
        </w:rPr>
        <w:t>（二）评价指标分析（或综合评价情况）。</w:t>
      </w:r>
    </w:p>
    <w:p w14:paraId="22A41243">
      <w:pPr>
        <w:shd w:val="clear" w:color="auto" w:fill="FFFFFF"/>
        <w:autoSpaceDE w:val="0"/>
        <w:spacing w:line="580" w:lineRule="exact"/>
        <w:ind w:firstLine="684" w:firstLineChars="213"/>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lang w:val="en-US" w:eastAsia="zh-CN" w:bidi="ar"/>
        </w:rPr>
        <w:t>1.</w:t>
      </w:r>
      <w:r>
        <w:rPr>
          <w:rFonts w:hint="eastAsia" w:ascii="仿宋_GB2312" w:hAnsi="仿宋_GB2312" w:eastAsia="仿宋_GB2312" w:cs="仿宋_GB2312"/>
          <w:b/>
          <w:bCs/>
          <w:sz w:val="32"/>
          <w:szCs w:val="32"/>
          <w:shd w:val="clear" w:color="auto" w:fill="FFFFFF"/>
          <w:lang w:bidi="ar"/>
        </w:rPr>
        <w:t>资产管理情况</w:t>
      </w:r>
    </w:p>
    <w:p w14:paraId="35126FB9">
      <w:pPr>
        <w:pStyle w:val="8"/>
        <w:widowControl/>
        <w:shd w:val="clear" w:color="auto" w:fill="FFFFFF"/>
        <w:autoSpaceDE w:val="0"/>
        <w:spacing w:beforeAutospacing="0" w:afterAutospacing="0" w:line="580" w:lineRule="exact"/>
        <w:ind w:firstLine="681" w:firstLineChars="213"/>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202</w:t>
      </w:r>
      <w:r>
        <w:rPr>
          <w:rFonts w:hint="eastAsia" w:ascii="仿宋_GB2312" w:hAnsi="仿宋_GB2312" w:eastAsia="仿宋_GB2312" w:cs="仿宋_GB2312"/>
          <w:sz w:val="32"/>
          <w:szCs w:val="32"/>
          <w:shd w:val="clear" w:color="auto" w:fill="FFFFFF"/>
          <w:lang w:val="en-US" w:eastAsia="zh-CN"/>
        </w:rPr>
        <w:t>4</w:t>
      </w:r>
      <w:r>
        <w:rPr>
          <w:rFonts w:hint="eastAsia" w:ascii="仿宋_GB2312" w:hAnsi="仿宋_GB2312" w:eastAsia="仿宋_GB2312" w:cs="仿宋_GB2312"/>
          <w:sz w:val="32"/>
          <w:szCs w:val="32"/>
          <w:shd w:val="clear" w:color="auto" w:fill="FFFFFF"/>
        </w:rPr>
        <w:t>年我局固定资产原值为</w:t>
      </w:r>
      <w:r>
        <w:rPr>
          <w:rFonts w:hint="eastAsia" w:ascii="仿宋_GB2312" w:hAnsi="仿宋_GB2312" w:eastAsia="仿宋_GB2312" w:cs="仿宋_GB2312"/>
          <w:sz w:val="32"/>
          <w:szCs w:val="32"/>
          <w:shd w:val="clear" w:color="auto" w:fill="FFFFFF"/>
          <w:lang w:val="en-US" w:eastAsia="zh-CN"/>
        </w:rPr>
        <w:t>32.48</w:t>
      </w:r>
      <w:r>
        <w:rPr>
          <w:rFonts w:hint="eastAsia" w:ascii="仿宋_GB2312" w:hAnsi="仿宋_GB2312" w:eastAsia="仿宋_GB2312" w:cs="仿宋_GB2312"/>
          <w:sz w:val="32"/>
          <w:szCs w:val="32"/>
          <w:shd w:val="clear" w:color="auto" w:fill="FFFFFF"/>
        </w:rPr>
        <w:t>万元，净值为</w:t>
      </w:r>
      <w:r>
        <w:rPr>
          <w:rFonts w:hint="eastAsia" w:ascii="仿宋_GB2312" w:hAnsi="仿宋_GB2312" w:eastAsia="仿宋_GB2312" w:cs="仿宋_GB2312"/>
          <w:sz w:val="32"/>
          <w:szCs w:val="32"/>
          <w:shd w:val="clear" w:color="auto" w:fill="FFFFFF"/>
          <w:lang w:val="en-US" w:eastAsia="zh-CN"/>
        </w:rPr>
        <w:t>9.8</w:t>
      </w:r>
      <w:r>
        <w:rPr>
          <w:rFonts w:hint="eastAsia" w:ascii="仿宋_GB2312" w:hAnsi="仿宋_GB2312" w:eastAsia="仿宋_GB2312" w:cs="仿宋_GB2312"/>
          <w:sz w:val="32"/>
          <w:szCs w:val="32"/>
          <w:shd w:val="clear" w:color="auto" w:fill="FFFFFF"/>
        </w:rPr>
        <w:t>万元。我局建立健全了资产管理制度，将资产管理的责任落实到实处。对所占有、使用的国有资产要定期清查，做到家底清楚、帐帐相符、帐卡相符、帐实相符，防止资产流失。</w:t>
      </w:r>
    </w:p>
    <w:p w14:paraId="4EB32A30">
      <w:pPr>
        <w:spacing w:line="600" w:lineRule="exact"/>
        <w:ind w:firstLine="643" w:firstLineChars="200"/>
        <w:rPr>
          <w:rFonts w:hint="eastAsia" w:ascii="黑体" w:hAnsi="黑体" w:eastAsia="黑体" w:cs="仿宋_GB2312"/>
          <w:b/>
          <w:bCs/>
          <w:color w:val="000000"/>
          <w:sz w:val="32"/>
          <w:szCs w:val="32"/>
          <w:lang w:val="en-US" w:eastAsia="zh-CN"/>
        </w:rPr>
      </w:pPr>
      <w:r>
        <w:rPr>
          <w:rFonts w:hint="eastAsia" w:ascii="黑体" w:hAnsi="黑体" w:eastAsia="黑体" w:cs="仿宋_GB2312"/>
          <w:b/>
          <w:bCs/>
          <w:color w:val="000000"/>
          <w:sz w:val="32"/>
          <w:szCs w:val="32"/>
          <w:lang w:val="en-US" w:eastAsia="zh-CN"/>
        </w:rPr>
        <w:t>2.单位整体情况</w:t>
      </w:r>
    </w:p>
    <w:p w14:paraId="700ABA1A">
      <w:pPr>
        <w:spacing w:line="600" w:lineRule="exact"/>
        <w:ind w:firstLine="643" w:firstLineChars="200"/>
        <w:rPr>
          <w:rFonts w:ascii="仿宋_GB2312" w:hAnsi="仿宋_GB2312" w:eastAsia="仿宋_GB2312" w:cs="仿宋_GB2312"/>
          <w:color w:val="000000"/>
          <w:sz w:val="32"/>
          <w:szCs w:val="32"/>
        </w:rPr>
      </w:pPr>
      <w:r>
        <w:rPr>
          <w:rFonts w:hint="default" w:ascii="Calibri" w:hAnsi="Calibri" w:eastAsia="黑体" w:cs="Calibri"/>
          <w:b/>
          <w:bCs/>
          <w:color w:val="000000"/>
          <w:sz w:val="32"/>
          <w:szCs w:val="32"/>
        </w:rPr>
        <w:t>①</w:t>
      </w:r>
      <w:r>
        <w:rPr>
          <w:rFonts w:hint="eastAsia" w:ascii="黑体" w:hAnsi="黑体" w:eastAsia="黑体" w:cs="仿宋_GB2312"/>
          <w:b/>
          <w:bCs/>
          <w:color w:val="000000"/>
          <w:sz w:val="32"/>
          <w:szCs w:val="32"/>
        </w:rPr>
        <w:t>加强党建引领，筑牢政治忠诚担当。</w:t>
      </w:r>
      <w:r>
        <w:rPr>
          <w:rFonts w:hint="eastAsia" w:ascii="楷体" w:hAnsi="楷体" w:eastAsia="楷体" w:cs="仿宋_GB2312"/>
          <w:b/>
          <w:bCs/>
          <w:color w:val="000000"/>
          <w:sz w:val="32"/>
          <w:szCs w:val="32"/>
        </w:rPr>
        <w:t>强化理论武装，夯实思想根基</w:t>
      </w:r>
      <w:r>
        <w:rPr>
          <w:rFonts w:hint="eastAsia" w:ascii="楷体" w:hAnsi="楷体" w:eastAsia="楷体" w:cs="仿宋_GB2312"/>
          <w:color w:val="000000"/>
          <w:sz w:val="32"/>
          <w:szCs w:val="32"/>
        </w:rPr>
        <w:t>。</w:t>
      </w:r>
      <w:r>
        <w:rPr>
          <w:rFonts w:hint="eastAsia" w:ascii="仿宋_GB2312" w:hAnsi="仿宋_GB2312" w:eastAsia="仿宋_GB2312" w:cs="仿宋_GB2312"/>
          <w:color w:val="000000"/>
          <w:sz w:val="32"/>
          <w:szCs w:val="32"/>
        </w:rPr>
        <w:t>认真贯彻落实党的二十届三中全会、省委十二届七次全会、市委六届八次全会等重要会议精神，严格落实“第一议题”和党组理论学习中心组学习制度，推动党组、党支部、党员联动学习研讨。先后在帮扶村宣讲党的二十届三中全会4次，组织企业召开宣讲6次；利用学习强国、新闻门户网站、局机关工作群等平台，推送学习资料100余篇，组织线上答题、知识竞赛活动5次，以丰富的学习形式激发党员干部学习积极性。</w:t>
      </w:r>
      <w:r>
        <w:rPr>
          <w:rFonts w:hint="eastAsia" w:ascii="楷体" w:hAnsi="楷体" w:eastAsia="楷体" w:cs="仿宋_GB2312"/>
          <w:b/>
          <w:bCs/>
          <w:color w:val="000000"/>
          <w:sz w:val="32"/>
          <w:szCs w:val="32"/>
        </w:rPr>
        <w:t>抓好组织建设，打牢党建基础</w:t>
      </w:r>
      <w:r>
        <w:rPr>
          <w:rFonts w:hint="eastAsia" w:ascii="楷体" w:hAnsi="楷体" w:eastAsia="楷体" w:cs="仿宋_GB2312"/>
          <w:color w:val="000000"/>
          <w:sz w:val="32"/>
          <w:szCs w:val="32"/>
        </w:rPr>
        <w:t>。</w:t>
      </w:r>
      <w:r>
        <w:rPr>
          <w:rFonts w:hint="eastAsia" w:ascii="仿宋_GB2312" w:hAnsi="仿宋_GB2312" w:eastAsia="仿宋_GB2312" w:cs="仿宋_GB2312"/>
          <w:color w:val="000000"/>
          <w:sz w:val="32"/>
          <w:szCs w:val="32"/>
        </w:rPr>
        <w:t>加强对党员的日常管理和监督，抓</w:t>
      </w:r>
      <w:r>
        <w:rPr>
          <w:rFonts w:hint="eastAsia" w:ascii="仿宋_GB2312" w:hAnsi="仿宋_GB2312" w:eastAsia="仿宋_GB2312" w:cs="仿宋_GB2312"/>
          <w:color w:val="000000"/>
          <w:sz w:val="32"/>
          <w:szCs w:val="32"/>
          <w:lang w:eastAsia="zh-CN"/>
        </w:rPr>
        <w:t>好</w:t>
      </w:r>
      <w:r>
        <w:rPr>
          <w:rFonts w:hint="eastAsia" w:ascii="仿宋_GB2312" w:hAnsi="仿宋_GB2312" w:eastAsia="仿宋_GB2312" w:cs="仿宋_GB2312"/>
          <w:color w:val="000000"/>
          <w:sz w:val="32"/>
          <w:szCs w:val="32"/>
        </w:rPr>
        <w:t>“党员干部进社区”“敲门行动”等社区服务工作落实。党组成员带头跟党员一起服务到企业、走访到社区，累计开展服务活动20余次，慰问退休党员5人次。选派驻村工作队2人，帮助解决群众反映强烈的现实问题百余件；局机关党务专干陈丽丽同志被评为全县优秀党务工作者，1名</w:t>
      </w:r>
      <w:r>
        <w:rPr>
          <w:rFonts w:ascii="仿宋_GB2312" w:hAnsi="仿宋_GB2312" w:eastAsia="仿宋_GB2312" w:cs="仿宋_GB2312"/>
          <w:color w:val="000000"/>
          <w:sz w:val="32"/>
          <w:szCs w:val="32"/>
        </w:rPr>
        <w:t>干部获</w:t>
      </w:r>
      <w:r>
        <w:rPr>
          <w:rFonts w:hint="eastAsia" w:ascii="仿宋_GB2312" w:hAnsi="仿宋_GB2312" w:eastAsia="仿宋_GB2312" w:cs="仿宋_GB2312"/>
          <w:color w:val="000000"/>
          <w:sz w:val="32"/>
          <w:szCs w:val="32"/>
        </w:rPr>
        <w:t>县级“两优一先”表彰。</w:t>
      </w:r>
      <w:r>
        <w:rPr>
          <w:rFonts w:hint="eastAsia" w:ascii="仿宋_GB2312" w:hAnsi="仿宋_GB2312" w:eastAsia="仿宋_GB2312" w:cs="仿宋_GB2312"/>
          <w:b/>
          <w:bCs/>
          <w:color w:val="000000"/>
          <w:sz w:val="32"/>
          <w:szCs w:val="32"/>
        </w:rPr>
        <w:t>筑</w:t>
      </w:r>
      <w:r>
        <w:rPr>
          <w:rFonts w:hint="eastAsia" w:ascii="楷体" w:hAnsi="楷体" w:eastAsia="楷体" w:cs="仿宋_GB2312"/>
          <w:b/>
          <w:bCs/>
          <w:color w:val="000000"/>
          <w:sz w:val="32"/>
          <w:szCs w:val="32"/>
        </w:rPr>
        <w:t>牢意识形态防线，加强意识形态建设</w:t>
      </w:r>
      <w:r>
        <w:rPr>
          <w:rFonts w:hint="eastAsia" w:ascii="楷体" w:hAnsi="楷体" w:eastAsia="楷体" w:cs="仿宋_GB2312"/>
          <w:color w:val="000000"/>
          <w:sz w:val="32"/>
          <w:szCs w:val="32"/>
        </w:rPr>
        <w:t>。</w:t>
      </w:r>
      <w:r>
        <w:rPr>
          <w:rFonts w:hint="eastAsia" w:ascii="仿宋_GB2312" w:hAnsi="仿宋_GB2312" w:eastAsia="仿宋_GB2312" w:cs="仿宋_GB2312"/>
          <w:color w:val="000000"/>
          <w:sz w:val="32"/>
          <w:szCs w:val="32"/>
        </w:rPr>
        <w:t>先后5次召开意识形态工作专题会议，2次分析研判意识形态领域情况，全年来，科技局未发生意识形态类负面舆情。在各类新闻媒体发表新闻报道</w:t>
      </w:r>
      <w:r>
        <w:rPr>
          <w:rFonts w:hint="eastAsia" w:ascii="仿宋_GB2312" w:hAnsi="仿宋_GB2312" w:eastAsia="仿宋_GB2312" w:cs="仿宋_GB2312"/>
          <w:color w:val="000000"/>
          <w:sz w:val="32"/>
          <w:szCs w:val="32"/>
          <w:lang w:val="en-US" w:eastAsia="zh-CN"/>
        </w:rPr>
        <w:t>87</w:t>
      </w:r>
      <w:r>
        <w:rPr>
          <w:rFonts w:hint="eastAsia" w:ascii="仿宋_GB2312" w:hAnsi="仿宋_GB2312" w:eastAsia="仿宋_GB2312" w:cs="仿宋_GB2312"/>
          <w:color w:val="000000"/>
          <w:sz w:val="32"/>
          <w:szCs w:val="32"/>
        </w:rPr>
        <w:t>篇。</w:t>
      </w:r>
      <w:r>
        <w:rPr>
          <w:rFonts w:hint="eastAsia" w:ascii="楷体" w:hAnsi="楷体" w:eastAsia="楷体" w:cs="仿宋_GB2312"/>
          <w:b/>
          <w:bCs/>
          <w:color w:val="000000"/>
          <w:sz w:val="32"/>
          <w:szCs w:val="32"/>
        </w:rPr>
        <w:t>深化作风建设，树立良好形象</w:t>
      </w:r>
      <w:r>
        <w:rPr>
          <w:rFonts w:hint="eastAsia" w:ascii="楷体" w:hAnsi="楷体" w:eastAsia="楷体" w:cs="仿宋_GB2312"/>
          <w:color w:val="000000"/>
          <w:sz w:val="32"/>
          <w:szCs w:val="32"/>
        </w:rPr>
        <w:t>。</w:t>
      </w:r>
      <w:r>
        <w:rPr>
          <w:rFonts w:hint="eastAsia" w:ascii="仿宋_GB2312" w:hAnsi="仿宋_GB2312" w:eastAsia="仿宋_GB2312" w:cs="仿宋_GB2312"/>
          <w:color w:val="000000"/>
          <w:sz w:val="32"/>
          <w:szCs w:val="32"/>
        </w:rPr>
        <w:t>认真落实党风廉政建设主体责任和监督责任，制定党风廉政建设工作要点，将党风廉政建设任务分解到各股室、压实责任；持续整治形式主义官僚主义突出问题。精简会议文件，改进文风会风，提高公文办理效率;组织干部深入企业调研，在科技创新、金融贷款、平台创建、项目申报等方面给予现场指导，答疑解问，共计为企业解决疑难80余次。</w:t>
      </w:r>
    </w:p>
    <w:p w14:paraId="6A444941">
      <w:pPr>
        <w:spacing w:line="600" w:lineRule="exact"/>
        <w:ind w:firstLine="640" w:firstLineChars="200"/>
        <w:rPr>
          <w:rFonts w:hint="eastAsia" w:ascii="仿宋_GB2312" w:hAnsi="仿宋_GB2312" w:eastAsia="仿宋_GB2312" w:cs="仿宋_GB2312"/>
          <w:color w:val="000000"/>
          <w:sz w:val="32"/>
          <w:szCs w:val="32"/>
        </w:rPr>
      </w:pPr>
      <w:r>
        <w:rPr>
          <w:rFonts w:hint="default" w:ascii="Calibri" w:hAnsi="Calibri" w:eastAsia="黑体" w:cs="Calibri"/>
          <w:color w:val="000000"/>
          <w:sz w:val="32"/>
          <w:szCs w:val="32"/>
        </w:rPr>
        <w:t>②</w:t>
      </w:r>
      <w:r>
        <w:rPr>
          <w:rFonts w:hint="eastAsia" w:ascii="黑体" w:hAnsi="黑体" w:eastAsia="黑体" w:cs="楷体_GB2312"/>
          <w:b/>
          <w:bCs/>
          <w:color w:val="000000"/>
          <w:sz w:val="32"/>
          <w:szCs w:val="32"/>
        </w:rPr>
        <w:t>聚焦</w:t>
      </w:r>
      <w:r>
        <w:rPr>
          <w:rFonts w:ascii="黑体" w:hAnsi="黑体" w:eastAsia="黑体" w:cs="楷体_GB2312"/>
          <w:b/>
          <w:bCs/>
          <w:color w:val="000000"/>
          <w:sz w:val="32"/>
          <w:szCs w:val="32"/>
        </w:rPr>
        <w:t>核心指标</w:t>
      </w:r>
      <w:r>
        <w:rPr>
          <w:rFonts w:hint="eastAsia" w:ascii="黑体" w:hAnsi="黑体" w:eastAsia="黑体" w:cs="楷体_GB2312"/>
          <w:b/>
          <w:bCs/>
          <w:color w:val="000000"/>
          <w:sz w:val="32"/>
          <w:szCs w:val="32"/>
        </w:rPr>
        <w:t>，高效完成目标任务。</w:t>
      </w:r>
      <w:r>
        <w:rPr>
          <w:rFonts w:hint="eastAsia" w:ascii="楷体" w:hAnsi="楷体" w:eastAsia="楷体" w:cs="仿宋_GB2312"/>
          <w:b/>
          <w:bCs/>
          <w:color w:val="000000"/>
          <w:sz w:val="32"/>
          <w:szCs w:val="32"/>
        </w:rPr>
        <w:t>全社会研发经费投入实现突破。</w:t>
      </w:r>
      <w:r>
        <w:rPr>
          <w:rFonts w:hint="eastAsia" w:ascii="仿宋_GB2312" w:hAnsi="仿宋_GB2312" w:eastAsia="仿宋_GB2312" w:cs="仿宋_GB2312"/>
          <w:color w:val="000000"/>
          <w:sz w:val="32"/>
          <w:szCs w:val="32"/>
        </w:rPr>
        <w:t>支持引导企</w:t>
      </w:r>
      <w:r>
        <w:rPr>
          <w:rFonts w:ascii="仿宋_GB2312" w:hAnsi="仿宋_GB2312" w:eastAsia="仿宋_GB2312" w:cs="仿宋_GB2312"/>
          <w:color w:val="000000"/>
          <w:sz w:val="32"/>
          <w:szCs w:val="32"/>
        </w:rPr>
        <w:t>业</w:t>
      </w:r>
      <w:r>
        <w:rPr>
          <w:rFonts w:hint="eastAsia" w:ascii="仿宋_GB2312" w:hAnsi="仿宋_GB2312" w:eastAsia="仿宋_GB2312" w:cs="仿宋_GB2312"/>
          <w:color w:val="000000"/>
          <w:sz w:val="32"/>
          <w:szCs w:val="32"/>
        </w:rPr>
        <w:t>持续加大研发投入，大大提高了企业研发投入积极性，2023年全县研发经费认定4.54亿元，占GDP比重2.0%，同比增长56.25%。</w:t>
      </w:r>
      <w:r>
        <w:rPr>
          <w:rFonts w:hint="eastAsia" w:ascii="楷体" w:hAnsi="楷体" w:eastAsia="楷体" w:cs="仿宋_GB2312"/>
          <w:b/>
          <w:bCs/>
          <w:color w:val="000000"/>
          <w:sz w:val="32"/>
          <w:szCs w:val="32"/>
        </w:rPr>
        <w:t>科技创新主体快速壮大</w:t>
      </w:r>
      <w:r>
        <w:rPr>
          <w:rFonts w:hint="eastAsia" w:ascii="楷体" w:hAnsi="楷体" w:eastAsia="楷体" w:cs="仿宋_GB2312"/>
          <w:color w:val="000000"/>
          <w:sz w:val="32"/>
          <w:szCs w:val="32"/>
        </w:rPr>
        <w:t>。</w:t>
      </w:r>
      <w:r>
        <w:rPr>
          <w:rFonts w:hint="eastAsia" w:ascii="仿宋_GB2312" w:hAnsi="仿宋_GB2312" w:eastAsia="仿宋_GB2312" w:cs="仿宋_GB2312"/>
          <w:color w:val="000000"/>
          <w:sz w:val="32"/>
          <w:szCs w:val="32"/>
        </w:rPr>
        <w:t>加大对高新技术企业的培育力度，全新推出“科创UP！溆浦联企汇”服务平台，举办培训会宣传讲解高企申报要点及政策。与税务、工信等部门对接，共同助力高企申报，2024</w:t>
      </w:r>
      <w:r>
        <w:rPr>
          <w:rFonts w:ascii="仿宋_GB2312" w:hAnsi="仿宋_GB2312" w:eastAsia="仿宋_GB2312" w:cs="仿宋_GB2312"/>
          <w:color w:val="000000"/>
          <w:sz w:val="32"/>
          <w:szCs w:val="32"/>
        </w:rPr>
        <w:t>年共申报高新技术企业</w:t>
      </w:r>
      <w:r>
        <w:rPr>
          <w:rFonts w:hint="eastAsia" w:ascii="仿宋_GB2312" w:hAnsi="仿宋_GB2312" w:eastAsia="仿宋_GB2312" w:cs="仿宋_GB2312"/>
          <w:color w:val="000000"/>
          <w:sz w:val="32"/>
          <w:szCs w:val="32"/>
        </w:rPr>
        <w:t>19家、公</w:t>
      </w:r>
      <w:r>
        <w:rPr>
          <w:rFonts w:ascii="仿宋_GB2312" w:hAnsi="仿宋_GB2312" w:eastAsia="仿宋_GB2312" w:cs="仿宋_GB2312"/>
          <w:color w:val="000000"/>
          <w:sz w:val="32"/>
          <w:szCs w:val="32"/>
        </w:rPr>
        <w:t>示</w:t>
      </w:r>
      <w:r>
        <w:rPr>
          <w:rFonts w:hint="eastAsia" w:ascii="仿宋_GB2312" w:hAnsi="仿宋_GB2312" w:eastAsia="仿宋_GB2312" w:cs="仿宋_GB2312"/>
          <w:color w:val="000000"/>
          <w:sz w:val="32"/>
          <w:szCs w:val="32"/>
        </w:rPr>
        <w:t>17家</w:t>
      </w:r>
      <w:r>
        <w:rPr>
          <w:rFonts w:ascii="仿宋_GB2312" w:hAnsi="仿宋_GB2312" w:eastAsia="仿宋_GB2312" w:cs="仿宋_GB2312"/>
          <w:color w:val="000000"/>
          <w:sz w:val="32"/>
          <w:szCs w:val="32"/>
        </w:rPr>
        <w:t>，全</w:t>
      </w:r>
      <w:r>
        <w:rPr>
          <w:rFonts w:hint="eastAsia" w:ascii="仿宋_GB2312" w:hAnsi="仿宋_GB2312" w:eastAsia="仿宋_GB2312" w:cs="仿宋_GB2312"/>
          <w:color w:val="000000"/>
          <w:sz w:val="32"/>
          <w:szCs w:val="32"/>
        </w:rPr>
        <w:t>县</w:t>
      </w:r>
      <w:r>
        <w:rPr>
          <w:rFonts w:ascii="仿宋_GB2312" w:hAnsi="仿宋_GB2312" w:eastAsia="仿宋_GB2312" w:cs="仿宋_GB2312"/>
          <w:color w:val="000000"/>
          <w:sz w:val="32"/>
          <w:szCs w:val="32"/>
        </w:rPr>
        <w:t>高新技术企业保有量</w:t>
      </w:r>
      <w:r>
        <w:rPr>
          <w:rFonts w:hint="eastAsia" w:ascii="仿宋_GB2312" w:hAnsi="仿宋_GB2312" w:eastAsia="仿宋_GB2312" w:cs="仿宋_GB2312"/>
          <w:color w:val="000000"/>
          <w:sz w:val="32"/>
          <w:szCs w:val="32"/>
        </w:rPr>
        <w:t>有望</w:t>
      </w:r>
      <w:r>
        <w:rPr>
          <w:rFonts w:ascii="仿宋_GB2312" w:hAnsi="仿宋_GB2312" w:eastAsia="仿宋_GB2312" w:cs="仿宋_GB2312"/>
          <w:color w:val="000000"/>
          <w:sz w:val="32"/>
          <w:szCs w:val="32"/>
        </w:rPr>
        <w:t>达到</w:t>
      </w:r>
      <w:r>
        <w:rPr>
          <w:rFonts w:hint="eastAsia" w:ascii="仿宋_GB2312" w:hAnsi="仿宋_GB2312" w:eastAsia="仿宋_GB2312" w:cs="仿宋_GB2312"/>
          <w:color w:val="000000"/>
          <w:sz w:val="32"/>
          <w:szCs w:val="32"/>
        </w:rPr>
        <w:t>57家</w:t>
      </w:r>
      <w:r>
        <w:rPr>
          <w:rFonts w:ascii="仿宋_GB2312" w:hAnsi="仿宋_GB2312" w:eastAsia="仿宋_GB2312" w:cs="仿宋_GB2312"/>
          <w:color w:val="000000"/>
          <w:sz w:val="32"/>
          <w:szCs w:val="32"/>
        </w:rPr>
        <w:t>，科技型中小企业达到</w:t>
      </w:r>
      <w:r>
        <w:rPr>
          <w:rFonts w:hint="eastAsia" w:ascii="仿宋_GB2312" w:hAnsi="仿宋_GB2312" w:eastAsia="仿宋_GB2312" w:cs="仿宋_GB2312"/>
          <w:color w:val="000000"/>
          <w:sz w:val="32"/>
          <w:szCs w:val="32"/>
        </w:rPr>
        <w:t>153家。</w:t>
      </w:r>
      <w:r>
        <w:rPr>
          <w:rFonts w:hint="eastAsia" w:ascii="楷体_GB2312" w:hAnsi="楷体_GB2312" w:eastAsia="楷体_GB2312" w:cs="楷体_GB2312"/>
          <w:b/>
          <w:bCs/>
          <w:color w:val="000000"/>
          <w:sz w:val="32"/>
          <w:szCs w:val="32"/>
        </w:rPr>
        <w:t>创新平台建设质效跃升。</w:t>
      </w:r>
      <w:r>
        <w:rPr>
          <w:rFonts w:hint="eastAsia" w:ascii="楷体_GB2312" w:hAnsi="楷体_GB2312" w:eastAsia="楷体_GB2312" w:cs="楷体_GB2312"/>
          <w:b w:val="0"/>
          <w:bCs w:val="0"/>
          <w:color w:val="000000"/>
          <w:sz w:val="32"/>
          <w:szCs w:val="32"/>
          <w:lang w:val="en-US" w:eastAsia="zh-CN"/>
        </w:rPr>
        <w:t>2</w:t>
      </w:r>
      <w:r>
        <w:rPr>
          <w:rFonts w:hint="eastAsia" w:ascii="仿宋_GB2312" w:hAnsi="仿宋_GB2312" w:eastAsia="仿宋_GB2312" w:cs="仿宋_GB2312"/>
          <w:color w:val="000000"/>
          <w:sz w:val="32"/>
          <w:szCs w:val="32"/>
          <w:lang w:val="en-US" w:eastAsia="zh-CN"/>
        </w:rPr>
        <w:t>024 年共争创省级创新平台 3 个：雨溆工业园（省级）科技企业孵化器申报成功，以及食尚康和翱康生物省级众创空间成功获批</w:t>
      </w:r>
      <w:r>
        <w:rPr>
          <w:rFonts w:hint="eastAsia" w:ascii="仿宋_GB2312" w:hAnsi="仿宋_GB2312" w:eastAsia="仿宋_GB2312" w:cs="仿宋_GB2312"/>
          <w:color w:val="000000"/>
          <w:sz w:val="32"/>
          <w:szCs w:val="32"/>
        </w:rPr>
        <w:t>。</w:t>
      </w:r>
      <w:r>
        <w:rPr>
          <w:rFonts w:hint="eastAsia" w:ascii="楷体" w:hAnsi="楷体" w:eastAsia="楷体" w:cs="仿宋_GB2312"/>
          <w:b/>
          <w:bCs/>
          <w:color w:val="000000"/>
          <w:sz w:val="32"/>
          <w:szCs w:val="32"/>
        </w:rPr>
        <w:t>科技成果转化</w:t>
      </w:r>
      <w:r>
        <w:rPr>
          <w:rStyle w:val="11"/>
          <w:rFonts w:ascii="楷体" w:hAnsi="楷体" w:eastAsia="楷体" w:cs="方正仿宋_GBK"/>
          <w:bCs/>
          <w:color w:val="000000"/>
          <w:kern w:val="0"/>
          <w:sz w:val="31"/>
          <w:szCs w:val="31"/>
          <w:shd w:val="clear" w:color="auto" w:fill="FFFFFF"/>
          <w:lang w:bidi="ar"/>
        </w:rPr>
        <w:t>能力</w:t>
      </w:r>
      <w:r>
        <w:rPr>
          <w:rStyle w:val="11"/>
          <w:rFonts w:hint="eastAsia" w:ascii="楷体" w:hAnsi="楷体" w:eastAsia="楷体" w:cs="方正仿宋_GBK"/>
          <w:bCs/>
          <w:color w:val="000000"/>
          <w:kern w:val="0"/>
          <w:sz w:val="31"/>
          <w:szCs w:val="31"/>
          <w:shd w:val="clear" w:color="auto" w:fill="FFFFFF"/>
          <w:lang w:bidi="ar"/>
        </w:rPr>
        <w:t>持续</w:t>
      </w:r>
      <w:r>
        <w:rPr>
          <w:rStyle w:val="11"/>
          <w:rFonts w:ascii="楷体" w:hAnsi="楷体" w:eastAsia="楷体" w:cs="方正仿宋_GBK"/>
          <w:bCs/>
          <w:color w:val="000000"/>
          <w:kern w:val="0"/>
          <w:sz w:val="31"/>
          <w:szCs w:val="31"/>
          <w:shd w:val="clear" w:color="auto" w:fill="FFFFFF"/>
          <w:lang w:bidi="ar"/>
        </w:rPr>
        <w:t>增强</w:t>
      </w:r>
      <w:r>
        <w:rPr>
          <w:rFonts w:hint="eastAsia" w:ascii="楷体" w:hAnsi="楷体" w:eastAsia="楷体" w:cs="仿宋_GB2312"/>
          <w:b/>
          <w:bCs/>
          <w:color w:val="000000"/>
          <w:sz w:val="32"/>
          <w:szCs w:val="32"/>
        </w:rPr>
        <w:t>。</w:t>
      </w:r>
      <w:r>
        <w:rPr>
          <w:rFonts w:hint="eastAsia" w:ascii="仿宋_GB2312" w:hAnsi="仿宋_GB2312" w:eastAsia="仿宋_GB2312" w:cs="仿宋_GB2312"/>
          <w:color w:val="000000"/>
          <w:sz w:val="32"/>
          <w:szCs w:val="32"/>
        </w:rPr>
        <w:t>截至目前，全县已认定技术合同交易项数15项，技术合同成交额13.23亿元。拥有有效发明专利</w:t>
      </w:r>
      <w:r>
        <w:rPr>
          <w:rFonts w:hint="eastAsia" w:ascii="仿宋_GB2312" w:hAnsi="仿宋_GB2312" w:eastAsia="仿宋_GB2312" w:cs="仿宋_GB2312"/>
          <w:color w:val="000000"/>
          <w:sz w:val="32"/>
          <w:szCs w:val="32"/>
          <w:lang w:val="en-US" w:eastAsia="zh-CN"/>
        </w:rPr>
        <w:t>153</w:t>
      </w:r>
      <w:r>
        <w:rPr>
          <w:rFonts w:hint="eastAsia" w:ascii="仿宋_GB2312" w:hAnsi="仿宋_GB2312" w:eastAsia="仿宋_GB2312" w:cs="仿宋_GB2312"/>
          <w:color w:val="000000"/>
          <w:sz w:val="32"/>
          <w:szCs w:val="32"/>
        </w:rPr>
        <w:t>件，高价值发明专利43件。</w:t>
      </w:r>
    </w:p>
    <w:p w14:paraId="5B53C324">
      <w:pPr>
        <w:widowControl/>
        <w:spacing w:line="600" w:lineRule="exact"/>
        <w:ind w:firstLine="643" w:firstLineChars="200"/>
        <w:jc w:val="left"/>
        <w:rPr>
          <w:rFonts w:hint="eastAsia" w:ascii="仿宋_GB2312" w:hAnsi="仿宋_GB2312" w:eastAsia="仿宋_GB2312" w:cs="仿宋_GB2312"/>
          <w:color w:val="000000"/>
          <w:sz w:val="32"/>
          <w:szCs w:val="32"/>
        </w:rPr>
      </w:pPr>
      <w:r>
        <w:rPr>
          <w:rFonts w:hint="default" w:ascii="Calibri" w:hAnsi="Calibri" w:eastAsia="黑体" w:cs="Calibri"/>
          <w:b/>
          <w:bCs/>
          <w:color w:val="000000"/>
          <w:sz w:val="32"/>
          <w:szCs w:val="32"/>
        </w:rPr>
        <w:t>③</w:t>
      </w:r>
      <w:r>
        <w:rPr>
          <w:rFonts w:hint="eastAsia" w:ascii="黑体" w:hAnsi="黑体" w:eastAsia="黑体" w:cs="楷体_GB2312"/>
          <w:b/>
          <w:bCs/>
          <w:color w:val="000000"/>
          <w:sz w:val="32"/>
          <w:szCs w:val="32"/>
        </w:rPr>
        <w:t>突</w:t>
      </w:r>
      <w:r>
        <w:rPr>
          <w:rFonts w:ascii="黑体" w:hAnsi="黑体" w:eastAsia="黑体" w:cs="楷体_GB2312"/>
          <w:b/>
          <w:bCs/>
          <w:color w:val="000000"/>
          <w:sz w:val="32"/>
          <w:szCs w:val="32"/>
        </w:rPr>
        <w:t>出主导产业</w:t>
      </w:r>
      <w:r>
        <w:rPr>
          <w:rFonts w:hint="eastAsia" w:ascii="黑体" w:hAnsi="黑体" w:eastAsia="黑体" w:cs="楷体_GB2312"/>
          <w:b/>
          <w:bCs/>
          <w:color w:val="000000"/>
          <w:sz w:val="32"/>
          <w:szCs w:val="32"/>
        </w:rPr>
        <w:t>，推动科</w:t>
      </w:r>
      <w:r>
        <w:rPr>
          <w:rFonts w:ascii="黑体" w:hAnsi="黑体" w:eastAsia="黑体" w:cs="楷体_GB2312"/>
          <w:b/>
          <w:bCs/>
          <w:color w:val="000000"/>
          <w:sz w:val="32"/>
          <w:szCs w:val="32"/>
        </w:rPr>
        <w:t>产</w:t>
      </w:r>
      <w:r>
        <w:rPr>
          <w:rFonts w:hint="eastAsia" w:ascii="黑体" w:hAnsi="黑体" w:eastAsia="黑体" w:cs="楷体_GB2312"/>
          <w:b/>
          <w:bCs/>
          <w:color w:val="000000"/>
          <w:sz w:val="32"/>
          <w:szCs w:val="32"/>
        </w:rPr>
        <w:t>融合发展。</w:t>
      </w:r>
      <w:r>
        <w:rPr>
          <w:rFonts w:hint="eastAsia" w:ascii="楷体" w:hAnsi="楷体" w:eastAsia="楷体" w:cs="仿宋_GB2312"/>
          <w:b/>
          <w:bCs/>
          <w:color w:val="000000"/>
          <w:sz w:val="32"/>
          <w:szCs w:val="32"/>
        </w:rPr>
        <w:t>广泛征集企业需求。</w:t>
      </w:r>
      <w:r>
        <w:rPr>
          <w:rFonts w:hint="eastAsia" w:ascii="仿宋_GB2312" w:hAnsi="仿宋_GB2312" w:eastAsia="仿宋_GB2312" w:cs="仿宋_GB2312"/>
          <w:color w:val="000000"/>
          <w:sz w:val="32"/>
          <w:szCs w:val="32"/>
        </w:rPr>
        <w:t>充分调研企业生产经营状况和技术创新水平，共计征集技术需求20余项。</w:t>
      </w:r>
      <w:r>
        <w:rPr>
          <w:rStyle w:val="11"/>
          <w:rFonts w:hint="eastAsia" w:ascii="楷体" w:hAnsi="楷体" w:eastAsia="楷体" w:cs="方正仿宋_GBK"/>
          <w:bCs/>
          <w:color w:val="000000"/>
          <w:kern w:val="0"/>
          <w:sz w:val="31"/>
          <w:szCs w:val="31"/>
          <w:shd w:val="clear" w:color="auto" w:fill="FFFFFF"/>
          <w:lang w:bidi="ar"/>
        </w:rPr>
        <w:t>深</w:t>
      </w:r>
      <w:r>
        <w:rPr>
          <w:rStyle w:val="11"/>
          <w:rFonts w:ascii="楷体" w:hAnsi="楷体" w:eastAsia="楷体" w:cs="方正仿宋_GBK"/>
          <w:bCs/>
          <w:color w:val="000000"/>
          <w:kern w:val="0"/>
          <w:sz w:val="31"/>
          <w:szCs w:val="31"/>
          <w:shd w:val="clear" w:color="auto" w:fill="FFFFFF"/>
          <w:lang w:bidi="ar"/>
        </w:rPr>
        <w:t>化</w:t>
      </w:r>
      <w:r>
        <w:rPr>
          <w:rStyle w:val="11"/>
          <w:rFonts w:hint="eastAsia" w:ascii="楷体" w:hAnsi="楷体" w:eastAsia="楷体" w:cs="方正仿宋_GBK"/>
          <w:bCs/>
          <w:color w:val="000000"/>
          <w:kern w:val="0"/>
          <w:sz w:val="31"/>
          <w:szCs w:val="31"/>
          <w:shd w:val="clear" w:color="auto" w:fill="FFFFFF"/>
          <w:lang w:bidi="ar"/>
        </w:rPr>
        <w:t>产学研合作。</w:t>
      </w:r>
      <w:r>
        <w:rPr>
          <w:rFonts w:hint="eastAsia" w:ascii="仿宋_GB2312" w:hAnsi="仿宋_GB2312" w:eastAsia="仿宋_GB2312" w:cs="仿宋_GB2312"/>
          <w:color w:val="000000"/>
          <w:sz w:val="32"/>
          <w:szCs w:val="32"/>
        </w:rPr>
        <w:t>发挥科技专</w:t>
      </w:r>
      <w:r>
        <w:rPr>
          <w:rFonts w:ascii="仿宋_GB2312" w:hAnsi="仿宋_GB2312" w:eastAsia="仿宋_GB2312" w:cs="仿宋_GB2312"/>
          <w:color w:val="000000"/>
          <w:sz w:val="32"/>
          <w:szCs w:val="32"/>
        </w:rPr>
        <w:t>家</w:t>
      </w:r>
      <w:r>
        <w:rPr>
          <w:rFonts w:hint="eastAsia" w:ascii="仿宋_GB2312" w:hAnsi="仿宋_GB2312" w:eastAsia="仿宋_GB2312" w:cs="仿宋_GB2312"/>
          <w:color w:val="000000"/>
          <w:sz w:val="32"/>
          <w:szCs w:val="32"/>
        </w:rPr>
        <w:t>团“团式”作用，依托湖南省中医药大学、湖南农业大学、湖南省农科院等高校资源优势，举办山银花现场观摩培训会，助力企业农户增产增收。</w:t>
      </w:r>
      <w:r>
        <w:rPr>
          <w:rStyle w:val="11"/>
          <w:rFonts w:ascii="楷体" w:hAnsi="楷体" w:eastAsia="楷体" w:cs="方正仿宋_GBK"/>
          <w:bCs/>
          <w:color w:val="000000"/>
          <w:kern w:val="0"/>
          <w:sz w:val="31"/>
          <w:szCs w:val="31"/>
          <w:shd w:val="clear" w:color="auto" w:fill="FFFFFF"/>
          <w:lang w:bidi="ar"/>
        </w:rPr>
        <w:t>提升产业创新水平</w:t>
      </w:r>
      <w:r>
        <w:rPr>
          <w:rStyle w:val="11"/>
          <w:rFonts w:hint="eastAsia" w:ascii="楷体" w:hAnsi="楷体" w:eastAsia="楷体" w:cs="方正仿宋_GBK"/>
          <w:bCs/>
          <w:color w:val="000000"/>
          <w:kern w:val="0"/>
          <w:sz w:val="31"/>
          <w:szCs w:val="31"/>
          <w:shd w:val="clear" w:color="auto" w:fill="FFFFFF"/>
          <w:lang w:bidi="ar"/>
        </w:rPr>
        <w:t>。</w:t>
      </w:r>
      <w:r>
        <w:rPr>
          <w:rFonts w:hint="eastAsia" w:ascii="仿宋" w:hAnsi="仿宋" w:eastAsia="仿宋" w:cs="仿宋_GB2312"/>
          <w:color w:val="000000"/>
          <w:sz w:val="32"/>
          <w:szCs w:val="32"/>
        </w:rPr>
        <w:t>围绕我县主</w:t>
      </w:r>
      <w:r>
        <w:rPr>
          <w:rFonts w:ascii="仿宋" w:hAnsi="仿宋" w:eastAsia="仿宋" w:cs="仿宋_GB2312"/>
          <w:color w:val="000000"/>
          <w:sz w:val="32"/>
          <w:szCs w:val="32"/>
        </w:rPr>
        <w:t>导产业</w:t>
      </w:r>
      <w:r>
        <w:rPr>
          <w:rFonts w:hint="eastAsia" w:ascii="仿宋" w:hAnsi="仿宋" w:eastAsia="仿宋" w:cs="仿宋_GB2312"/>
          <w:color w:val="000000"/>
          <w:sz w:val="32"/>
          <w:szCs w:val="32"/>
        </w:rPr>
        <w:t>和</w:t>
      </w:r>
      <w:r>
        <w:rPr>
          <w:rFonts w:ascii="仿宋" w:hAnsi="仿宋" w:eastAsia="仿宋" w:cs="仿宋_GB2312"/>
          <w:color w:val="000000"/>
          <w:sz w:val="32"/>
          <w:szCs w:val="32"/>
        </w:rPr>
        <w:t>主体企业</w:t>
      </w:r>
      <w:r>
        <w:rPr>
          <w:rFonts w:hint="eastAsia" w:ascii="仿宋" w:hAnsi="仿宋" w:eastAsia="仿宋" w:cs="仿宋_GB2312"/>
          <w:color w:val="000000"/>
          <w:sz w:val="32"/>
          <w:szCs w:val="32"/>
        </w:rPr>
        <w:t>，推荐省级科普项目2个，重点研发项目1个，立项中央引导地方资金项目1个，科技特派员项目2个。《科技创新赋能“小茶叶”做强“大产业”</w:t>
      </w:r>
      <w:r>
        <w:rPr>
          <w:rFonts w:ascii="仿宋" w:hAnsi="仿宋" w:eastAsia="仿宋" w:cs="仿宋_GB2312"/>
          <w:color w:val="000000"/>
          <w:sz w:val="32"/>
          <w:szCs w:val="32"/>
        </w:rPr>
        <w:t>》</w:t>
      </w:r>
      <w:r>
        <w:rPr>
          <w:rFonts w:hint="eastAsia" w:ascii="仿宋" w:hAnsi="仿宋" w:eastAsia="仿宋" w:cs="仿宋_GB2312"/>
          <w:color w:val="000000"/>
          <w:sz w:val="32"/>
          <w:szCs w:val="32"/>
        </w:rPr>
        <w:t>等</w:t>
      </w:r>
      <w:r>
        <w:rPr>
          <w:rFonts w:ascii="仿宋" w:hAnsi="仿宋" w:eastAsia="仿宋" w:cs="仿宋_GB2312"/>
          <w:color w:val="000000"/>
          <w:sz w:val="32"/>
          <w:szCs w:val="32"/>
        </w:rPr>
        <w:t>工作做法</w:t>
      </w:r>
      <w:r>
        <w:rPr>
          <w:rFonts w:hint="eastAsia" w:ascii="仿宋" w:hAnsi="仿宋" w:eastAsia="仿宋" w:cs="仿宋_GB2312"/>
          <w:color w:val="000000"/>
          <w:sz w:val="32"/>
          <w:szCs w:val="32"/>
        </w:rPr>
        <w:t>被</w:t>
      </w:r>
      <w:r>
        <w:rPr>
          <w:rFonts w:ascii="仿宋" w:hAnsi="仿宋" w:eastAsia="仿宋" w:cs="仿宋_GB2312"/>
          <w:color w:val="000000"/>
          <w:sz w:val="32"/>
          <w:szCs w:val="32"/>
        </w:rPr>
        <w:t>省科技厅官方网站</w:t>
      </w:r>
      <w:r>
        <w:rPr>
          <w:rFonts w:hint="eastAsia" w:ascii="仿宋" w:hAnsi="仿宋" w:eastAsia="仿宋" w:cs="仿宋_GB2312"/>
          <w:color w:val="000000"/>
          <w:sz w:val="32"/>
          <w:szCs w:val="32"/>
        </w:rPr>
        <w:t>和</w:t>
      </w:r>
      <w:r>
        <w:rPr>
          <w:rFonts w:ascii="仿宋" w:hAnsi="仿宋" w:eastAsia="仿宋" w:cs="仿宋_GB2312"/>
          <w:color w:val="000000"/>
          <w:sz w:val="32"/>
          <w:szCs w:val="32"/>
        </w:rPr>
        <w:t>市</w:t>
      </w:r>
      <w:r>
        <w:rPr>
          <w:rFonts w:hint="eastAsia" w:ascii="仿宋" w:hAnsi="仿宋" w:eastAsia="仿宋" w:cs="仿宋_GB2312"/>
          <w:color w:val="000000"/>
          <w:sz w:val="32"/>
          <w:szCs w:val="32"/>
        </w:rPr>
        <w:t>创新提升行动专</w:t>
      </w:r>
      <w:r>
        <w:rPr>
          <w:rFonts w:ascii="仿宋" w:hAnsi="仿宋" w:eastAsia="仿宋" w:cs="仿宋_GB2312"/>
          <w:color w:val="000000"/>
          <w:sz w:val="32"/>
          <w:szCs w:val="32"/>
        </w:rPr>
        <w:t>报推荐。</w:t>
      </w:r>
    </w:p>
    <w:p w14:paraId="0CFEE7FB">
      <w:pPr>
        <w:spacing w:line="600" w:lineRule="exact"/>
        <w:ind w:firstLine="643" w:firstLineChars="200"/>
        <w:rPr>
          <w:rFonts w:hint="eastAsia" w:ascii="方正仿宋_GBK" w:hAnsi="方正仿宋_GBK" w:eastAsia="方正仿宋_GBK" w:cs="方正仿宋_GBK"/>
          <w:color w:val="000000"/>
          <w:kern w:val="0"/>
          <w:sz w:val="31"/>
          <w:szCs w:val="31"/>
          <w:shd w:val="clear" w:color="auto" w:fill="FFFFFF"/>
          <w:lang w:bidi="ar"/>
        </w:rPr>
      </w:pPr>
      <w:r>
        <w:rPr>
          <w:rFonts w:hint="default" w:ascii="Calibri" w:hAnsi="Calibri" w:eastAsia="黑体" w:cs="Calibri"/>
          <w:b/>
          <w:bCs/>
          <w:color w:val="000000"/>
          <w:sz w:val="32"/>
          <w:szCs w:val="32"/>
        </w:rPr>
        <w:t>④</w:t>
      </w:r>
      <w:r>
        <w:rPr>
          <w:rFonts w:hint="eastAsia" w:ascii="黑体" w:hAnsi="黑体" w:eastAsia="黑体" w:cs="仿宋_GB2312"/>
          <w:b/>
          <w:bCs/>
          <w:color w:val="000000"/>
          <w:sz w:val="32"/>
          <w:szCs w:val="32"/>
        </w:rPr>
        <w:t>强</w:t>
      </w:r>
      <w:r>
        <w:rPr>
          <w:rFonts w:ascii="黑体" w:hAnsi="黑体" w:eastAsia="黑体" w:cs="仿宋_GB2312"/>
          <w:b/>
          <w:bCs/>
          <w:color w:val="000000"/>
          <w:sz w:val="32"/>
          <w:szCs w:val="32"/>
        </w:rPr>
        <w:t>化科技服务</w:t>
      </w:r>
      <w:r>
        <w:rPr>
          <w:rFonts w:hint="eastAsia" w:ascii="黑体" w:hAnsi="黑体" w:eastAsia="黑体" w:cs="仿宋_GB2312"/>
          <w:b/>
          <w:bCs/>
          <w:color w:val="000000"/>
          <w:sz w:val="32"/>
          <w:szCs w:val="32"/>
        </w:rPr>
        <w:t>，促</w:t>
      </w:r>
      <w:r>
        <w:rPr>
          <w:rFonts w:ascii="黑体" w:hAnsi="黑体" w:eastAsia="黑体" w:cs="仿宋_GB2312"/>
          <w:b/>
          <w:bCs/>
          <w:color w:val="000000"/>
          <w:sz w:val="32"/>
          <w:szCs w:val="32"/>
        </w:rPr>
        <w:t>进</w:t>
      </w:r>
      <w:r>
        <w:rPr>
          <w:rFonts w:hint="eastAsia" w:ascii="黑体" w:hAnsi="黑体" w:eastAsia="黑体" w:cs="仿宋_GB2312"/>
          <w:b/>
          <w:bCs/>
          <w:color w:val="000000"/>
          <w:sz w:val="32"/>
          <w:szCs w:val="32"/>
        </w:rPr>
        <w:t>科</w:t>
      </w:r>
      <w:r>
        <w:rPr>
          <w:rFonts w:ascii="黑体" w:hAnsi="黑体" w:eastAsia="黑体" w:cs="仿宋_GB2312"/>
          <w:b/>
          <w:bCs/>
          <w:color w:val="000000"/>
          <w:sz w:val="32"/>
          <w:szCs w:val="32"/>
        </w:rPr>
        <w:t>技</w:t>
      </w:r>
      <w:r>
        <w:rPr>
          <w:rFonts w:hint="eastAsia" w:ascii="黑体" w:hAnsi="黑体" w:eastAsia="黑体" w:cs="仿宋_GB2312"/>
          <w:b/>
          <w:bCs/>
          <w:color w:val="000000"/>
          <w:sz w:val="32"/>
          <w:szCs w:val="32"/>
        </w:rPr>
        <w:t>惠</w:t>
      </w:r>
      <w:r>
        <w:rPr>
          <w:rFonts w:ascii="黑体" w:hAnsi="黑体" w:eastAsia="黑体" w:cs="仿宋_GB2312"/>
          <w:b/>
          <w:bCs/>
          <w:color w:val="000000"/>
          <w:sz w:val="32"/>
          <w:szCs w:val="32"/>
        </w:rPr>
        <w:t>企</w:t>
      </w:r>
      <w:r>
        <w:rPr>
          <w:rFonts w:hint="eastAsia" w:ascii="黑体" w:hAnsi="黑体" w:eastAsia="黑体" w:cs="仿宋_GB2312"/>
          <w:b/>
          <w:bCs/>
          <w:color w:val="000000"/>
          <w:sz w:val="32"/>
          <w:szCs w:val="32"/>
        </w:rPr>
        <w:t>惠</w:t>
      </w:r>
      <w:r>
        <w:rPr>
          <w:rFonts w:ascii="黑体" w:hAnsi="黑体" w:eastAsia="黑体" w:cs="仿宋_GB2312"/>
          <w:b/>
          <w:bCs/>
          <w:color w:val="000000"/>
          <w:sz w:val="32"/>
          <w:szCs w:val="32"/>
        </w:rPr>
        <w:t>民</w:t>
      </w:r>
      <w:r>
        <w:rPr>
          <w:rFonts w:hint="eastAsia" w:ascii="黑体" w:hAnsi="黑体" w:eastAsia="黑体" w:cs="仿宋_GB2312"/>
          <w:b/>
          <w:bCs/>
          <w:color w:val="000000"/>
          <w:sz w:val="32"/>
          <w:szCs w:val="32"/>
        </w:rPr>
        <w:t>。</w:t>
      </w:r>
      <w:r>
        <w:rPr>
          <w:rFonts w:hint="eastAsia" w:ascii="楷体" w:hAnsi="楷体" w:eastAsia="楷体" w:cs="楷体_GB2312"/>
          <w:b/>
          <w:bCs/>
          <w:color w:val="000000"/>
          <w:sz w:val="32"/>
          <w:szCs w:val="32"/>
        </w:rPr>
        <w:t>科技强农持续发力。</w:t>
      </w:r>
      <w:r>
        <w:rPr>
          <w:rFonts w:hint="eastAsia" w:ascii="仿宋_GB2312" w:hAnsi="仿宋_GB2312" w:eastAsia="仿宋_GB2312" w:cs="仿宋_GB2312"/>
          <w:color w:val="000000"/>
          <w:sz w:val="32"/>
          <w:szCs w:val="32"/>
        </w:rPr>
        <w:t>争取省级科技特派员6名、市级科技特派员</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名，下派县级科技特派员134名。引进“三区”人才16名、企业特聘省级专家6名、外国专家2名，落实“首席专家”帮扶制度，组建 4 个专家帮扶团。根据县</w:t>
      </w:r>
      <w:r>
        <w:rPr>
          <w:rFonts w:ascii="仿宋_GB2312" w:hAnsi="仿宋_GB2312" w:eastAsia="仿宋_GB2312" w:cs="仿宋_GB2312"/>
          <w:color w:val="000000"/>
          <w:sz w:val="32"/>
          <w:szCs w:val="32"/>
        </w:rPr>
        <w:t>域</w:t>
      </w:r>
      <w:r>
        <w:rPr>
          <w:rFonts w:hint="eastAsia" w:ascii="仿宋_GB2312" w:hAnsi="仿宋_GB2312" w:eastAsia="仿宋_GB2312" w:cs="仿宋_GB2312"/>
          <w:color w:val="000000"/>
          <w:sz w:val="32"/>
          <w:szCs w:val="32"/>
        </w:rPr>
        <w:t>主导产业布局，规划建设5个省市县三级专家联动的科技特派员特色工作站。</w:t>
      </w:r>
      <w:r>
        <w:rPr>
          <w:rFonts w:hint="eastAsia" w:ascii="楷体" w:hAnsi="楷体" w:eastAsia="楷体" w:cs="仿宋_GB2312"/>
          <w:b/>
          <w:bCs/>
          <w:color w:val="000000"/>
          <w:sz w:val="32"/>
          <w:szCs w:val="32"/>
        </w:rPr>
        <w:t>科技惠企深</w:t>
      </w:r>
      <w:r>
        <w:rPr>
          <w:rFonts w:ascii="楷体" w:hAnsi="楷体" w:eastAsia="楷体" w:cs="仿宋_GB2312"/>
          <w:b/>
          <w:bCs/>
          <w:color w:val="000000"/>
          <w:sz w:val="32"/>
          <w:szCs w:val="32"/>
        </w:rPr>
        <w:t>入开展</w:t>
      </w:r>
      <w:r>
        <w:rPr>
          <w:rFonts w:hint="eastAsia" w:ascii="楷体" w:hAnsi="楷体" w:eastAsia="楷体" w:cs="仿宋_GB2312"/>
          <w:b/>
          <w:bCs/>
          <w:color w:val="000000"/>
          <w:sz w:val="32"/>
          <w:szCs w:val="32"/>
        </w:rPr>
        <w:t>。</w:t>
      </w:r>
      <w:r>
        <w:rPr>
          <w:rFonts w:hint="eastAsia" w:ascii="仿宋_GB2312" w:hAnsi="仿宋_GB2312" w:eastAsia="仿宋_GB2312" w:cs="仿宋_GB2312"/>
          <w:color w:val="000000"/>
          <w:sz w:val="32"/>
          <w:szCs w:val="32"/>
        </w:rPr>
        <w:t>组织100家企业参加科技型企业培训会，让企业“足不出园”即获政策宣讲和专业知识，组织30家企业开展政银企座谈会，促进拓展创新视野和推动科技合作。</w:t>
      </w:r>
      <w:r>
        <w:rPr>
          <w:rFonts w:hint="eastAsia" w:ascii="楷体" w:hAnsi="楷体" w:eastAsia="楷体" w:cs="仿宋_GB2312"/>
          <w:b/>
          <w:bCs/>
          <w:color w:val="000000"/>
          <w:sz w:val="32"/>
          <w:szCs w:val="32"/>
        </w:rPr>
        <w:t>科学普及拓展深化。</w:t>
      </w:r>
      <w:r>
        <w:rPr>
          <w:rFonts w:hint="eastAsia" w:ascii="仿宋" w:hAnsi="仿宋" w:eastAsia="仿宋" w:cs="仿宋_GB2312"/>
          <w:bCs/>
          <w:color w:val="000000"/>
          <w:sz w:val="32"/>
          <w:szCs w:val="32"/>
        </w:rPr>
        <w:t>成</w:t>
      </w:r>
      <w:r>
        <w:rPr>
          <w:rFonts w:ascii="仿宋" w:hAnsi="仿宋" w:eastAsia="仿宋" w:cs="仿宋_GB2312"/>
          <w:bCs/>
          <w:color w:val="000000"/>
          <w:sz w:val="32"/>
          <w:szCs w:val="32"/>
        </w:rPr>
        <w:t>功</w:t>
      </w:r>
      <w:r>
        <w:rPr>
          <w:rFonts w:hint="eastAsia" w:ascii="仿宋" w:hAnsi="仿宋" w:eastAsia="仿宋" w:cs="方正仿宋_GBK"/>
          <w:color w:val="000000"/>
          <w:kern w:val="0"/>
          <w:sz w:val="32"/>
          <w:szCs w:val="32"/>
          <w:shd w:val="clear" w:color="auto" w:fill="FFFFFF"/>
          <w:lang w:bidi="ar"/>
        </w:rPr>
        <w:t>举办2024年全国科技活动周专题科普活动，开展科技三下乡活动，发</w:t>
      </w:r>
      <w:r>
        <w:rPr>
          <w:rFonts w:ascii="仿宋" w:hAnsi="仿宋" w:eastAsia="仿宋" w:cs="方正仿宋_GBK"/>
          <w:color w:val="000000"/>
          <w:kern w:val="0"/>
          <w:sz w:val="32"/>
          <w:szCs w:val="32"/>
          <w:shd w:val="clear" w:color="auto" w:fill="FFFFFF"/>
          <w:lang w:bidi="ar"/>
        </w:rPr>
        <w:t>放各类科普资料</w:t>
      </w:r>
      <w:r>
        <w:rPr>
          <w:rFonts w:hint="eastAsia" w:ascii="仿宋" w:hAnsi="仿宋" w:eastAsia="仿宋" w:cs="方正仿宋_GBK"/>
          <w:color w:val="000000"/>
          <w:kern w:val="0"/>
          <w:sz w:val="32"/>
          <w:szCs w:val="32"/>
          <w:shd w:val="clear" w:color="auto" w:fill="FFFFFF"/>
          <w:lang w:bidi="ar"/>
        </w:rPr>
        <w:t>1万</w:t>
      </w:r>
      <w:r>
        <w:rPr>
          <w:rFonts w:ascii="仿宋" w:hAnsi="仿宋" w:eastAsia="仿宋" w:cs="方正仿宋_GBK"/>
          <w:color w:val="000000"/>
          <w:kern w:val="0"/>
          <w:sz w:val="32"/>
          <w:szCs w:val="32"/>
          <w:shd w:val="clear" w:color="auto" w:fill="FFFFFF"/>
          <w:lang w:bidi="ar"/>
        </w:rPr>
        <w:t>余册，</w:t>
      </w:r>
      <w:r>
        <w:rPr>
          <w:rFonts w:hint="eastAsia" w:ascii="仿宋" w:hAnsi="仿宋" w:eastAsia="仿宋" w:cs="方正仿宋_GBK"/>
          <w:color w:val="000000"/>
          <w:kern w:val="0"/>
          <w:sz w:val="32"/>
          <w:szCs w:val="32"/>
          <w:shd w:val="clear" w:color="auto" w:fill="FFFFFF"/>
          <w:lang w:bidi="ar"/>
        </w:rPr>
        <w:t>普及科学知识、展示科技成果、推动科技走进生活、惠及群众。</w:t>
      </w:r>
    </w:p>
    <w:p w14:paraId="3392D637">
      <w:pPr>
        <w:spacing w:line="600" w:lineRule="exact"/>
        <w:ind w:firstLine="643" w:firstLineChars="200"/>
        <w:rPr>
          <w:rFonts w:hint="eastAsia"/>
          <w:color w:val="000000"/>
        </w:rPr>
      </w:pPr>
      <w:r>
        <w:rPr>
          <w:rFonts w:hint="default" w:ascii="Calibri" w:hAnsi="Calibri" w:eastAsia="黑体" w:cs="Calibri"/>
          <w:b/>
          <w:bCs/>
          <w:color w:val="000000"/>
          <w:sz w:val="32"/>
          <w:szCs w:val="32"/>
        </w:rPr>
        <w:t>⑤</w:t>
      </w:r>
      <w:r>
        <w:rPr>
          <w:rFonts w:hint="eastAsia" w:ascii="黑体" w:hAnsi="黑体" w:eastAsia="黑体" w:cs="仿宋_GB2312"/>
          <w:b/>
          <w:bCs/>
          <w:color w:val="000000"/>
          <w:sz w:val="32"/>
          <w:szCs w:val="32"/>
        </w:rPr>
        <w:t>统</w:t>
      </w:r>
      <w:r>
        <w:rPr>
          <w:rFonts w:hint="eastAsia" w:ascii="黑体" w:hAnsi="黑体" w:eastAsia="黑体" w:cs="仿宋"/>
          <w:b/>
          <w:bCs/>
          <w:color w:val="000000"/>
          <w:sz w:val="32"/>
          <w:szCs w:val="32"/>
        </w:rPr>
        <w:t>筹各项任</w:t>
      </w:r>
      <w:r>
        <w:rPr>
          <w:rFonts w:ascii="黑体" w:hAnsi="黑体" w:eastAsia="黑体" w:cs="仿宋"/>
          <w:b/>
          <w:bCs/>
          <w:color w:val="000000"/>
          <w:sz w:val="32"/>
          <w:szCs w:val="32"/>
        </w:rPr>
        <w:t>务</w:t>
      </w:r>
      <w:r>
        <w:rPr>
          <w:rFonts w:hint="eastAsia" w:ascii="黑体" w:hAnsi="黑体" w:eastAsia="黑体" w:cs="仿宋"/>
          <w:b/>
          <w:bCs/>
          <w:color w:val="000000"/>
          <w:sz w:val="32"/>
          <w:szCs w:val="32"/>
        </w:rPr>
        <w:t>，提</w:t>
      </w:r>
      <w:r>
        <w:rPr>
          <w:rFonts w:ascii="黑体" w:hAnsi="黑体" w:eastAsia="黑体" w:cs="仿宋"/>
          <w:b/>
          <w:bCs/>
          <w:color w:val="000000"/>
          <w:sz w:val="32"/>
          <w:szCs w:val="32"/>
        </w:rPr>
        <w:t>升</w:t>
      </w:r>
      <w:r>
        <w:rPr>
          <w:rFonts w:hint="eastAsia" w:ascii="黑体" w:hAnsi="黑体" w:eastAsia="黑体" w:cs="仿宋"/>
          <w:b/>
          <w:bCs/>
          <w:color w:val="000000"/>
          <w:sz w:val="32"/>
          <w:szCs w:val="32"/>
        </w:rPr>
        <w:t>常规工作成效。</w:t>
      </w:r>
      <w:r>
        <w:rPr>
          <w:rFonts w:hint="eastAsia" w:ascii="仿宋" w:hAnsi="仿宋" w:eastAsia="仿宋" w:cs="仿宋"/>
          <w:color w:val="000000"/>
          <w:sz w:val="32"/>
          <w:szCs w:val="32"/>
        </w:rPr>
        <w:t>在牢牢把握科技工作的主要职责与重点业务的同时，按照县委、县政府安排部署，持续抓好其他常规工作。切实抓好乡村振兴驻村帮扶工作。加强派驻工作队的管理，督促落实驻村工作责任，定期组织干部职工深入联系户走访，了解情况化解难题。切实抓好综治工作。全面落实综治维稳、国安、“反恐”、信访和“禁毒”等各项工作。切实抓好行业单位安全生产工作。常态化开展安全生产、防灾减灾、森林防灭火等应急知识宣传，深</w:t>
      </w:r>
      <w:r>
        <w:rPr>
          <w:rFonts w:ascii="仿宋" w:hAnsi="仿宋" w:eastAsia="仿宋" w:cs="仿宋"/>
          <w:color w:val="000000"/>
          <w:sz w:val="32"/>
          <w:szCs w:val="32"/>
        </w:rPr>
        <w:t>入开展“敲门行动”，</w:t>
      </w:r>
      <w:r>
        <w:rPr>
          <w:rFonts w:hint="eastAsia" w:ascii="仿宋" w:hAnsi="仿宋" w:eastAsia="仿宋" w:cs="仿宋"/>
          <w:color w:val="000000"/>
          <w:sz w:val="32"/>
          <w:szCs w:val="32"/>
        </w:rPr>
        <w:t>落实安全生产单位主体责任。切实抓好生态环保、征信体系建设、优化营商环境等其他各项工作，圆满</w:t>
      </w:r>
      <w:r>
        <w:rPr>
          <w:rFonts w:ascii="仿宋" w:hAnsi="仿宋" w:eastAsia="仿宋" w:cs="仿宋"/>
          <w:color w:val="000000"/>
          <w:sz w:val="32"/>
          <w:szCs w:val="32"/>
        </w:rPr>
        <w:t>完成了</w:t>
      </w:r>
      <w:r>
        <w:rPr>
          <w:rFonts w:hint="eastAsia" w:ascii="仿宋" w:hAnsi="仿宋" w:eastAsia="仿宋" w:cs="仿宋"/>
          <w:color w:val="000000"/>
          <w:sz w:val="32"/>
          <w:szCs w:val="32"/>
        </w:rPr>
        <w:t>既定任</w:t>
      </w:r>
      <w:r>
        <w:rPr>
          <w:rFonts w:ascii="仿宋" w:hAnsi="仿宋" w:eastAsia="仿宋" w:cs="仿宋"/>
          <w:color w:val="000000"/>
          <w:sz w:val="32"/>
          <w:szCs w:val="32"/>
        </w:rPr>
        <w:t>务</w:t>
      </w:r>
      <w:r>
        <w:rPr>
          <w:rFonts w:hint="eastAsia" w:ascii="仿宋" w:hAnsi="仿宋" w:eastAsia="仿宋" w:cs="仿宋"/>
          <w:color w:val="000000"/>
          <w:sz w:val="32"/>
          <w:szCs w:val="32"/>
        </w:rPr>
        <w:t>。</w:t>
      </w:r>
    </w:p>
    <w:p w14:paraId="51C96B00">
      <w:pPr>
        <w:shd w:val="clear" w:color="auto" w:fill="FFFFFF"/>
        <w:autoSpaceDE w:val="0"/>
        <w:spacing w:line="580" w:lineRule="exact"/>
        <w:ind w:firstLine="684" w:firstLineChars="213"/>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b/>
          <w:bCs/>
          <w:sz w:val="32"/>
          <w:szCs w:val="32"/>
          <w:shd w:val="clear" w:color="auto" w:fill="FFFFFF"/>
          <w:lang w:bidi="ar"/>
        </w:rPr>
        <w:t>六、存在的主要问题</w:t>
      </w:r>
    </w:p>
    <w:p w14:paraId="0DB70720">
      <w:pPr>
        <w:autoSpaceDE w:val="0"/>
        <w:spacing w:line="580" w:lineRule="exact"/>
        <w:ind w:firstLine="681" w:firstLineChars="213"/>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溆浦县财政困难，奖补资金不能及时到位，科技经费投入不足，难以满足科技工作需要。</w:t>
      </w:r>
    </w:p>
    <w:p w14:paraId="73524710">
      <w:pPr>
        <w:shd w:val="clear" w:color="auto" w:fill="FFFFFF"/>
        <w:autoSpaceDE w:val="0"/>
        <w:spacing w:line="580" w:lineRule="exact"/>
        <w:ind w:firstLine="684" w:firstLineChars="213"/>
        <w:rPr>
          <w:rFonts w:hint="eastAsia" w:ascii="仿宋_GB2312" w:hAnsi="仿宋_GB2312" w:eastAsia="仿宋_GB2312" w:cs="仿宋_GB2312"/>
          <w:b/>
          <w:bCs/>
          <w:sz w:val="32"/>
          <w:szCs w:val="32"/>
          <w:shd w:val="clear" w:color="auto" w:fill="FFFFFF"/>
        </w:rPr>
      </w:pPr>
      <w:r>
        <w:rPr>
          <w:rFonts w:hint="eastAsia" w:ascii="仿宋_GB2312" w:hAnsi="仿宋_GB2312" w:eastAsia="仿宋_GB2312" w:cs="仿宋_GB2312"/>
          <w:b/>
          <w:bCs/>
          <w:sz w:val="32"/>
          <w:szCs w:val="32"/>
          <w:shd w:val="clear" w:color="auto" w:fill="FFFFFF"/>
          <w:lang w:bidi="ar"/>
        </w:rPr>
        <w:t>七、改进措施和有关建议</w:t>
      </w:r>
    </w:p>
    <w:p w14:paraId="42CB5ED9">
      <w:pPr>
        <w:autoSpaceDE w:val="0"/>
        <w:spacing w:line="580" w:lineRule="exact"/>
        <w:ind w:firstLine="681" w:firstLineChars="213"/>
        <w:rPr>
          <w:rFonts w:hint="eastAsia" w:ascii="仿宋_GB2312" w:hAnsi="仿宋_GB2312" w:eastAsia="仿宋_GB2312" w:cs="仿宋_GB2312"/>
          <w:sz w:val="32"/>
          <w:szCs w:val="32"/>
          <w:shd w:val="clear" w:color="auto" w:fill="FFFFFF"/>
          <w:lang w:val="en-US" w:eastAsia="zh-CN" w:bidi="ar"/>
        </w:rPr>
        <w:sectPr>
          <w:headerReference r:id="rId5" w:type="first"/>
          <w:footerReference r:id="rId8" w:type="first"/>
          <w:headerReference r:id="rId3" w:type="default"/>
          <w:footerReference r:id="rId6" w:type="default"/>
          <w:headerReference r:id="rId4" w:type="even"/>
          <w:footerReference r:id="rId7" w:type="even"/>
          <w:pgSz w:w="11906" w:h="16838"/>
          <w:pgMar w:top="1701" w:right="1814" w:bottom="1417" w:left="1531" w:header="851" w:footer="1247" w:gutter="0"/>
          <w:pgNumType w:fmt="decimal" w:start="1"/>
          <w:cols w:space="720" w:num="1"/>
          <w:docGrid w:type="lines" w:linePitch="312" w:charSpace="0"/>
        </w:sectPr>
      </w:pPr>
      <w:r>
        <w:rPr>
          <w:rFonts w:hint="eastAsia" w:ascii="仿宋_GB2312" w:hAnsi="仿宋_GB2312" w:eastAsia="仿宋_GB2312" w:cs="仿宋_GB2312"/>
          <w:sz w:val="32"/>
          <w:szCs w:val="32"/>
          <w:lang w:bidi="ar"/>
        </w:rPr>
        <w:t>我局要</w:t>
      </w:r>
      <w:r>
        <w:rPr>
          <w:rFonts w:hint="eastAsia" w:ascii="仿宋_GB2312" w:hAnsi="仿宋_GB2312" w:eastAsia="仿宋_GB2312" w:cs="仿宋_GB2312"/>
          <w:sz w:val="32"/>
          <w:szCs w:val="32"/>
          <w:shd w:val="clear" w:color="auto" w:fill="FFFFFF"/>
          <w:lang w:bidi="ar"/>
        </w:rPr>
        <w:t>进一步加强局机关预算管理意识，公用经费根据单位的年度工作重点和项目专项工作规划，本着“勤俭节约、保障运转”的原则进行预算的编制。建议强化资金的拨付力度，够更好的维护稳定科</w:t>
      </w:r>
      <w:bookmarkStart w:id="0" w:name="_GoBack"/>
      <w:bookmarkEnd w:id="0"/>
      <w:r>
        <w:rPr>
          <w:rFonts w:hint="eastAsia" w:ascii="仿宋_GB2312" w:hAnsi="仿宋_GB2312" w:eastAsia="仿宋_GB2312" w:cs="仿宋_GB2312"/>
          <w:sz w:val="32"/>
          <w:szCs w:val="32"/>
          <w:shd w:val="clear" w:color="auto" w:fill="FFFFFF"/>
          <w:lang w:bidi="ar"/>
        </w:rPr>
        <w:t>技工作有序发挥</w:t>
      </w:r>
      <w:r>
        <w:rPr>
          <w:rFonts w:hint="eastAsia" w:ascii="仿宋_GB2312" w:hAnsi="仿宋_GB2312" w:eastAsia="仿宋_GB2312" w:cs="仿宋_GB2312"/>
          <w:sz w:val="32"/>
          <w:szCs w:val="32"/>
          <w:shd w:val="clear" w:color="auto" w:fill="FFFFFF"/>
          <w:lang w:eastAsia="zh-CN" w:bidi="ar"/>
        </w:rPr>
        <w:t>。</w:t>
      </w:r>
    </w:p>
    <w:p w14:paraId="4EABAAF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DEDE5A-3DA0-4F16-9451-CB1537C8EA3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A91188E-7FD4-44C8-840E-F212292B6305}"/>
  </w:font>
  <w:font w:name="Cambria">
    <w:panose1 w:val="02040503050406030204"/>
    <w:charset w:val="00"/>
    <w:family w:val="auto"/>
    <w:pitch w:val="default"/>
    <w:sig w:usb0="E00002FF" w:usb1="400004FF"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embedRegular r:id="rId3" w:fontKey="{263CB7C6-7524-465A-9439-269A063743BE}"/>
  </w:font>
  <w:font w:name="楷体">
    <w:panose1 w:val="02010609060101010101"/>
    <w:charset w:val="86"/>
    <w:family w:val="auto"/>
    <w:pitch w:val="default"/>
    <w:sig w:usb0="800002BF" w:usb1="38CF7CFA" w:usb2="00000016" w:usb3="00000000" w:csb0="00040001" w:csb1="00000000"/>
    <w:embedRegular r:id="rId4" w:fontKey="{CB39BE68-4D14-4260-8B27-6DE37DF1DDE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_GBK">
    <w:altName w:val="Arial Unicode MS"/>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5" w:fontKey="{D723ED2C-8DF4-4AEF-9D95-8C76223EE3EA}"/>
  </w:font>
  <w:font w:name="仿宋">
    <w:panose1 w:val="02010609060101010101"/>
    <w:charset w:val="86"/>
    <w:family w:val="auto"/>
    <w:pitch w:val="default"/>
    <w:sig w:usb0="800002BF" w:usb1="38CF7CFA" w:usb2="00000016" w:usb3="00000000" w:csb0="00040001" w:csb1="00000000"/>
    <w:embedRegular r:id="rId6" w:fontKey="{5B1B7A93-417A-4CCE-9A8F-8F6776C211BA}"/>
  </w:font>
  <w:font w:name="方正仿宋_GBK">
    <w:panose1 w:val="02000000000000000000"/>
    <w:charset w:val="86"/>
    <w:family w:val="auto"/>
    <w:pitch w:val="default"/>
    <w:sig w:usb0="A00002BF" w:usb1="38CF7CFA" w:usb2="00082016" w:usb3="00000000" w:csb0="00040001" w:csb1="00000000"/>
    <w:embedRegular r:id="rId7" w:fontKey="{7C2BD19E-5413-474F-8E59-5DDF178D8329}"/>
  </w:font>
  <w:font w:name="Arial Unicode MS">
    <w:panose1 w:val="020B0604020202020204"/>
    <w:charset w:val="86"/>
    <w:family w:val="auto"/>
    <w:pitch w:val="default"/>
    <w:sig w:usb0="FFFFFFFF" w:usb1="E9FFFFFF" w:usb2="0000003F" w:usb3="00000000" w:csb0="603F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202B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191F7C">
                          <w:pPr>
                            <w:pStyle w:val="6"/>
                            <w:rPr>
                              <w:rStyle w:val="12"/>
                              <w:sz w:val="24"/>
                              <w:szCs w:val="24"/>
                            </w:rPr>
                          </w:pPr>
                          <w:r>
                            <w:rPr>
                              <w:sz w:val="24"/>
                              <w:szCs w:val="24"/>
                            </w:rPr>
                            <w:fldChar w:fldCharType="begin"/>
                          </w:r>
                          <w:r>
                            <w:rPr>
                              <w:rStyle w:val="12"/>
                              <w:sz w:val="24"/>
                              <w:szCs w:val="24"/>
                            </w:rPr>
                            <w:instrText xml:space="preserve">PAGE  </w:instrText>
                          </w:r>
                          <w:r>
                            <w:rPr>
                              <w:sz w:val="24"/>
                              <w:szCs w:val="24"/>
                            </w:rPr>
                            <w:fldChar w:fldCharType="separate"/>
                          </w:r>
                          <w:r>
                            <w:rPr>
                              <w:rStyle w:val="12"/>
                              <w:sz w:val="24"/>
                              <w:szCs w:val="24"/>
                            </w:rPr>
                            <w:t>8</w:t>
                          </w:r>
                          <w:r>
                            <w:rPr>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4191F7C">
                    <w:pPr>
                      <w:pStyle w:val="6"/>
                      <w:rPr>
                        <w:rStyle w:val="12"/>
                        <w:sz w:val="24"/>
                        <w:szCs w:val="24"/>
                      </w:rPr>
                    </w:pPr>
                    <w:r>
                      <w:rPr>
                        <w:sz w:val="24"/>
                        <w:szCs w:val="24"/>
                      </w:rPr>
                      <w:fldChar w:fldCharType="begin"/>
                    </w:r>
                    <w:r>
                      <w:rPr>
                        <w:rStyle w:val="12"/>
                        <w:sz w:val="24"/>
                        <w:szCs w:val="24"/>
                      </w:rPr>
                      <w:instrText xml:space="preserve">PAGE  </w:instrText>
                    </w:r>
                    <w:r>
                      <w:rPr>
                        <w:sz w:val="24"/>
                        <w:szCs w:val="24"/>
                      </w:rPr>
                      <w:fldChar w:fldCharType="separate"/>
                    </w:r>
                    <w:r>
                      <w:rPr>
                        <w:rStyle w:val="12"/>
                        <w:sz w:val="24"/>
                        <w:szCs w:val="24"/>
                      </w:rPr>
                      <w:t>8</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52383">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9</w:t>
    </w:r>
    <w:r>
      <w:fldChar w:fldCharType="end"/>
    </w:r>
  </w:p>
  <w:p w14:paraId="3881A9F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12115">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F578D">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5C7B6">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27C9F">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01269A"/>
    <w:rsid w:val="1288550F"/>
    <w:rsid w:val="14D26152"/>
    <w:rsid w:val="162424C0"/>
    <w:rsid w:val="2EEA3BC0"/>
    <w:rsid w:val="31D431C9"/>
    <w:rsid w:val="47465375"/>
    <w:rsid w:val="5268268C"/>
    <w:rsid w:val="5386707C"/>
    <w:rsid w:val="54A41123"/>
    <w:rsid w:val="598A103C"/>
    <w:rsid w:val="5C2044B4"/>
    <w:rsid w:val="70012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line="560" w:lineRule="exact"/>
      <w:ind w:firstLine="200" w:firstLineChars="200"/>
      <w:outlineLvl w:val="1"/>
    </w:pPr>
    <w:rPr>
      <w:rFonts w:ascii="Cambria" w:hAnsi="Cambria" w:eastAsia="楷体_GB2312" w:cs="Times New Roman"/>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toc 5"/>
    <w:basedOn w:val="1"/>
    <w:next w:val="1"/>
    <w:qFormat/>
    <w:uiPriority w:val="0"/>
    <w:pPr>
      <w:ind w:left="1680" w:leftChars="800"/>
    </w:pPr>
    <w:rPr>
      <w:rFonts w:ascii="等线" w:hAnsi="等线" w:eastAsia="等线" w:cs="Times New Roman"/>
      <w:szCs w:val="22"/>
    </w:rPr>
  </w:style>
  <w:style w:type="paragraph" w:styleId="5">
    <w:name w:val="endnote text"/>
    <w:basedOn w:val="1"/>
    <w:unhideWhenUsed/>
    <w:qFormat/>
    <w:uiPriority w:val="99"/>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qFormat/>
    <w:uiPriority w:val="0"/>
    <w:rPr>
      <w:b/>
    </w:rPr>
  </w:style>
  <w:style w:type="character" w:styleId="12">
    <w:name w:val="page number"/>
    <w:basedOn w:val="10"/>
    <w:qFormat/>
    <w:uiPriority w:val="0"/>
  </w:style>
  <w:style w:type="character" w:customStyle="1" w:styleId="13">
    <w:name w:val="font31"/>
    <w:basedOn w:val="10"/>
    <w:qFormat/>
    <w:uiPriority w:val="0"/>
    <w:rPr>
      <w:rFonts w:hint="eastAsia" w:ascii="宋体" w:hAnsi="宋体" w:eastAsia="宋体" w:cs="宋体"/>
      <w:color w:val="000000"/>
      <w:sz w:val="16"/>
      <w:szCs w:val="16"/>
      <w:u w:val="none"/>
    </w:rPr>
  </w:style>
  <w:style w:type="paragraph" w:customStyle="1" w:styleId="14">
    <w:name w:val="标题1"/>
    <w:basedOn w:val="2"/>
    <w:qFormat/>
    <w:uiPriority w:val="0"/>
    <w:rPr>
      <w:rFonts w:eastAsia="黑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3925</Words>
  <Characters>4098</Characters>
  <Lines>0</Lines>
  <Paragraphs>0</Paragraphs>
  <TotalTime>1383</TotalTime>
  <ScaleCrop>false</ScaleCrop>
  <LinksUpToDate>false</LinksUpToDate>
  <CharactersWithSpaces>4110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2025-04-11T01:04:00Z</dcterms:created>
  <dc:creator>WPS_1684375458</dc:creator>
  <cp:lastModifiedBy>青春一直在我心里那个地方</cp:lastModifiedBy>
  <dcterms:modified xsi:type="dcterms:W3CDTF">2026-04-09T07:06:27Z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6A9B8A4192A64192A999E3E7D289C571_11</vt:lpwstr>
  </property>
  <property fmtid="{D5CDD505-2E9C-101B-9397-08002B2CF9AE}" pid="4" name="KSOTemplateDocerSaveRecord">
    <vt:lpwstr>eyJoZGlkIjoiYTNiZTNmMDQ2MDMwZDBhNjAyYTdhZmM2YjVjMTExZjEiLCJ1c2VySWQiOiI5NTE3NzYzNzAifQ==</vt:lpwstr>
  </property>
</Properties>
</file>