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285CAC">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8A16FDA">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38A16FDA">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3CD78D36">
      <w:pPr>
        <w:pStyle w:val="13"/>
        <w:jc w:val="center"/>
        <w:rPr>
          <w:sz w:val="56"/>
          <w:szCs w:val="56"/>
        </w:rPr>
      </w:pPr>
    </w:p>
    <w:p w14:paraId="1446DF86">
      <w:pPr>
        <w:pStyle w:val="13"/>
        <w:jc w:val="center"/>
        <w:rPr>
          <w:sz w:val="84"/>
          <w:szCs w:val="84"/>
        </w:rPr>
      </w:pPr>
    </w:p>
    <w:p w14:paraId="5F69586B">
      <w:pPr>
        <w:pStyle w:val="13"/>
        <w:jc w:val="center"/>
        <w:rPr>
          <w:sz w:val="84"/>
          <w:szCs w:val="84"/>
        </w:rPr>
      </w:pPr>
    </w:p>
    <w:p w14:paraId="6ACDA2B7">
      <w:pPr>
        <w:pStyle w:val="13"/>
        <w:jc w:val="center"/>
        <w:rPr>
          <w:sz w:val="84"/>
          <w:szCs w:val="84"/>
        </w:rPr>
      </w:pPr>
    </w:p>
    <w:p w14:paraId="27595CBB">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2023年</w:t>
      </w:r>
      <w:r>
        <w:rPr>
          <w:rFonts w:hint="eastAsia" w:ascii="方正小标宋_GBK" w:hAnsi="方正小标宋_GBK" w:eastAsia="方正小标宋_GBK" w:cs="方正小标宋_GBK"/>
          <w:sz w:val="84"/>
          <w:szCs w:val="84"/>
        </w:rPr>
        <w:t>度</w:t>
      </w:r>
    </w:p>
    <w:p w14:paraId="4B4EA6CC">
      <w:pPr>
        <w:pStyle w:val="13"/>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rPr>
        <w:t>溆浦县教育</w:t>
      </w:r>
      <w:r>
        <w:rPr>
          <w:rFonts w:hint="eastAsia" w:ascii="方正小标宋_GBK" w:hAnsi="方正小标宋_GBK" w:eastAsia="方正小标宋_GBK" w:cs="方正小标宋_GBK"/>
          <w:sz w:val="84"/>
          <w:szCs w:val="84"/>
          <w:lang w:eastAsia="zh-CN"/>
        </w:rPr>
        <w:t>局（本级）</w:t>
      </w:r>
    </w:p>
    <w:p w14:paraId="7C39AFDB">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7D1CE12E">
      <w:pPr>
        <w:pStyle w:val="13"/>
        <w:jc w:val="center"/>
        <w:rPr>
          <w:rFonts w:ascii="方正小标宋_GBK" w:hAnsi="方正小标宋_GBK" w:eastAsia="方正小标宋_GBK" w:cs="方正小标宋_GBK"/>
          <w:sz w:val="56"/>
          <w:szCs w:val="56"/>
        </w:rPr>
      </w:pPr>
    </w:p>
    <w:p w14:paraId="108A5393">
      <w:pPr>
        <w:pStyle w:val="13"/>
        <w:jc w:val="center"/>
        <w:rPr>
          <w:sz w:val="56"/>
          <w:szCs w:val="56"/>
        </w:rPr>
      </w:pPr>
    </w:p>
    <w:p w14:paraId="04D37575">
      <w:pPr>
        <w:pStyle w:val="13"/>
        <w:jc w:val="center"/>
        <w:rPr>
          <w:sz w:val="56"/>
          <w:szCs w:val="56"/>
        </w:rPr>
      </w:pPr>
    </w:p>
    <w:p w14:paraId="488BDD76">
      <w:pPr>
        <w:pStyle w:val="13"/>
        <w:jc w:val="center"/>
        <w:rPr>
          <w:sz w:val="56"/>
          <w:szCs w:val="56"/>
        </w:rPr>
      </w:pPr>
    </w:p>
    <w:p w14:paraId="39E42B77">
      <w:pPr>
        <w:pStyle w:val="13"/>
        <w:jc w:val="center"/>
        <w:rPr>
          <w:sz w:val="32"/>
          <w:szCs w:val="32"/>
        </w:rPr>
      </w:pPr>
    </w:p>
    <w:p w14:paraId="5632494E">
      <w:pPr>
        <w:pStyle w:val="13"/>
        <w:jc w:val="center"/>
        <w:rPr>
          <w:sz w:val="32"/>
          <w:szCs w:val="32"/>
        </w:rPr>
      </w:pPr>
    </w:p>
    <w:p w14:paraId="1AFBB2CB">
      <w:pPr>
        <w:pStyle w:val="13"/>
        <w:spacing w:line="500" w:lineRule="exact"/>
        <w:ind w:firstLine="3975" w:firstLineChars="1100"/>
        <w:jc w:val="both"/>
        <w:rPr>
          <w:b/>
          <w:sz w:val="36"/>
          <w:szCs w:val="28"/>
        </w:rPr>
      </w:pPr>
      <w:r>
        <w:rPr>
          <w:rFonts w:hint="eastAsia"/>
          <w:b/>
          <w:sz w:val="36"/>
          <w:szCs w:val="28"/>
        </w:rPr>
        <w:t>目录</w:t>
      </w:r>
    </w:p>
    <w:p w14:paraId="559FCE9B">
      <w:pPr>
        <w:pStyle w:val="13"/>
        <w:spacing w:line="500" w:lineRule="exact"/>
        <w:rPr>
          <w:rFonts w:hAnsi="黑体"/>
          <w:bCs/>
          <w:sz w:val="28"/>
          <w:szCs w:val="28"/>
        </w:rPr>
      </w:pPr>
      <w:r>
        <w:rPr>
          <w:rFonts w:hint="eastAsia" w:hAnsi="黑体"/>
          <w:bCs/>
          <w:sz w:val="28"/>
          <w:szCs w:val="28"/>
        </w:rPr>
        <w:t>第一部分 溆浦县教育</w:t>
      </w:r>
      <w:r>
        <w:rPr>
          <w:rFonts w:hint="eastAsia" w:hAnsi="黑体"/>
          <w:bCs/>
          <w:sz w:val="28"/>
          <w:szCs w:val="28"/>
          <w:lang w:eastAsia="zh-CN"/>
        </w:rPr>
        <w:t>局（本级）</w:t>
      </w:r>
      <w:r>
        <w:rPr>
          <w:rFonts w:hint="eastAsia" w:hAnsi="黑体"/>
          <w:bCs/>
          <w:sz w:val="28"/>
          <w:szCs w:val="28"/>
        </w:rPr>
        <w:t>概况</w:t>
      </w:r>
    </w:p>
    <w:p w14:paraId="24C67015">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6B5AEDDC">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6602C8BD">
      <w:pPr>
        <w:pStyle w:val="13"/>
        <w:spacing w:line="500" w:lineRule="exact"/>
        <w:rPr>
          <w:rFonts w:hAnsi="黑体"/>
          <w:bCs/>
          <w:sz w:val="28"/>
          <w:szCs w:val="28"/>
        </w:rPr>
      </w:pPr>
      <w:r>
        <w:rPr>
          <w:rFonts w:hint="eastAsia" w:hAnsi="黑体"/>
          <w:bCs/>
          <w:sz w:val="28"/>
          <w:szCs w:val="28"/>
        </w:rPr>
        <w:t>第二部分 部门决算表</w:t>
      </w:r>
    </w:p>
    <w:p w14:paraId="1344F863">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46E5D3F0">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14244A3E">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0E9A2EB5">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50C4A1CB">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17D380CE">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1C39DE6F">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48EB2CF4">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5281DBA7">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29F0FD66">
      <w:pPr>
        <w:pStyle w:val="13"/>
        <w:spacing w:line="500" w:lineRule="exact"/>
        <w:rPr>
          <w:rFonts w:hAnsi="黑体"/>
          <w:bCs/>
          <w:sz w:val="28"/>
          <w:szCs w:val="28"/>
        </w:rPr>
      </w:pPr>
      <w:r>
        <w:rPr>
          <w:rFonts w:hint="eastAsia" w:hAnsi="黑体"/>
          <w:bCs/>
          <w:sz w:val="28"/>
          <w:szCs w:val="28"/>
        </w:rPr>
        <w:t>第三部分 部门决算情况说明</w:t>
      </w:r>
    </w:p>
    <w:p w14:paraId="60CB0787">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68FB45F2">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467BCFC3">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62DF4413">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60E1704A">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740A66A4">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7E74693A">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22A28A5F">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4FE7214F">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70EA8FD0">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6744CFAA">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3808DC12">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50A4C21F">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eastAsia" w:ascii="仿宋_GB2312" w:hAnsi="仿宋_GB2312" w:eastAsia="仿宋_GB2312" w:cs="仿宋_GB2312"/>
          <w:sz w:val="28"/>
          <w:szCs w:val="28"/>
          <w:lang w:val="en-US" w:eastAsia="zh-CN"/>
        </w:rPr>
        <w:t>2023年度</w:t>
      </w:r>
      <w:r>
        <w:rPr>
          <w:rFonts w:hint="eastAsia" w:ascii="仿宋_GB2312" w:hAnsi="仿宋_GB2312" w:eastAsia="仿宋_GB2312" w:cs="仿宋_GB2312"/>
          <w:sz w:val="28"/>
          <w:szCs w:val="28"/>
        </w:rPr>
        <w:t>预算绩效情况的说明</w:t>
      </w:r>
    </w:p>
    <w:p w14:paraId="22B210A6">
      <w:pPr>
        <w:pStyle w:val="13"/>
        <w:spacing w:line="500" w:lineRule="exact"/>
        <w:rPr>
          <w:rFonts w:hint="eastAsia" w:hAnsi="黑体"/>
          <w:bCs/>
          <w:sz w:val="28"/>
          <w:szCs w:val="28"/>
        </w:rPr>
      </w:pPr>
      <w:r>
        <w:rPr>
          <w:rFonts w:hint="eastAsia" w:hAnsi="黑体"/>
          <w:bCs/>
          <w:sz w:val="28"/>
          <w:szCs w:val="28"/>
        </w:rPr>
        <w:t>第四部分 名词解释</w:t>
      </w:r>
    </w:p>
    <w:p w14:paraId="67166ED4">
      <w:pPr>
        <w:pStyle w:val="13"/>
        <w:spacing w:line="500" w:lineRule="exact"/>
        <w:rPr>
          <w:rFonts w:hint="eastAsia" w:ascii="黑体" w:hAnsi="黑体" w:eastAsia="黑体" w:cs="黑体"/>
          <w:b w:val="0"/>
          <w:bCs/>
          <w:sz w:val="28"/>
          <w:szCs w:val="28"/>
          <w:lang w:eastAsia="zh-CN"/>
        </w:rPr>
      </w:pPr>
      <w:bookmarkStart w:id="0" w:name="OLE_LINK16"/>
      <w:bookmarkStart w:id="1" w:name="OLE_LINK1"/>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bookmarkEnd w:id="0"/>
    </w:p>
    <w:bookmarkEnd w:id="1"/>
    <w:p w14:paraId="22984254">
      <w:pPr>
        <w:pStyle w:val="13"/>
        <w:spacing w:line="500" w:lineRule="exact"/>
        <w:rPr>
          <w:rFonts w:hint="eastAsia" w:hAnsi="黑体"/>
          <w:bCs/>
          <w:sz w:val="28"/>
          <w:szCs w:val="28"/>
        </w:rPr>
      </w:pPr>
    </w:p>
    <w:p w14:paraId="65988CA1">
      <w:pPr>
        <w:jc w:val="center"/>
        <w:rPr>
          <w:sz w:val="72"/>
          <w:szCs w:val="72"/>
        </w:rPr>
      </w:pPr>
    </w:p>
    <w:p w14:paraId="2D618796">
      <w:pPr>
        <w:jc w:val="center"/>
        <w:rPr>
          <w:sz w:val="72"/>
          <w:szCs w:val="72"/>
        </w:rPr>
      </w:pPr>
    </w:p>
    <w:p w14:paraId="42E0A34E">
      <w:pPr>
        <w:jc w:val="center"/>
        <w:rPr>
          <w:sz w:val="72"/>
          <w:szCs w:val="72"/>
        </w:rPr>
      </w:pPr>
    </w:p>
    <w:p w14:paraId="318BE507">
      <w:pPr>
        <w:jc w:val="center"/>
        <w:rPr>
          <w:sz w:val="72"/>
          <w:szCs w:val="72"/>
        </w:rPr>
      </w:pPr>
    </w:p>
    <w:p w14:paraId="7CAD3B77">
      <w:pPr>
        <w:rPr>
          <w:rFonts w:ascii="方正小标宋_GBK" w:hAnsi="方正小标宋_GBK" w:eastAsia="方正小标宋_GBK" w:cs="方正小标宋_GBK"/>
          <w:sz w:val="72"/>
          <w:szCs w:val="72"/>
        </w:rPr>
      </w:pPr>
    </w:p>
    <w:p w14:paraId="213FF984">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50B764E5">
      <w:pPr>
        <w:pStyle w:val="13"/>
        <w:jc w:val="center"/>
        <w:rPr>
          <w:rFonts w:ascii="方正小标宋_GBK" w:hAnsi="方正小标宋_GBK" w:eastAsia="方正小标宋_GBK" w:cs="方正小标宋_GBK"/>
          <w:sz w:val="84"/>
          <w:szCs w:val="84"/>
        </w:rPr>
      </w:pPr>
    </w:p>
    <w:p w14:paraId="42D2322D">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溆浦县教育</w:t>
      </w:r>
      <w:r>
        <w:rPr>
          <w:rFonts w:hint="eastAsia" w:ascii="方正小标宋_GBK" w:hAnsi="方正小标宋_GBK" w:eastAsia="方正小标宋_GBK" w:cs="方正小标宋_GBK"/>
          <w:sz w:val="84"/>
          <w:szCs w:val="84"/>
          <w:lang w:eastAsia="zh-CN"/>
        </w:rPr>
        <w:t>局（本级）</w:t>
      </w:r>
      <w:r>
        <w:rPr>
          <w:rFonts w:hint="eastAsia" w:ascii="方正小标宋_GBK" w:hAnsi="方正小标宋_GBK" w:eastAsia="方正小标宋_GBK" w:cs="方正小标宋_GBK"/>
          <w:sz w:val="84"/>
          <w:szCs w:val="84"/>
        </w:rPr>
        <w:t>概况</w:t>
      </w:r>
    </w:p>
    <w:p w14:paraId="6BD310F0">
      <w:pPr>
        <w:jc w:val="center"/>
        <w:rPr>
          <w:rFonts w:ascii="方正小标宋_GBK" w:hAnsi="方正小标宋_GBK" w:eastAsia="方正小标宋_GBK" w:cs="方正小标宋_GBK"/>
          <w:sz w:val="72"/>
          <w:szCs w:val="72"/>
        </w:rPr>
      </w:pPr>
    </w:p>
    <w:p w14:paraId="5C802542">
      <w:pPr>
        <w:jc w:val="center"/>
        <w:rPr>
          <w:rFonts w:ascii="方正小标宋_GBK" w:hAnsi="方正小标宋_GBK" w:eastAsia="方正小标宋_GBK" w:cs="方正小标宋_GBK"/>
          <w:sz w:val="72"/>
          <w:szCs w:val="72"/>
        </w:rPr>
      </w:pPr>
    </w:p>
    <w:p w14:paraId="227562AE">
      <w:pPr>
        <w:jc w:val="center"/>
        <w:rPr>
          <w:sz w:val="72"/>
          <w:szCs w:val="72"/>
        </w:rPr>
      </w:pPr>
    </w:p>
    <w:p w14:paraId="14BB0CE1">
      <w:pPr>
        <w:jc w:val="center"/>
        <w:rPr>
          <w:sz w:val="72"/>
          <w:szCs w:val="72"/>
        </w:rPr>
      </w:pPr>
    </w:p>
    <w:p w14:paraId="1529FEC4">
      <w:pPr>
        <w:ind w:firstLine="640" w:firstLineChars="200"/>
        <w:jc w:val="left"/>
        <w:rPr>
          <w:rFonts w:ascii="黑体" w:hAnsi="黑体" w:eastAsia="黑体" w:cs="黑体"/>
          <w:sz w:val="32"/>
          <w:szCs w:val="32"/>
        </w:rPr>
      </w:pPr>
    </w:p>
    <w:p w14:paraId="2A871BEE">
      <w:pPr>
        <w:ind w:firstLine="640" w:firstLineChars="200"/>
        <w:jc w:val="left"/>
        <w:rPr>
          <w:rFonts w:hint="eastAsia" w:ascii="黑体" w:hAnsi="黑体" w:eastAsia="黑体" w:cs="黑体"/>
          <w:sz w:val="32"/>
          <w:szCs w:val="32"/>
        </w:rPr>
      </w:pPr>
    </w:p>
    <w:p w14:paraId="58310E8C">
      <w:pPr>
        <w:ind w:firstLine="640" w:firstLineChars="200"/>
        <w:jc w:val="left"/>
        <w:rPr>
          <w:rFonts w:ascii="黑体" w:hAnsi="黑体" w:eastAsia="黑体" w:cs="黑体"/>
          <w:sz w:val="32"/>
          <w:szCs w:val="32"/>
        </w:rPr>
      </w:pPr>
      <w:r>
        <w:rPr>
          <w:rFonts w:hint="eastAsia" w:ascii="黑体" w:hAnsi="黑体" w:eastAsia="黑体" w:cs="黑体"/>
          <w:sz w:val="32"/>
          <w:szCs w:val="32"/>
        </w:rPr>
        <w:t>一、部门职责</w:t>
      </w:r>
    </w:p>
    <w:p w14:paraId="2F06F3A5">
      <w:pPr>
        <w:ind w:firstLine="640" w:firstLineChars="20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（一）贯彻落实国家教育工作方针、政策和法律、法规、规章，制定实施意见并监督执行。</w:t>
      </w:r>
    </w:p>
    <w:p w14:paraId="40034D26">
      <w:pPr>
        <w:ind w:firstLine="640" w:firstLineChars="200"/>
        <w:jc w:val="left"/>
        <w:rPr>
          <w:rFonts w:ascii="宋体" w:hAnsi="宋体" w:cs="宋体"/>
          <w:color w:val="000000"/>
          <w:kern w:val="0"/>
          <w:sz w:val="28"/>
          <w:szCs w:val="28"/>
        </w:rPr>
      </w:pPr>
      <w:r>
        <w:rPr>
          <w:rFonts w:hint="eastAsia" w:ascii="宋体" w:hAnsi="宋体" w:cs="宋体"/>
          <w:sz w:val="32"/>
          <w:szCs w:val="32"/>
        </w:rPr>
        <w:t>（二）</w:t>
      </w:r>
      <w:r>
        <w:rPr>
          <w:rFonts w:hint="eastAsia" w:ascii="仿宋" w:hAnsi="仿宋" w:eastAsia="仿宋" w:cs="仿宋"/>
          <w:color w:val="000000"/>
          <w:kern w:val="0"/>
          <w:sz w:val="32"/>
          <w:szCs w:val="32"/>
        </w:rPr>
        <w:t>负责教育局机关日常工作运行。</w:t>
      </w:r>
    </w:p>
    <w:p w14:paraId="11D6B841">
      <w:pPr>
        <w:ind w:firstLine="640" w:firstLineChars="200"/>
        <w:jc w:val="left"/>
        <w:rPr>
          <w:rFonts w:ascii="Times New Roman" w:hAnsi="Times New Roman" w:eastAsia="仿宋_GB2312" w:cs="仿宋_GB2312"/>
          <w:sz w:val="32"/>
          <w:szCs w:val="32"/>
        </w:rPr>
      </w:pPr>
    </w:p>
    <w:p w14:paraId="5C6946A3">
      <w:pPr>
        <w:ind w:firstLine="640" w:firstLineChars="200"/>
        <w:jc w:val="left"/>
        <w:rPr>
          <w:rFonts w:hint="eastAsia" w:ascii="黑体" w:hAnsi="黑体" w:eastAsia="黑体" w:cs="黑体"/>
          <w:sz w:val="32"/>
          <w:szCs w:val="32"/>
        </w:rPr>
      </w:pPr>
      <w:r>
        <w:rPr>
          <w:rFonts w:hint="eastAsia" w:ascii="黑体" w:hAnsi="黑体" w:eastAsia="黑体" w:cs="黑体"/>
          <w:sz w:val="32"/>
          <w:szCs w:val="32"/>
        </w:rPr>
        <w:t>二、机构设置及决算单位构成</w:t>
      </w:r>
    </w:p>
    <w:p w14:paraId="7B569CF1">
      <w:pPr>
        <w:widowControl/>
        <w:spacing w:line="44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一）内设机构设置。溆浦县教育局机关内设机构行政股室包括：办公室、人事股、计财股、普教股、行政审批（法制股）、教育督导、职成股、党建办。二级事业单位9个包括：档案室1个，电教仪器站1个、教研室1个，就业指导中心1个，考试中心1个，勤工站1个，信息网络中心1个，学生资助中心1个，职称改革事务中心1个。</w:t>
      </w:r>
    </w:p>
    <w:p w14:paraId="365CD459">
      <w:pPr>
        <w:widowControl/>
        <w:spacing w:line="440" w:lineRule="exact"/>
        <w:ind w:firstLine="640" w:firstLineChars="200"/>
        <w:rPr>
          <w:rFonts w:hint="eastAsia" w:ascii="仿宋" w:hAnsi="仿宋" w:eastAsia="仿宋" w:cs="仿宋"/>
          <w:kern w:val="0"/>
          <w:sz w:val="32"/>
          <w:szCs w:val="32"/>
          <w:lang w:eastAsia="zh-CN"/>
        </w:rPr>
      </w:pPr>
      <w:r>
        <w:rPr>
          <w:rFonts w:hint="eastAsia" w:ascii="仿宋" w:hAnsi="仿宋" w:eastAsia="仿宋" w:cs="仿宋"/>
          <w:kern w:val="0"/>
          <w:sz w:val="32"/>
          <w:szCs w:val="32"/>
        </w:rPr>
        <w:t>（二）决算单位构成。溆浦县教育局机关</w:t>
      </w:r>
      <w:r>
        <w:rPr>
          <w:rFonts w:hint="eastAsia" w:ascii="仿宋" w:hAnsi="仿宋" w:eastAsia="仿宋" w:cs="仿宋"/>
          <w:kern w:val="0"/>
          <w:sz w:val="32"/>
          <w:szCs w:val="32"/>
          <w:lang w:eastAsia="zh-CN"/>
        </w:rPr>
        <w:t>202</w:t>
      </w: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年部门决算公开单位构成包括：溆浦县教育局机关本级</w:t>
      </w:r>
      <w:r>
        <w:rPr>
          <w:rFonts w:hint="eastAsia" w:ascii="仿宋" w:hAnsi="仿宋" w:eastAsia="仿宋" w:cs="仿宋"/>
          <w:kern w:val="0"/>
          <w:sz w:val="32"/>
          <w:szCs w:val="32"/>
          <w:lang w:eastAsia="zh-CN"/>
        </w:rPr>
        <w:t>。</w:t>
      </w:r>
    </w:p>
    <w:p w14:paraId="3215F482">
      <w:pPr>
        <w:widowControl/>
        <w:spacing w:line="600" w:lineRule="exact"/>
        <w:rPr>
          <w:rFonts w:hint="eastAsia" w:ascii="仿宋" w:hAnsi="仿宋" w:eastAsia="仿宋" w:cs="仿宋"/>
          <w:kern w:val="0"/>
          <w:sz w:val="32"/>
          <w:szCs w:val="32"/>
        </w:rPr>
      </w:pPr>
    </w:p>
    <w:p w14:paraId="652D2017">
      <w:pPr>
        <w:jc w:val="left"/>
        <w:rPr>
          <w:rFonts w:ascii="仿宋_GB2312" w:eastAsia="仿宋_GB2312" w:hAnsiTheme="minorEastAsia"/>
          <w:sz w:val="28"/>
          <w:szCs w:val="32"/>
        </w:rPr>
      </w:pPr>
    </w:p>
    <w:p w14:paraId="292D8B52">
      <w:pPr>
        <w:jc w:val="center"/>
        <w:rPr>
          <w:rFonts w:ascii="黑体" w:hAnsi="黑体" w:eastAsia="黑体"/>
          <w:sz w:val="28"/>
          <w:szCs w:val="28"/>
        </w:rPr>
      </w:pPr>
    </w:p>
    <w:p w14:paraId="1CE09294">
      <w:pPr>
        <w:jc w:val="center"/>
        <w:rPr>
          <w:rFonts w:ascii="黑体" w:hAnsi="黑体" w:eastAsia="黑体"/>
          <w:sz w:val="28"/>
          <w:szCs w:val="28"/>
        </w:rPr>
      </w:pPr>
    </w:p>
    <w:p w14:paraId="757428B9">
      <w:pPr>
        <w:jc w:val="both"/>
        <w:rPr>
          <w:rFonts w:ascii="黑体" w:hAnsi="黑体" w:eastAsia="黑体"/>
          <w:sz w:val="28"/>
          <w:szCs w:val="28"/>
        </w:rPr>
      </w:pPr>
    </w:p>
    <w:p w14:paraId="69BF6A80">
      <w:pPr>
        <w:jc w:val="center"/>
        <w:rPr>
          <w:rFonts w:ascii="黑体" w:hAnsi="黑体" w:eastAsia="黑体"/>
          <w:sz w:val="28"/>
          <w:szCs w:val="28"/>
        </w:rPr>
      </w:pPr>
    </w:p>
    <w:p w14:paraId="5279B576">
      <w:pPr>
        <w:jc w:val="center"/>
        <w:rPr>
          <w:rFonts w:ascii="黑体" w:hAnsi="黑体" w:eastAsia="黑体"/>
          <w:sz w:val="28"/>
          <w:szCs w:val="28"/>
        </w:rPr>
      </w:pPr>
    </w:p>
    <w:p w14:paraId="7AED3C68">
      <w:pPr>
        <w:jc w:val="center"/>
        <w:rPr>
          <w:rFonts w:ascii="黑体" w:hAnsi="黑体" w:eastAsia="黑体"/>
          <w:sz w:val="28"/>
          <w:szCs w:val="28"/>
        </w:rPr>
      </w:pPr>
    </w:p>
    <w:p w14:paraId="00D0ACA8">
      <w:pPr>
        <w:jc w:val="center"/>
        <w:rPr>
          <w:rFonts w:ascii="黑体" w:hAnsi="黑体" w:eastAsia="黑体"/>
          <w:sz w:val="28"/>
          <w:szCs w:val="28"/>
        </w:rPr>
      </w:pPr>
    </w:p>
    <w:p w14:paraId="5AE14E0B">
      <w:pPr>
        <w:jc w:val="center"/>
        <w:rPr>
          <w:rFonts w:ascii="黑体" w:hAnsi="黑体" w:eastAsia="黑体"/>
          <w:sz w:val="28"/>
          <w:szCs w:val="28"/>
        </w:rPr>
      </w:pPr>
    </w:p>
    <w:p w14:paraId="22828589">
      <w:pPr>
        <w:jc w:val="center"/>
        <w:rPr>
          <w:rFonts w:ascii="黑体" w:hAnsi="黑体" w:eastAsia="黑体"/>
          <w:sz w:val="28"/>
          <w:szCs w:val="28"/>
        </w:rPr>
      </w:pPr>
    </w:p>
    <w:p w14:paraId="05C030F0">
      <w:pPr>
        <w:jc w:val="center"/>
        <w:rPr>
          <w:rFonts w:ascii="黑体" w:hAnsi="黑体" w:eastAsia="黑体"/>
          <w:sz w:val="28"/>
          <w:szCs w:val="28"/>
        </w:rPr>
      </w:pPr>
    </w:p>
    <w:p w14:paraId="593AEA5F">
      <w:pPr>
        <w:jc w:val="center"/>
        <w:rPr>
          <w:rFonts w:ascii="黑体" w:hAnsi="黑体" w:eastAsia="黑体"/>
          <w:sz w:val="28"/>
          <w:szCs w:val="28"/>
        </w:rPr>
      </w:pPr>
    </w:p>
    <w:p w14:paraId="3CAE3EE1">
      <w:pPr>
        <w:jc w:val="center"/>
        <w:rPr>
          <w:rFonts w:ascii="黑体" w:hAnsi="黑体" w:eastAsia="黑体"/>
          <w:sz w:val="28"/>
          <w:szCs w:val="28"/>
        </w:rPr>
      </w:pPr>
    </w:p>
    <w:p w14:paraId="7D23E9C3">
      <w:pPr>
        <w:pStyle w:val="13"/>
        <w:ind w:firstLine="3360" w:firstLineChars="400"/>
        <w:jc w:val="both"/>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7EEF000E">
      <w:pPr>
        <w:pStyle w:val="13"/>
        <w:ind w:firstLine="3360" w:firstLineChars="400"/>
        <w:jc w:val="both"/>
        <w:rPr>
          <w:rFonts w:hint="eastAsia" w:ascii="方正小标宋_GBK" w:hAnsi="方正小标宋_GBK" w:eastAsia="方正小标宋_GBK" w:cs="方正小标宋_GBK"/>
          <w:sz w:val="84"/>
          <w:szCs w:val="84"/>
        </w:rPr>
      </w:pPr>
    </w:p>
    <w:p w14:paraId="51BB8DA4">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23AE13D7">
      <w:pPr>
        <w:jc w:val="center"/>
        <w:rPr>
          <w:sz w:val="72"/>
          <w:szCs w:val="72"/>
        </w:rPr>
      </w:pPr>
    </w:p>
    <w:p w14:paraId="20C6F5E7">
      <w:pPr>
        <w:jc w:val="center"/>
        <w:rPr>
          <w:sz w:val="72"/>
          <w:szCs w:val="72"/>
        </w:rPr>
      </w:pPr>
    </w:p>
    <w:p w14:paraId="71FC6184">
      <w:pPr>
        <w:jc w:val="center"/>
        <w:rPr>
          <w:sz w:val="72"/>
          <w:szCs w:val="72"/>
        </w:rPr>
      </w:pPr>
    </w:p>
    <w:p w14:paraId="185A26E5">
      <w:pPr>
        <w:jc w:val="center"/>
        <w:rPr>
          <w:sz w:val="72"/>
          <w:szCs w:val="72"/>
        </w:rPr>
      </w:pPr>
    </w:p>
    <w:p w14:paraId="2A2283EC">
      <w:pPr>
        <w:jc w:val="center"/>
        <w:rPr>
          <w:sz w:val="72"/>
          <w:szCs w:val="72"/>
        </w:rPr>
      </w:pPr>
    </w:p>
    <w:p w14:paraId="692FAFA3">
      <w:pPr>
        <w:jc w:val="center"/>
        <w:rPr>
          <w:sz w:val="72"/>
          <w:szCs w:val="72"/>
        </w:rPr>
      </w:pPr>
    </w:p>
    <w:p w14:paraId="210308B9">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17"/>
        <w:gridCol w:w="811"/>
        <w:gridCol w:w="1490"/>
        <w:gridCol w:w="4345"/>
        <w:gridCol w:w="811"/>
        <w:gridCol w:w="1996"/>
      </w:tblGrid>
      <w:tr w14:paraId="22693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noWrap/>
            <w:vAlign w:val="center"/>
          </w:tcPr>
          <w:p w14:paraId="594AE818">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收入支出决算总表</w:t>
            </w:r>
          </w:p>
        </w:tc>
      </w:tr>
      <w:tr w14:paraId="091CB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1BE8C7E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10AB11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6C6D0B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E6AEB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9BDB6A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A32830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2DF86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3FA9616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部门：溆浦县教育局</w:t>
            </w:r>
          </w:p>
        </w:tc>
        <w:tc>
          <w:tcPr>
            <w:tcW w:w="0" w:type="auto"/>
            <w:tcBorders>
              <w:top w:val="nil"/>
              <w:left w:val="nil"/>
              <w:bottom w:val="nil"/>
              <w:right w:val="nil"/>
            </w:tcBorders>
            <w:shd w:val="clear" w:color="auto" w:fill="auto"/>
            <w:noWrap/>
            <w:vAlign w:val="center"/>
          </w:tcPr>
          <w:p w14:paraId="3DAB1A4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64D3CC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129C78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67FB45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9B1C8F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ECC7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3C6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A4F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7983D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0D6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1D2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8BF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98E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FAA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C4A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1F015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E76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80BF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F58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A07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1660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843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42212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317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910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2CB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20,625.52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28F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1DD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631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r>
      <w:tr w14:paraId="3A1AC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054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891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9E7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2A6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7C5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10E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270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107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367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52C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8B0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E37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9F2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B82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9E1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A33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3A3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079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3F8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792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64F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812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EC6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0F9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966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E01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7EC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20,933.04</w:t>
            </w:r>
          </w:p>
        </w:tc>
      </w:tr>
      <w:tr w14:paraId="43B97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794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83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734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C7E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8E1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465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8F9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586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989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8CC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71B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AA9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9F6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6E6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DE3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DE2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645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F99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2C7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B2B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72.96</w:t>
            </w:r>
          </w:p>
        </w:tc>
      </w:tr>
      <w:tr w14:paraId="27318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8167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5B6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54D5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A74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166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2E3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7A9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63D6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D44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87CB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057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D32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33E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7DA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DD17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11C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798D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A73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1A1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843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C0B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8351B">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7BB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6BD7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5ED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473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8A9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F79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B63E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3B0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E201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D99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13E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269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610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C87F3">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F93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AE08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EAC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D39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823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B88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B953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488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AEF3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254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738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2BD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A9A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6FE2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7F2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8759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2B9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FE7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DF1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D4C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206E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CF8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439D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C67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59F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6AA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2DB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976C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501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7DBE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97D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E77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732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205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1891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85E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EBF0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D69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B03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DCF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61E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BD78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670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200F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1E8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8F0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815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E91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63FB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782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B98A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4AB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2FF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2C6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23E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8DDD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DC9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9F99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A1F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912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B53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EE9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AA54F">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8F4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5721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362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984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080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47C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DBA99">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51E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F3C08">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A95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9E7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52C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3CE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B576E">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51F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AAEEF">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A29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11C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B9A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D658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5C80D">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D39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88055">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983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2AA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80A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F7B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545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B8D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07D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21,008.40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3A6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20D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B8C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21,008.40</w:t>
            </w:r>
          </w:p>
        </w:tc>
      </w:tr>
      <w:tr w14:paraId="109CE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1C1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使用非财政拨款结余和专用结余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0A2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6F8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401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109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670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AD2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009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B17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BFD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E9E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92B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F4A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89D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C72D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4A6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870C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8A0A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D9B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337ED">
            <w:pPr>
              <w:jc w:val="left"/>
              <w:rPr>
                <w:rFonts w:hint="eastAsia" w:ascii="宋体" w:hAnsi="宋体" w:eastAsia="宋体" w:cs="宋体"/>
                <w:i w:val="0"/>
                <w:iCs w:val="0"/>
                <w:color w:val="000000"/>
                <w:sz w:val="22"/>
                <w:szCs w:val="22"/>
                <w:u w:val="none"/>
              </w:rPr>
            </w:pPr>
          </w:p>
        </w:tc>
      </w:tr>
      <w:tr w14:paraId="7B57F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023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A23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B0D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21,008.40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8D3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549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BEF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21,008.40</w:t>
            </w:r>
          </w:p>
        </w:tc>
      </w:tr>
      <w:tr w14:paraId="2D816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4DEFC4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65236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44714D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6A170282">
      <w:pPr>
        <w:widowControl/>
        <w:jc w:val="center"/>
        <w:rPr>
          <w:rFonts w:hint="eastAsia" w:ascii="Times New Roman" w:hAnsi="Times New Roman" w:eastAsia="方正小标宋_GBK" w:cs="Times New Roman"/>
          <w:color w:val="000000"/>
          <w:kern w:val="0"/>
          <w:sz w:val="36"/>
          <w:szCs w:val="36"/>
        </w:rPr>
      </w:pPr>
    </w:p>
    <w:p w14:paraId="71956D1B">
      <w:pPr>
        <w:pStyle w:val="7"/>
        <w:rPr>
          <w:rFonts w:hint="eastAsia" w:ascii="Times New Roman" w:hAnsi="Times New Roman" w:eastAsia="方正小标宋_GBK" w:cs="Times New Roman"/>
          <w:color w:val="000000"/>
          <w:kern w:val="0"/>
          <w:sz w:val="36"/>
          <w:szCs w:val="36"/>
        </w:rPr>
      </w:pPr>
    </w:p>
    <w:p w14:paraId="6ED937F9">
      <w:pPr>
        <w:pStyle w:val="2"/>
        <w:rPr>
          <w:rFonts w:hint="eastAsia" w:ascii="Times New Roman" w:hAnsi="Times New Roman" w:eastAsia="方正小标宋_GBK" w:cs="Times New Roman"/>
          <w:color w:val="000000"/>
          <w:kern w:val="0"/>
          <w:sz w:val="36"/>
          <w:szCs w:val="36"/>
        </w:rPr>
      </w:pPr>
    </w:p>
    <w:p w14:paraId="51D75DB8">
      <w:pPr>
        <w:rPr>
          <w:rFonts w:hint="eastAsia" w:ascii="Times New Roman" w:hAnsi="Times New Roman" w:eastAsia="方正小标宋_GBK" w:cs="Times New Roman"/>
          <w:color w:val="000000"/>
          <w:kern w:val="0"/>
          <w:sz w:val="36"/>
          <w:szCs w:val="36"/>
        </w:rPr>
      </w:pPr>
    </w:p>
    <w:p w14:paraId="2455044D">
      <w:pPr>
        <w:pStyle w:val="7"/>
        <w:rPr>
          <w:rFonts w:hint="eastAsia" w:ascii="Times New Roman" w:hAnsi="Times New Roman" w:eastAsia="方正小标宋_GBK" w:cs="Times New Roman"/>
          <w:color w:val="000000"/>
          <w:kern w:val="0"/>
          <w:sz w:val="36"/>
          <w:szCs w:val="36"/>
        </w:rPr>
      </w:pPr>
    </w:p>
    <w:p w14:paraId="401CF250">
      <w:pPr>
        <w:pStyle w:val="2"/>
        <w:rPr>
          <w:rFonts w:hint="eastAsia" w:ascii="Times New Roman" w:hAnsi="Times New Roman" w:eastAsia="方正小标宋_GBK" w:cs="Times New Roman"/>
          <w:color w:val="000000"/>
          <w:kern w:val="0"/>
          <w:sz w:val="36"/>
          <w:szCs w:val="36"/>
        </w:rPr>
      </w:pPr>
    </w:p>
    <w:p w14:paraId="426EB5F1">
      <w:pPr>
        <w:rPr>
          <w:rFonts w:hint="eastAsia" w:ascii="Times New Roman" w:hAnsi="Times New Roman" w:eastAsia="方正小标宋_GBK" w:cs="Times New Roman"/>
          <w:color w:val="000000"/>
          <w:kern w:val="0"/>
          <w:sz w:val="36"/>
          <w:szCs w:val="36"/>
        </w:rPr>
      </w:pPr>
    </w:p>
    <w:p w14:paraId="35C35995">
      <w:pPr>
        <w:pStyle w:val="7"/>
        <w:rPr>
          <w:rFonts w:hint="eastAsia" w:ascii="Times New Roman" w:hAnsi="Times New Roman" w:eastAsia="方正小标宋_GBK" w:cs="Times New Roman"/>
          <w:color w:val="000000"/>
          <w:kern w:val="0"/>
          <w:sz w:val="36"/>
          <w:szCs w:val="36"/>
        </w:rPr>
      </w:pPr>
    </w:p>
    <w:p w14:paraId="269ED235">
      <w:pPr>
        <w:pStyle w:val="2"/>
        <w:rPr>
          <w:rFonts w:hint="eastAsia" w:ascii="Times New Roman" w:hAnsi="Times New Roman" w:eastAsia="方正小标宋_GBK" w:cs="Times New Roman"/>
          <w:color w:val="000000"/>
          <w:kern w:val="0"/>
          <w:sz w:val="36"/>
          <w:szCs w:val="36"/>
        </w:rPr>
      </w:pPr>
    </w:p>
    <w:p w14:paraId="37EF5EE4">
      <w:pPr>
        <w:rPr>
          <w:rFonts w:hint="eastAsia" w:ascii="Times New Roman" w:hAnsi="Times New Roman" w:eastAsia="方正小标宋_GBK" w:cs="Times New Roman"/>
          <w:color w:val="000000"/>
          <w:kern w:val="0"/>
          <w:sz w:val="36"/>
          <w:szCs w:val="36"/>
        </w:rPr>
      </w:pPr>
    </w:p>
    <w:p w14:paraId="43E08E4A">
      <w:pPr>
        <w:pStyle w:val="7"/>
        <w:rPr>
          <w:rFonts w:hint="eastAsia" w:ascii="Times New Roman" w:hAnsi="Times New Roman" w:eastAsia="方正小标宋_GBK" w:cs="Times New Roman"/>
          <w:color w:val="000000"/>
          <w:kern w:val="0"/>
          <w:sz w:val="36"/>
          <w:szCs w:val="36"/>
        </w:rPr>
      </w:pPr>
    </w:p>
    <w:p w14:paraId="61F3C412">
      <w:pPr>
        <w:pStyle w:val="2"/>
        <w:rPr>
          <w:rFonts w:hint="eastAsia" w:ascii="Times New Roman" w:hAnsi="Times New Roman" w:eastAsia="方正小标宋_GBK" w:cs="Times New Roman"/>
          <w:color w:val="000000"/>
          <w:kern w:val="0"/>
          <w:sz w:val="36"/>
          <w:szCs w:val="36"/>
        </w:rPr>
      </w:pPr>
    </w:p>
    <w:p w14:paraId="1E36BE18">
      <w:pPr>
        <w:rPr>
          <w:rFonts w:hint="eastAsia"/>
        </w:rPr>
      </w:pPr>
    </w:p>
    <w:tbl>
      <w:tblPr>
        <w:tblStyle w:val="9"/>
        <w:tblW w:w="157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358"/>
        <w:gridCol w:w="260"/>
        <w:gridCol w:w="260"/>
        <w:gridCol w:w="2826"/>
        <w:gridCol w:w="1664"/>
        <w:gridCol w:w="1664"/>
        <w:gridCol w:w="1165"/>
        <w:gridCol w:w="1165"/>
        <w:gridCol w:w="1165"/>
        <w:gridCol w:w="1165"/>
        <w:gridCol w:w="2028"/>
      </w:tblGrid>
      <w:tr w14:paraId="6DFD8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15720" w:type="dxa"/>
            <w:gridSpan w:val="11"/>
            <w:tcBorders>
              <w:top w:val="nil"/>
              <w:left w:val="nil"/>
              <w:bottom w:val="nil"/>
              <w:right w:val="nil"/>
            </w:tcBorders>
            <w:shd w:val="clear" w:color="auto" w:fill="auto"/>
            <w:noWrap/>
            <w:vAlign w:val="center"/>
          </w:tcPr>
          <w:p w14:paraId="2E811F05">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收入决算表</w:t>
            </w:r>
          </w:p>
        </w:tc>
      </w:tr>
      <w:tr w14:paraId="51E37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0" w:type="auto"/>
            <w:tcBorders>
              <w:top w:val="nil"/>
              <w:left w:val="nil"/>
              <w:bottom w:val="nil"/>
              <w:right w:val="nil"/>
            </w:tcBorders>
            <w:shd w:val="clear" w:color="auto" w:fill="auto"/>
            <w:noWrap/>
            <w:vAlign w:val="center"/>
          </w:tcPr>
          <w:p w14:paraId="2C56FAB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BA6850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96F6E6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0698D6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DFE910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3B3F4F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C160D8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0A0639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ABE2CC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E6F6AA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6A062F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129E9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0" w:type="auto"/>
            <w:tcBorders>
              <w:top w:val="nil"/>
              <w:left w:val="nil"/>
              <w:bottom w:val="nil"/>
              <w:right w:val="nil"/>
            </w:tcBorders>
            <w:shd w:val="clear" w:color="auto" w:fill="auto"/>
            <w:noWrap/>
            <w:vAlign w:val="bottom"/>
          </w:tcPr>
          <w:p w14:paraId="20BB58E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部门：溆浦县教育局</w:t>
            </w:r>
          </w:p>
        </w:tc>
        <w:tc>
          <w:tcPr>
            <w:tcW w:w="0" w:type="auto"/>
            <w:tcBorders>
              <w:top w:val="nil"/>
              <w:left w:val="nil"/>
              <w:bottom w:val="nil"/>
              <w:right w:val="nil"/>
            </w:tcBorders>
            <w:shd w:val="clear" w:color="auto" w:fill="auto"/>
            <w:noWrap/>
            <w:vAlign w:val="center"/>
          </w:tcPr>
          <w:p w14:paraId="2CCAC40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FE9C81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49237F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7AB513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1452CA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0A44C7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198A2A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B0FCB4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F8906B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DF215B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B927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C21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A142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0325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3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E924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3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D38B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3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D3AA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3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4870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8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B46E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6FE62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6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8D18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6CB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9F13B">
            <w:pPr>
              <w:jc w:val="center"/>
              <w:rPr>
                <w:rFonts w:hint="eastAsia" w:ascii="宋体" w:hAnsi="宋体" w:eastAsia="宋体" w:cs="宋体"/>
                <w:i w:val="0"/>
                <w:iCs w:val="0"/>
                <w:color w:val="000000"/>
                <w:sz w:val="22"/>
                <w:szCs w:val="22"/>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F92841">
            <w:pPr>
              <w:jc w:val="center"/>
              <w:rPr>
                <w:rFonts w:hint="eastAsia" w:ascii="宋体" w:hAnsi="宋体" w:eastAsia="宋体" w:cs="宋体"/>
                <w:i w:val="0"/>
                <w:iCs w:val="0"/>
                <w:color w:val="000000"/>
                <w:sz w:val="22"/>
                <w:szCs w:val="22"/>
                <w:u w:val="none"/>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43C15">
            <w:pPr>
              <w:jc w:val="center"/>
              <w:rPr>
                <w:rFonts w:hint="eastAsia" w:ascii="宋体" w:hAnsi="宋体" w:eastAsia="宋体" w:cs="宋体"/>
                <w:i w:val="0"/>
                <w:iCs w:val="0"/>
                <w:color w:val="000000"/>
                <w:sz w:val="22"/>
                <w:szCs w:val="22"/>
                <w:u w:val="none"/>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25540">
            <w:pPr>
              <w:jc w:val="center"/>
              <w:rPr>
                <w:rFonts w:hint="eastAsia" w:ascii="宋体" w:hAnsi="宋体" w:eastAsia="宋体" w:cs="宋体"/>
                <w:i w:val="0"/>
                <w:iCs w:val="0"/>
                <w:color w:val="000000"/>
                <w:sz w:val="22"/>
                <w:szCs w:val="22"/>
                <w:u w:val="none"/>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8901C">
            <w:pPr>
              <w:jc w:val="center"/>
              <w:rPr>
                <w:rFonts w:hint="eastAsia" w:ascii="宋体" w:hAnsi="宋体" w:eastAsia="宋体" w:cs="宋体"/>
                <w:i w:val="0"/>
                <w:iCs w:val="0"/>
                <w:color w:val="000000"/>
                <w:sz w:val="22"/>
                <w:szCs w:val="22"/>
                <w:u w:val="none"/>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E909B">
            <w:pPr>
              <w:jc w:val="center"/>
              <w:rPr>
                <w:rFonts w:hint="eastAsia" w:ascii="宋体" w:hAnsi="宋体" w:eastAsia="宋体" w:cs="宋体"/>
                <w:i w:val="0"/>
                <w:iCs w:val="0"/>
                <w:color w:val="000000"/>
                <w:sz w:val="22"/>
                <w:szCs w:val="22"/>
                <w:u w:val="none"/>
              </w:rPr>
            </w:pPr>
          </w:p>
        </w:tc>
        <w:tc>
          <w:tcPr>
            <w:tcW w:w="18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E5D81">
            <w:pPr>
              <w:jc w:val="center"/>
              <w:rPr>
                <w:rFonts w:hint="eastAsia" w:ascii="宋体" w:hAnsi="宋体" w:eastAsia="宋体" w:cs="宋体"/>
                <w:i w:val="0"/>
                <w:iCs w:val="0"/>
                <w:color w:val="000000"/>
                <w:sz w:val="22"/>
                <w:szCs w:val="22"/>
                <w:u w:val="none"/>
              </w:rPr>
            </w:pPr>
          </w:p>
        </w:tc>
      </w:tr>
      <w:tr w14:paraId="134C2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D9667">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F6B49">
            <w:pPr>
              <w:jc w:val="center"/>
              <w:rPr>
                <w:rFonts w:hint="eastAsia" w:ascii="宋体" w:hAnsi="宋体" w:eastAsia="宋体" w:cs="宋体"/>
                <w:i w:val="0"/>
                <w:iCs w:val="0"/>
                <w:color w:val="000000"/>
                <w:sz w:val="22"/>
                <w:szCs w:val="22"/>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F304E">
            <w:pPr>
              <w:jc w:val="center"/>
              <w:rPr>
                <w:rFonts w:hint="eastAsia" w:ascii="宋体" w:hAnsi="宋体" w:eastAsia="宋体" w:cs="宋体"/>
                <w:i w:val="0"/>
                <w:iCs w:val="0"/>
                <w:color w:val="000000"/>
                <w:sz w:val="22"/>
                <w:szCs w:val="22"/>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A196D">
            <w:pPr>
              <w:jc w:val="center"/>
              <w:rPr>
                <w:rFonts w:hint="eastAsia" w:ascii="宋体" w:hAnsi="宋体" w:eastAsia="宋体" w:cs="宋体"/>
                <w:i w:val="0"/>
                <w:iCs w:val="0"/>
                <w:color w:val="000000"/>
                <w:sz w:val="22"/>
                <w:szCs w:val="22"/>
                <w:u w:val="none"/>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8CB6C">
            <w:pPr>
              <w:jc w:val="center"/>
              <w:rPr>
                <w:rFonts w:hint="eastAsia" w:ascii="宋体" w:hAnsi="宋体" w:eastAsia="宋体" w:cs="宋体"/>
                <w:i w:val="0"/>
                <w:iCs w:val="0"/>
                <w:color w:val="000000"/>
                <w:sz w:val="22"/>
                <w:szCs w:val="22"/>
                <w:u w:val="none"/>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AD49B">
            <w:pPr>
              <w:jc w:val="center"/>
              <w:rPr>
                <w:rFonts w:hint="eastAsia" w:ascii="宋体" w:hAnsi="宋体" w:eastAsia="宋体" w:cs="宋体"/>
                <w:i w:val="0"/>
                <w:iCs w:val="0"/>
                <w:color w:val="000000"/>
                <w:sz w:val="22"/>
                <w:szCs w:val="22"/>
                <w:u w:val="none"/>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FD6CD">
            <w:pPr>
              <w:jc w:val="center"/>
              <w:rPr>
                <w:rFonts w:hint="eastAsia" w:ascii="宋体" w:hAnsi="宋体" w:eastAsia="宋体" w:cs="宋体"/>
                <w:i w:val="0"/>
                <w:iCs w:val="0"/>
                <w:color w:val="000000"/>
                <w:sz w:val="22"/>
                <w:szCs w:val="22"/>
                <w:u w:val="none"/>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CACF4">
            <w:pPr>
              <w:jc w:val="center"/>
              <w:rPr>
                <w:rFonts w:hint="eastAsia" w:ascii="宋体" w:hAnsi="宋体" w:eastAsia="宋体" w:cs="宋体"/>
                <w:i w:val="0"/>
                <w:iCs w:val="0"/>
                <w:color w:val="000000"/>
                <w:sz w:val="22"/>
                <w:szCs w:val="22"/>
                <w:u w:val="none"/>
              </w:rPr>
            </w:pPr>
          </w:p>
        </w:tc>
        <w:tc>
          <w:tcPr>
            <w:tcW w:w="18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2038F">
            <w:pPr>
              <w:jc w:val="center"/>
              <w:rPr>
                <w:rFonts w:hint="eastAsia" w:ascii="宋体" w:hAnsi="宋体" w:eastAsia="宋体" w:cs="宋体"/>
                <w:i w:val="0"/>
                <w:iCs w:val="0"/>
                <w:color w:val="000000"/>
                <w:sz w:val="22"/>
                <w:szCs w:val="22"/>
                <w:u w:val="none"/>
              </w:rPr>
            </w:pPr>
          </w:p>
        </w:tc>
      </w:tr>
      <w:tr w14:paraId="34ACD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6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3C7B2">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CDE9D">
            <w:pPr>
              <w:jc w:val="center"/>
              <w:rPr>
                <w:rFonts w:hint="eastAsia" w:ascii="宋体" w:hAnsi="宋体" w:eastAsia="宋体" w:cs="宋体"/>
                <w:i w:val="0"/>
                <w:iCs w:val="0"/>
                <w:color w:val="000000"/>
                <w:sz w:val="22"/>
                <w:szCs w:val="22"/>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A56F4">
            <w:pPr>
              <w:jc w:val="center"/>
              <w:rPr>
                <w:rFonts w:hint="eastAsia" w:ascii="宋体" w:hAnsi="宋体" w:eastAsia="宋体" w:cs="宋体"/>
                <w:i w:val="0"/>
                <w:iCs w:val="0"/>
                <w:color w:val="000000"/>
                <w:sz w:val="22"/>
                <w:szCs w:val="22"/>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DEC5A">
            <w:pPr>
              <w:jc w:val="center"/>
              <w:rPr>
                <w:rFonts w:hint="eastAsia" w:ascii="宋体" w:hAnsi="宋体" w:eastAsia="宋体" w:cs="宋体"/>
                <w:i w:val="0"/>
                <w:iCs w:val="0"/>
                <w:color w:val="000000"/>
                <w:sz w:val="22"/>
                <w:szCs w:val="22"/>
                <w:u w:val="none"/>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FD416">
            <w:pPr>
              <w:jc w:val="center"/>
              <w:rPr>
                <w:rFonts w:hint="eastAsia" w:ascii="宋体" w:hAnsi="宋体" w:eastAsia="宋体" w:cs="宋体"/>
                <w:i w:val="0"/>
                <w:iCs w:val="0"/>
                <w:color w:val="000000"/>
                <w:sz w:val="22"/>
                <w:szCs w:val="22"/>
                <w:u w:val="none"/>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065CE">
            <w:pPr>
              <w:jc w:val="center"/>
              <w:rPr>
                <w:rFonts w:hint="eastAsia" w:ascii="宋体" w:hAnsi="宋体" w:eastAsia="宋体" w:cs="宋体"/>
                <w:i w:val="0"/>
                <w:iCs w:val="0"/>
                <w:color w:val="000000"/>
                <w:sz w:val="22"/>
                <w:szCs w:val="22"/>
                <w:u w:val="none"/>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01EEF">
            <w:pPr>
              <w:jc w:val="center"/>
              <w:rPr>
                <w:rFonts w:hint="eastAsia" w:ascii="宋体" w:hAnsi="宋体" w:eastAsia="宋体" w:cs="宋体"/>
                <w:i w:val="0"/>
                <w:iCs w:val="0"/>
                <w:color w:val="000000"/>
                <w:sz w:val="22"/>
                <w:szCs w:val="22"/>
                <w:u w:val="none"/>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08823">
            <w:pPr>
              <w:jc w:val="center"/>
              <w:rPr>
                <w:rFonts w:hint="eastAsia" w:ascii="宋体" w:hAnsi="宋体" w:eastAsia="宋体" w:cs="宋体"/>
                <w:i w:val="0"/>
                <w:iCs w:val="0"/>
                <w:color w:val="000000"/>
                <w:sz w:val="22"/>
                <w:szCs w:val="22"/>
                <w:u w:val="none"/>
              </w:rPr>
            </w:pPr>
          </w:p>
        </w:tc>
        <w:tc>
          <w:tcPr>
            <w:tcW w:w="18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2951C">
            <w:pPr>
              <w:jc w:val="center"/>
              <w:rPr>
                <w:rFonts w:hint="eastAsia" w:ascii="宋体" w:hAnsi="宋体" w:eastAsia="宋体" w:cs="宋体"/>
                <w:i w:val="0"/>
                <w:iCs w:val="0"/>
                <w:color w:val="000000"/>
                <w:sz w:val="22"/>
                <w:szCs w:val="22"/>
                <w:u w:val="none"/>
              </w:rPr>
            </w:pPr>
          </w:p>
        </w:tc>
      </w:tr>
      <w:tr w14:paraId="5E341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806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07A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0E6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50E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90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676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967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41E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352DC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8FB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AC6F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21,008.40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8139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20,625.52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4C73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890B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C521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479D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14FA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382.89</w:t>
            </w:r>
          </w:p>
        </w:tc>
      </w:tr>
      <w:tr w14:paraId="1D4A8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987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AF1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B75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595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C74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8B1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400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41F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250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E58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67F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4B2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302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74E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D7C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CE1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279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8A6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976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5A3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BBB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527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E4C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8E0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0BA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0AA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0F7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661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F16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296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A9B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893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F33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20,933.04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849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20,550.15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A67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62B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8B0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5B0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D71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382.89</w:t>
            </w:r>
          </w:p>
        </w:tc>
      </w:tr>
      <w:tr w14:paraId="3B04D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08D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FE9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3EE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3,978.18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829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3,595.29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8E8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83A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189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5D6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7C7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382.89</w:t>
            </w:r>
          </w:p>
        </w:tc>
      </w:tr>
      <w:tr w14:paraId="04963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541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FD9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644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729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1,698.82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F02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1A5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AE6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D55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605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382.89</w:t>
            </w:r>
          </w:p>
        </w:tc>
      </w:tr>
      <w:tr w14:paraId="03D9A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F9F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E84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703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621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12E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58A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19A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030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C7C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1F1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DC0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F91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其他教育管理事务支出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403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1,648.78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A40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1,648.78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D6F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E62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68D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287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89C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4F6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3F3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A50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A92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4,757.27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5AD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4,757.27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5C7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F65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141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8E3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5A5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FBA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0EA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62D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学前教育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673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251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D40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C3C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4C6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14C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244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058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97F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614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FD7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1,569.74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AB3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1,569.74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A3D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F8C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A65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E58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659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878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29B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4BC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初中教育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0CB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960.51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7E9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960.51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13F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D62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B16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34D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D2C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984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C4D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B49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高中教育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818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02F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6BB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53C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91C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B0E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594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2B4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BED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9C0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高等教育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F1C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EDB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E43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5F7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6D0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AFA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862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E1F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D78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DCF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其他普通教育支出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34E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1,476.86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38D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1,476.86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9F5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674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33F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D4D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E33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3D8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9EB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7C0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进修及培训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36B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507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796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09C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C6F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8C9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272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BC9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9BB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40D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其他进修及培训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185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D03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362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8C1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C7E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1B9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98E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F39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88B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265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834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11,899.73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5A3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11,899.73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670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DFE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6EC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76D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6AE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0D5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1D3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9AE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95B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11,899.73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CB1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11,899.73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3FE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2D9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B4F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7D0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DC7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796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AF7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951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D2A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E9A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5A1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FB9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8FE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299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67C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2C8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F47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F52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FED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F98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89C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A17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F68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112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A6E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727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716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A8B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845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B12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2A5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2A6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650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8A0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9C6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7D4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gridSpan w:val="11"/>
            <w:tcBorders>
              <w:top w:val="nil"/>
              <w:left w:val="nil"/>
              <w:bottom w:val="nil"/>
              <w:right w:val="nil"/>
            </w:tcBorders>
            <w:shd w:val="clear" w:color="auto" w:fill="auto"/>
            <w:noWrap/>
            <w:vAlign w:val="center"/>
          </w:tcPr>
          <w:p w14:paraId="39B575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53702498">
      <w:pPr>
        <w:pStyle w:val="7"/>
        <w:rPr>
          <w:rFonts w:hint="eastAsia" w:ascii="Times New Roman" w:hAnsi="Times New Roman" w:eastAsia="方正小标宋_GBK" w:cs="Times New Roman"/>
          <w:color w:val="000000"/>
          <w:kern w:val="0"/>
          <w:sz w:val="36"/>
          <w:szCs w:val="36"/>
        </w:rPr>
      </w:pPr>
    </w:p>
    <w:p w14:paraId="1DC3852D">
      <w:pPr>
        <w:pStyle w:val="2"/>
        <w:rPr>
          <w:rFonts w:hint="eastAsia" w:ascii="Times New Roman" w:hAnsi="Times New Roman" w:eastAsia="方正小标宋_GBK" w:cs="Times New Roman"/>
          <w:color w:val="000000"/>
          <w:kern w:val="0"/>
          <w:sz w:val="36"/>
          <w:szCs w:val="36"/>
        </w:rPr>
      </w:pPr>
    </w:p>
    <w:tbl>
      <w:tblPr>
        <w:tblStyle w:val="9"/>
        <w:tblW w:w="157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346"/>
        <w:gridCol w:w="258"/>
        <w:gridCol w:w="258"/>
        <w:gridCol w:w="2811"/>
        <w:gridCol w:w="1754"/>
        <w:gridCol w:w="1690"/>
        <w:gridCol w:w="1754"/>
        <w:gridCol w:w="1431"/>
        <w:gridCol w:w="1431"/>
        <w:gridCol w:w="1987"/>
      </w:tblGrid>
      <w:tr w14:paraId="35E71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720" w:type="dxa"/>
            <w:gridSpan w:val="10"/>
            <w:tcBorders>
              <w:top w:val="nil"/>
              <w:left w:val="nil"/>
              <w:bottom w:val="nil"/>
              <w:right w:val="nil"/>
            </w:tcBorders>
            <w:shd w:val="clear" w:color="auto" w:fill="auto"/>
            <w:noWrap/>
            <w:vAlign w:val="center"/>
          </w:tcPr>
          <w:p w14:paraId="26427A7C">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支出决算表</w:t>
            </w:r>
          </w:p>
        </w:tc>
      </w:tr>
      <w:tr w14:paraId="4C511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7F7A349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C34905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E27284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BC88E5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73628C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BA6F89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FC59F9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9D48F3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B777D1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4F89E3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418AB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427BE9C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部门：溆浦县教育局</w:t>
            </w:r>
          </w:p>
        </w:tc>
        <w:tc>
          <w:tcPr>
            <w:tcW w:w="0" w:type="auto"/>
            <w:tcBorders>
              <w:top w:val="nil"/>
              <w:left w:val="nil"/>
              <w:bottom w:val="nil"/>
              <w:right w:val="nil"/>
            </w:tcBorders>
            <w:shd w:val="clear" w:color="auto" w:fill="auto"/>
            <w:noWrap/>
            <w:vAlign w:val="center"/>
          </w:tcPr>
          <w:p w14:paraId="0567943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E1945A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FB244D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09A779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AA4B63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FEF76D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442D64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9B647E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D01667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4721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93D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6E3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D519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E757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F22F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B8FA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81A3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0C569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95E0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ABB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13335">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D073A">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3AE68">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48DC8">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85D7B">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D287E">
            <w:pPr>
              <w:jc w:val="center"/>
              <w:rPr>
                <w:rFonts w:hint="eastAsia" w:ascii="宋体" w:hAnsi="宋体" w:eastAsia="宋体" w:cs="宋体"/>
                <w:i w:val="0"/>
                <w:iCs w:val="0"/>
                <w:color w:val="000000"/>
                <w:sz w:val="22"/>
                <w:szCs w:val="22"/>
                <w:u w:val="none"/>
              </w:rPr>
            </w:pPr>
          </w:p>
        </w:tc>
      </w:tr>
      <w:tr w14:paraId="2D466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9E4E4">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D884C">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A3158">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2B9E9">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1B89B">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64F9F">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9001E">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6A6D5">
            <w:pPr>
              <w:jc w:val="center"/>
              <w:rPr>
                <w:rFonts w:hint="eastAsia" w:ascii="宋体" w:hAnsi="宋体" w:eastAsia="宋体" w:cs="宋体"/>
                <w:i w:val="0"/>
                <w:iCs w:val="0"/>
                <w:color w:val="000000"/>
                <w:sz w:val="22"/>
                <w:szCs w:val="22"/>
                <w:u w:val="none"/>
              </w:rPr>
            </w:pPr>
          </w:p>
        </w:tc>
      </w:tr>
      <w:tr w14:paraId="2906D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48CAE">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27580">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95CE7">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1F0FC">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3F5A7">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AFB44">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6A817">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D22A1">
            <w:pPr>
              <w:jc w:val="center"/>
              <w:rPr>
                <w:rFonts w:hint="eastAsia" w:ascii="宋体" w:hAnsi="宋体" w:eastAsia="宋体" w:cs="宋体"/>
                <w:i w:val="0"/>
                <w:iCs w:val="0"/>
                <w:color w:val="000000"/>
                <w:sz w:val="22"/>
                <w:szCs w:val="22"/>
                <w:u w:val="none"/>
              </w:rPr>
            </w:pPr>
          </w:p>
        </w:tc>
      </w:tr>
      <w:tr w14:paraId="42998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248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9F8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B50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027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D87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1D5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247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1120D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068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EB08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21,008.40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4B69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6,058.26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A822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14,950.14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7C5D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F802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A49E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396F5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28E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596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089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86F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740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486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55E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67A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98F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50A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378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4CE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256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113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3C3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7D1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FA4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D45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EC8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E3E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EAE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473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82D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0F5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E32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538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F2F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B4E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A68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94A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20,933.04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0F4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5,982.90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4F0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14,950.14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5AC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EA4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8D9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D96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51A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253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E84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3,978.18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02B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2,974.09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DB6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1,004.09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C91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E5D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1E9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DE98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96B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BCC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F84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147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750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0CD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B49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527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812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398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B1C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232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B77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52E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D46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851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6DB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73C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150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3B3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其他教育管理事务支出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DAC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1,648.78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DD2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644.69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833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1,004.09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805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C81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542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A6B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CBE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0B8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BD6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4,757.27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76D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9C0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DD8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CBA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BAD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E2E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EC4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D73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学前教育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ED6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9CD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CCE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41A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CCB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B97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04F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6C8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AD1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2B6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1,569.74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0BD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1,569.74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E32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04C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FE0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626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79C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0A0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696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初中教育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839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960.51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869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C3D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562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6B5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E3F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A9E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E16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8CC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高中教育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D96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E94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362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48C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A7B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19A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095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FE0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43A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高等教育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3F4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43B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36B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4E8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5AF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0A4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303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439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25B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其他普通教育支出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8FA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1,476.86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B97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802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A41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98F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2FF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F5E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2D0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282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进修及培训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0A0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811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EC4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C1A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32E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11F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736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202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879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其他进修及培训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0BF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95E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4EE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61A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368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D65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080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FD9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DC8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E25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11,899.73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5BA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AE7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11,781.06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D2A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841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1AE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286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6BB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70E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D12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11,899.73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7E9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750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11,781.06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28C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2FD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A9B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CDB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65B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A8D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877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862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075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B79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D35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271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E74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846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581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BE9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5E7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999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A21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1D8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5F2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A61B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B9E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3C5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323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765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DF0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CF1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A59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D2D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35B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10"/>
            <w:tcBorders>
              <w:top w:val="nil"/>
              <w:left w:val="nil"/>
              <w:bottom w:val="nil"/>
              <w:right w:val="nil"/>
            </w:tcBorders>
            <w:shd w:val="clear" w:color="auto" w:fill="auto"/>
            <w:noWrap/>
            <w:vAlign w:val="center"/>
          </w:tcPr>
          <w:p w14:paraId="62F630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469DD71C">
      <w:pPr>
        <w:rPr>
          <w:rFonts w:hint="eastAsia" w:ascii="Times New Roman" w:hAnsi="Times New Roman" w:eastAsia="方正小标宋_GBK" w:cs="Times New Roman"/>
          <w:color w:val="000000"/>
          <w:kern w:val="0"/>
          <w:sz w:val="36"/>
          <w:szCs w:val="36"/>
        </w:rPr>
      </w:pPr>
    </w:p>
    <w:p w14:paraId="0D883861">
      <w:pPr>
        <w:pStyle w:val="7"/>
        <w:rPr>
          <w:rFonts w:hint="eastAsia"/>
        </w:rPr>
      </w:pPr>
    </w:p>
    <w:p w14:paraId="315135AC">
      <w:pPr>
        <w:pStyle w:val="2"/>
        <w:rPr>
          <w:rFonts w:hint="eastAsia"/>
        </w:rPr>
      </w:pPr>
    </w:p>
    <w:p w14:paraId="6FFF00DA">
      <w:pPr>
        <w:rPr>
          <w:rFonts w:hint="eastAsia"/>
        </w:rPr>
      </w:pPr>
    </w:p>
    <w:p w14:paraId="30492B73">
      <w:pPr>
        <w:pStyle w:val="7"/>
        <w:rPr>
          <w:rFonts w:hint="eastAsia"/>
        </w:rPr>
      </w:pPr>
    </w:p>
    <w:p w14:paraId="64955FD4">
      <w:pPr>
        <w:pStyle w:val="2"/>
        <w:rPr>
          <w:rFonts w:hint="eastAsia"/>
        </w:rPr>
      </w:pPr>
    </w:p>
    <w:p w14:paraId="59824B11">
      <w:pPr>
        <w:rPr>
          <w:rFonts w:hint="eastAsia"/>
        </w:rPr>
      </w:pPr>
    </w:p>
    <w:p w14:paraId="65F5CF29">
      <w:pPr>
        <w:pStyle w:val="7"/>
        <w:rPr>
          <w:rFonts w:hint="eastAsia"/>
        </w:rPr>
      </w:pPr>
    </w:p>
    <w:p w14:paraId="44832644">
      <w:pPr>
        <w:pStyle w:val="2"/>
        <w:rPr>
          <w:rFonts w:hint="eastAsia"/>
        </w:rPr>
      </w:pPr>
    </w:p>
    <w:p w14:paraId="6255DFA5">
      <w:pPr>
        <w:rPr>
          <w:rFonts w:hint="eastAsia"/>
        </w:rPr>
      </w:pPr>
    </w:p>
    <w:p w14:paraId="5092F188">
      <w:pPr>
        <w:pStyle w:val="7"/>
        <w:rPr>
          <w:rFonts w:hint="eastAsia"/>
        </w:rPr>
      </w:pPr>
    </w:p>
    <w:p w14:paraId="2712D0E3">
      <w:pPr>
        <w:pStyle w:val="2"/>
        <w:rPr>
          <w:rFonts w:hint="eastAsia"/>
        </w:rPr>
      </w:pPr>
    </w:p>
    <w:p w14:paraId="2D245F76">
      <w:pPr>
        <w:rPr>
          <w:rFonts w:hint="eastAsia"/>
        </w:rPr>
      </w:pPr>
    </w:p>
    <w:p w14:paraId="51F3622F">
      <w:pPr>
        <w:pStyle w:val="7"/>
        <w:rPr>
          <w:rFonts w:hint="eastAsia"/>
        </w:rPr>
      </w:pPr>
    </w:p>
    <w:p w14:paraId="17BC8DED">
      <w:pPr>
        <w:pStyle w:val="2"/>
        <w:rPr>
          <w:rFonts w:hint="eastAsia"/>
        </w:rPr>
      </w:pPr>
    </w:p>
    <w:p w14:paraId="73B7A6FE">
      <w:pPr>
        <w:rPr>
          <w:rFonts w:hint="eastAsia"/>
        </w:rPr>
      </w:pPr>
    </w:p>
    <w:p w14:paraId="093E7C30">
      <w:pPr>
        <w:pStyle w:val="7"/>
        <w:rPr>
          <w:rFonts w:hint="eastAsia"/>
        </w:rPr>
      </w:pPr>
    </w:p>
    <w:p w14:paraId="4BA2D9F1">
      <w:pPr>
        <w:pStyle w:val="2"/>
        <w:rPr>
          <w:rFonts w:hint="eastAsia"/>
        </w:rPr>
      </w:pPr>
    </w:p>
    <w:p w14:paraId="6C3D5E43">
      <w:pPr>
        <w:rPr>
          <w:rFonts w:hint="eastAsia"/>
        </w:rPr>
      </w:pPr>
    </w:p>
    <w:p w14:paraId="1B713C61">
      <w:pPr>
        <w:pStyle w:val="7"/>
        <w:rPr>
          <w:rFonts w:hint="eastAsia"/>
        </w:rPr>
      </w:pPr>
    </w:p>
    <w:p w14:paraId="37DF77CE">
      <w:pPr>
        <w:pStyle w:val="2"/>
        <w:rPr>
          <w:rFonts w:hint="eastAsia"/>
        </w:rPr>
      </w:pPr>
    </w:p>
    <w:p w14:paraId="082CAD15">
      <w:pPr>
        <w:rPr>
          <w:rFonts w:hint="eastAsia"/>
        </w:rPr>
      </w:pPr>
    </w:p>
    <w:p w14:paraId="080023AA">
      <w:pPr>
        <w:pStyle w:val="7"/>
        <w:rPr>
          <w:rFonts w:hint="eastAsia" w:ascii="Times New Roman" w:hAnsi="Times New Roman" w:eastAsia="方正小标宋_GBK" w:cs="Times New Roman"/>
          <w:color w:val="000000"/>
          <w:kern w:val="0"/>
          <w:sz w:val="36"/>
          <w:szCs w:val="36"/>
        </w:rPr>
      </w:pPr>
    </w:p>
    <w:p w14:paraId="719C0769">
      <w:pPr>
        <w:pStyle w:val="2"/>
        <w:rPr>
          <w:rFonts w:hint="eastAsia" w:ascii="Times New Roman" w:hAnsi="Times New Roman" w:eastAsia="方正小标宋_GBK" w:cs="Times New Roman"/>
          <w:color w:val="000000"/>
          <w:kern w:val="0"/>
          <w:sz w:val="36"/>
          <w:szCs w:val="36"/>
        </w:rPr>
      </w:pPr>
    </w:p>
    <w:tbl>
      <w:tblPr>
        <w:tblStyle w:val="9"/>
        <w:tblW w:w="153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49"/>
        <w:gridCol w:w="506"/>
        <w:gridCol w:w="1428"/>
        <w:gridCol w:w="3825"/>
        <w:gridCol w:w="506"/>
        <w:gridCol w:w="1280"/>
        <w:gridCol w:w="1428"/>
        <w:gridCol w:w="986"/>
        <w:gridCol w:w="1792"/>
      </w:tblGrid>
      <w:tr w14:paraId="18B5B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15300" w:type="dxa"/>
            <w:gridSpan w:val="9"/>
            <w:tcBorders>
              <w:top w:val="nil"/>
              <w:left w:val="nil"/>
              <w:bottom w:val="nil"/>
              <w:right w:val="nil"/>
            </w:tcBorders>
            <w:shd w:val="clear" w:color="auto" w:fill="auto"/>
            <w:noWrap/>
            <w:vAlign w:val="center"/>
          </w:tcPr>
          <w:p w14:paraId="32D35DC9">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财政拨款收入支出决算总表</w:t>
            </w:r>
          </w:p>
        </w:tc>
      </w:tr>
      <w:tr w14:paraId="50642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14:paraId="6EA85BF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7CC7EE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A9C42A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D5E2AF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C7C257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46DADA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4EAF00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65B6A7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C6255F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4BA42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bottom"/>
          </w:tcPr>
          <w:p w14:paraId="68B57C7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部门：溆浦县教育局</w:t>
            </w:r>
          </w:p>
        </w:tc>
        <w:tc>
          <w:tcPr>
            <w:tcW w:w="0" w:type="auto"/>
            <w:tcBorders>
              <w:top w:val="nil"/>
              <w:left w:val="nil"/>
              <w:bottom w:val="nil"/>
              <w:right w:val="nil"/>
            </w:tcBorders>
            <w:shd w:val="clear" w:color="auto" w:fill="auto"/>
            <w:noWrap/>
            <w:vAlign w:val="center"/>
          </w:tcPr>
          <w:p w14:paraId="185F94B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373565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25D33C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BE422A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79415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9E7926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47AA3E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E0375D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448E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2C1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502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65D84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3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1A85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E267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8859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6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9DB5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0AE8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949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E776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2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C07D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7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A97D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48777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trPr>
        <w:tc>
          <w:tcPr>
            <w:tcW w:w="3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7B74D">
            <w:pPr>
              <w:jc w:val="center"/>
              <w:rPr>
                <w:rFonts w:hint="eastAsia" w:ascii="宋体" w:hAnsi="宋体" w:eastAsia="宋体" w:cs="宋体"/>
                <w:i w:val="0"/>
                <w:iCs w:val="0"/>
                <w:color w:val="000000"/>
                <w:sz w:val="22"/>
                <w:szCs w:val="22"/>
                <w:u w:val="none"/>
              </w:rPr>
            </w:pPr>
          </w:p>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30264">
            <w:pPr>
              <w:jc w:val="center"/>
              <w:rPr>
                <w:rFonts w:hint="eastAsia" w:ascii="宋体" w:hAnsi="宋体" w:eastAsia="宋体" w:cs="宋体"/>
                <w:i w:val="0"/>
                <w:iCs w:val="0"/>
                <w:color w:val="000000"/>
                <w:sz w:val="22"/>
                <w:szCs w:val="22"/>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7E409">
            <w:pPr>
              <w:jc w:val="center"/>
              <w:rPr>
                <w:rFonts w:hint="eastAsia" w:ascii="宋体" w:hAnsi="宋体" w:eastAsia="宋体" w:cs="宋体"/>
                <w:i w:val="0"/>
                <w:iCs w:val="0"/>
                <w:color w:val="000000"/>
                <w:sz w:val="22"/>
                <w:szCs w:val="22"/>
                <w:u w:val="none"/>
              </w:rPr>
            </w:pPr>
          </w:p>
        </w:tc>
        <w:tc>
          <w:tcPr>
            <w:tcW w:w="36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217F9">
            <w:pPr>
              <w:jc w:val="center"/>
              <w:rPr>
                <w:rFonts w:hint="eastAsia" w:ascii="宋体" w:hAnsi="宋体" w:eastAsia="宋体" w:cs="宋体"/>
                <w:i w:val="0"/>
                <w:iCs w:val="0"/>
                <w:color w:val="000000"/>
                <w:sz w:val="22"/>
                <w:szCs w:val="22"/>
                <w:u w:val="none"/>
              </w:rPr>
            </w:pPr>
          </w:p>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56ACD">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B1CDC">
            <w:pPr>
              <w:jc w:val="center"/>
              <w:rPr>
                <w:rFonts w:hint="eastAsia" w:ascii="宋体" w:hAnsi="宋体" w:eastAsia="宋体" w:cs="宋体"/>
                <w:i w:val="0"/>
                <w:iCs w:val="0"/>
                <w:color w:val="000000"/>
                <w:sz w:val="22"/>
                <w:szCs w:val="22"/>
                <w:u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02EB4">
            <w:pPr>
              <w:jc w:val="center"/>
              <w:rPr>
                <w:rFonts w:hint="eastAsia" w:ascii="宋体" w:hAnsi="宋体" w:eastAsia="宋体" w:cs="宋体"/>
                <w:i w:val="0"/>
                <w:iCs w:val="0"/>
                <w:color w:val="000000"/>
                <w:sz w:val="22"/>
                <w:szCs w:val="22"/>
                <w:u w:val="none"/>
              </w:rPr>
            </w:pPr>
          </w:p>
        </w:tc>
        <w:tc>
          <w:tcPr>
            <w:tcW w:w="12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54A1A">
            <w:pPr>
              <w:jc w:val="center"/>
              <w:rPr>
                <w:rFonts w:hint="eastAsia" w:ascii="宋体" w:hAnsi="宋体" w:eastAsia="宋体" w:cs="宋体"/>
                <w:i w:val="0"/>
                <w:iCs w:val="0"/>
                <w:color w:val="000000"/>
                <w:sz w:val="22"/>
                <w:szCs w:val="22"/>
                <w:u w:val="none"/>
              </w:rPr>
            </w:pPr>
          </w:p>
        </w:tc>
        <w:tc>
          <w:tcPr>
            <w:tcW w:w="17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A76F0">
            <w:pPr>
              <w:jc w:val="center"/>
              <w:rPr>
                <w:rFonts w:hint="eastAsia" w:ascii="宋体" w:hAnsi="宋体" w:eastAsia="宋体" w:cs="宋体"/>
                <w:i w:val="0"/>
                <w:iCs w:val="0"/>
                <w:color w:val="000000"/>
                <w:sz w:val="22"/>
                <w:szCs w:val="22"/>
                <w:u w:val="none"/>
              </w:rPr>
            </w:pPr>
          </w:p>
        </w:tc>
      </w:tr>
      <w:tr w14:paraId="29C22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CA3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32E0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165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1AC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E5B0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885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9AA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111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2DC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2AB51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017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D72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39D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20,625.52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6E2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C59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6FD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1AD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A56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FCB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508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8CA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675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1C7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8B5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40E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661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D04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574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DF2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120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CDF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3C8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C30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D05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34C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CA2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2E6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921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D52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7CB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61D3A">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021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9F8D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63D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ED5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C32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D6D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D57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D59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9D8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D37B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083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5973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8E4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5A7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D5B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20,550.15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A5D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20,550.15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469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7DD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A34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63BE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516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EE14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5CF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18D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DEB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7D0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A46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80B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2FA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5C3E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714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7124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E02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F15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B80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BEC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F8F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EEA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0E3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8C7C3">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FCE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6508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9B6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55F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E84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626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3DC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42D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5AB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74BC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103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0745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2D9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0FE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ADF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CE5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439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5A8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A87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7B2A3">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147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0A72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DE2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FCB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F42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169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12C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92D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DB1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4066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1BD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820A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AF7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C1B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339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F36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309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40D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D33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6F2C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DA9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F503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932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FB2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440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3B7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1A1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92C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416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633DB">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9B9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84B2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FC6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892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90E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3DD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5F5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E04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325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F6109">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459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940B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C0C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350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8EE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318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4DF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B76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235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6E50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BDB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D250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000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009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72B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C66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AB6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C20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780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1B61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CD3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0DC8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29D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DD6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B0A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B98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56C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F62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578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E3C7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EC3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EF80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344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EE3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B7D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B62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265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C62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4E5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E86D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D3A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C213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2C9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D63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305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AAD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C8B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45D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03E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7926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B3F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F31C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BCC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D0D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A38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BBB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337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9C6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E6F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D2B5F">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66E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29C0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308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E70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24D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2F6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703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4B2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22B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B683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FC7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9206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A62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01C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F90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65F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8CF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3EA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786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48EA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DFE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5569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942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177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DB8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47F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B97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2B6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8A4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82D8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646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1900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EC6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BA8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0FC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E44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97A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D9E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0EE0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6A324">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A5E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6493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024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DC0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13B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C9D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778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B1C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BBF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8050C">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AB5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6F8E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B7F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425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822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396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C56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9A9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706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34EA8">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DFB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2530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C7A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CFB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3B4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58C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199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CD2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71A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9BF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1C1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D98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20,625.52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A11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D3C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980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20,625.52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6F7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20,625.52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64D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B0E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CD7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4DE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028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CA0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087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96C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2C7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375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029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024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F06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938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E9E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C54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0CA1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5DC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B2DC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E620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50AB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883BA">
            <w:pPr>
              <w:jc w:val="right"/>
              <w:rPr>
                <w:rFonts w:hint="eastAsia" w:ascii="宋体" w:hAnsi="宋体" w:eastAsia="宋体" w:cs="宋体"/>
                <w:i w:val="0"/>
                <w:iCs w:val="0"/>
                <w:color w:val="000000"/>
                <w:sz w:val="22"/>
                <w:szCs w:val="22"/>
                <w:u w:val="none"/>
              </w:rPr>
            </w:pPr>
          </w:p>
        </w:tc>
      </w:tr>
      <w:tr w14:paraId="1F3A9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AA1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6B4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246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7309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86A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8F48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8E39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6583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E9C9B">
            <w:pPr>
              <w:jc w:val="right"/>
              <w:rPr>
                <w:rFonts w:hint="eastAsia" w:ascii="宋体" w:hAnsi="宋体" w:eastAsia="宋体" w:cs="宋体"/>
                <w:i w:val="0"/>
                <w:iCs w:val="0"/>
                <w:color w:val="000000"/>
                <w:sz w:val="22"/>
                <w:szCs w:val="22"/>
                <w:u w:val="none"/>
              </w:rPr>
            </w:pPr>
          </w:p>
        </w:tc>
      </w:tr>
      <w:tr w14:paraId="2D1C6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40A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A5B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137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CF5D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9FB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9C32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7498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C4D1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87036">
            <w:pPr>
              <w:jc w:val="right"/>
              <w:rPr>
                <w:rFonts w:hint="eastAsia" w:ascii="宋体" w:hAnsi="宋体" w:eastAsia="宋体" w:cs="宋体"/>
                <w:i w:val="0"/>
                <w:iCs w:val="0"/>
                <w:color w:val="000000"/>
                <w:sz w:val="22"/>
                <w:szCs w:val="22"/>
                <w:u w:val="none"/>
              </w:rPr>
            </w:pPr>
          </w:p>
        </w:tc>
      </w:tr>
      <w:tr w14:paraId="19C2A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E70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217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2E9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20,625.52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D0B4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778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F41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20,625.52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41C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20,625.52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B23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F70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84D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0" w:type="auto"/>
            <w:gridSpan w:val="8"/>
            <w:tcBorders>
              <w:top w:val="nil"/>
              <w:left w:val="nil"/>
              <w:bottom w:val="nil"/>
              <w:right w:val="nil"/>
            </w:tcBorders>
            <w:shd w:val="clear" w:color="auto" w:fill="auto"/>
            <w:noWrap/>
            <w:vAlign w:val="center"/>
          </w:tcPr>
          <w:p w14:paraId="484C9B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shd w:val="clear" w:color="auto" w:fill="auto"/>
            <w:noWrap/>
            <w:vAlign w:val="center"/>
          </w:tcPr>
          <w:p w14:paraId="118A9D81">
            <w:pPr>
              <w:jc w:val="left"/>
              <w:rPr>
                <w:rFonts w:hint="eastAsia" w:ascii="宋体" w:hAnsi="宋体" w:eastAsia="宋体" w:cs="宋体"/>
                <w:i w:val="0"/>
                <w:iCs w:val="0"/>
                <w:color w:val="000000"/>
                <w:sz w:val="20"/>
                <w:szCs w:val="20"/>
                <w:u w:val="none"/>
              </w:rPr>
            </w:pPr>
          </w:p>
        </w:tc>
      </w:tr>
    </w:tbl>
    <w:p w14:paraId="68AB495D">
      <w:pPr>
        <w:rPr>
          <w:rFonts w:hint="eastAsia" w:ascii="Times New Roman" w:hAnsi="Times New Roman" w:eastAsia="方正小标宋_GBK" w:cs="Times New Roman"/>
          <w:color w:val="000000"/>
          <w:kern w:val="0"/>
          <w:sz w:val="36"/>
          <w:szCs w:val="36"/>
        </w:rPr>
      </w:pPr>
    </w:p>
    <w:p w14:paraId="71F44DB6">
      <w:pPr>
        <w:pStyle w:val="7"/>
        <w:rPr>
          <w:rFonts w:hint="eastAsia" w:ascii="Times New Roman" w:hAnsi="Times New Roman" w:eastAsia="方正小标宋_GBK" w:cs="Times New Roman"/>
          <w:color w:val="000000"/>
          <w:kern w:val="0"/>
          <w:sz w:val="36"/>
          <w:szCs w:val="36"/>
        </w:rPr>
      </w:pPr>
    </w:p>
    <w:p w14:paraId="79035894">
      <w:pPr>
        <w:pStyle w:val="2"/>
        <w:rPr>
          <w:rFonts w:hint="eastAsia" w:ascii="Times New Roman" w:hAnsi="Times New Roman" w:eastAsia="方正小标宋_GBK" w:cs="Times New Roman"/>
          <w:color w:val="000000"/>
          <w:kern w:val="0"/>
          <w:sz w:val="36"/>
          <w:szCs w:val="36"/>
        </w:rPr>
      </w:pPr>
    </w:p>
    <w:p w14:paraId="3DA98237">
      <w:pPr>
        <w:rPr>
          <w:rFonts w:hint="eastAsia" w:ascii="Times New Roman" w:hAnsi="Times New Roman" w:eastAsia="方正小标宋_GBK" w:cs="Times New Roman"/>
          <w:color w:val="000000"/>
          <w:kern w:val="0"/>
          <w:sz w:val="36"/>
          <w:szCs w:val="36"/>
        </w:rPr>
      </w:pPr>
    </w:p>
    <w:p w14:paraId="1361A893">
      <w:pPr>
        <w:pStyle w:val="7"/>
        <w:rPr>
          <w:rFonts w:hint="eastAsia" w:ascii="Times New Roman" w:hAnsi="Times New Roman" w:eastAsia="方正小标宋_GBK" w:cs="Times New Roman"/>
          <w:color w:val="000000"/>
          <w:kern w:val="0"/>
          <w:sz w:val="36"/>
          <w:szCs w:val="36"/>
        </w:rPr>
      </w:pPr>
    </w:p>
    <w:p w14:paraId="4B931355">
      <w:pPr>
        <w:pStyle w:val="2"/>
        <w:rPr>
          <w:rFonts w:hint="eastAsia" w:ascii="Times New Roman" w:hAnsi="Times New Roman" w:eastAsia="方正小标宋_GBK" w:cs="Times New Roman"/>
          <w:color w:val="000000"/>
          <w:kern w:val="0"/>
          <w:sz w:val="36"/>
          <w:szCs w:val="36"/>
        </w:rPr>
      </w:pPr>
    </w:p>
    <w:p w14:paraId="5186B24A">
      <w:pPr>
        <w:rPr>
          <w:rFonts w:hint="eastAsia" w:ascii="Times New Roman" w:hAnsi="Times New Roman" w:eastAsia="方正小标宋_GBK" w:cs="Times New Roman"/>
          <w:color w:val="000000"/>
          <w:kern w:val="0"/>
          <w:sz w:val="36"/>
          <w:szCs w:val="36"/>
        </w:rPr>
      </w:pPr>
    </w:p>
    <w:p w14:paraId="17AE740F">
      <w:pPr>
        <w:pStyle w:val="7"/>
        <w:rPr>
          <w:rFonts w:hint="eastAsia" w:ascii="Times New Roman" w:hAnsi="Times New Roman" w:eastAsia="方正小标宋_GBK" w:cs="Times New Roman"/>
          <w:color w:val="000000"/>
          <w:kern w:val="0"/>
          <w:sz w:val="36"/>
          <w:szCs w:val="36"/>
        </w:rPr>
      </w:pPr>
    </w:p>
    <w:p w14:paraId="385CF1E5">
      <w:pPr>
        <w:pStyle w:val="2"/>
        <w:rPr>
          <w:rFonts w:hint="eastAsia" w:ascii="Times New Roman" w:hAnsi="Times New Roman" w:eastAsia="方正小标宋_GBK" w:cs="Times New Roman"/>
          <w:color w:val="000000"/>
          <w:kern w:val="0"/>
          <w:sz w:val="36"/>
          <w:szCs w:val="36"/>
        </w:rPr>
      </w:pPr>
    </w:p>
    <w:p w14:paraId="4E78C3B8">
      <w:pPr>
        <w:rPr>
          <w:rFonts w:hint="eastAsia" w:ascii="Times New Roman" w:hAnsi="Times New Roman" w:eastAsia="方正小标宋_GBK" w:cs="Times New Roman"/>
          <w:color w:val="000000"/>
          <w:kern w:val="0"/>
          <w:sz w:val="36"/>
          <w:szCs w:val="36"/>
        </w:rPr>
      </w:pPr>
    </w:p>
    <w:p w14:paraId="50D73BAD">
      <w:pPr>
        <w:pStyle w:val="7"/>
        <w:rPr>
          <w:rFonts w:hint="eastAsia"/>
        </w:rPr>
      </w:pPr>
    </w:p>
    <w:tbl>
      <w:tblPr>
        <w:tblStyle w:val="9"/>
        <w:tblW w:w="116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302"/>
        <w:gridCol w:w="254"/>
        <w:gridCol w:w="254"/>
        <w:gridCol w:w="2759"/>
        <w:gridCol w:w="1978"/>
        <w:gridCol w:w="1915"/>
        <w:gridCol w:w="2208"/>
      </w:tblGrid>
      <w:tr w14:paraId="6D001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1670" w:type="dxa"/>
            <w:gridSpan w:val="7"/>
            <w:tcBorders>
              <w:top w:val="nil"/>
              <w:left w:val="nil"/>
              <w:bottom w:val="nil"/>
              <w:right w:val="nil"/>
            </w:tcBorders>
            <w:shd w:val="clear" w:color="auto" w:fill="auto"/>
            <w:noWrap/>
            <w:vAlign w:val="center"/>
          </w:tcPr>
          <w:p w14:paraId="7F10B16E">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c>
      </w:tr>
      <w:tr w14:paraId="24C1A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6C60B2D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A2E350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E833A0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ACCC7A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73C177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3A7161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8A3A37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14BDC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5741FC0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部门：溆浦县教育局</w:t>
            </w:r>
          </w:p>
        </w:tc>
        <w:tc>
          <w:tcPr>
            <w:tcW w:w="0" w:type="auto"/>
            <w:tcBorders>
              <w:top w:val="nil"/>
              <w:left w:val="nil"/>
              <w:bottom w:val="nil"/>
              <w:right w:val="nil"/>
            </w:tcBorders>
            <w:shd w:val="clear" w:color="auto" w:fill="auto"/>
            <w:noWrap/>
            <w:vAlign w:val="center"/>
          </w:tcPr>
          <w:p w14:paraId="09DE5A9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DFA0AB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1F15C4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76A3E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E5C945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780EB9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65BE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0A3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CAAB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20994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C390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1EA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8EA8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A747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31BB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3C53C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C9EF9">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AAD34">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740A4">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BD7FC">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BBE24">
            <w:pPr>
              <w:jc w:val="center"/>
              <w:rPr>
                <w:rFonts w:hint="eastAsia" w:ascii="宋体" w:hAnsi="宋体" w:eastAsia="宋体" w:cs="宋体"/>
                <w:i w:val="0"/>
                <w:iCs w:val="0"/>
                <w:color w:val="000000"/>
                <w:sz w:val="22"/>
                <w:szCs w:val="22"/>
                <w:u w:val="none"/>
              </w:rPr>
            </w:pPr>
          </w:p>
        </w:tc>
      </w:tr>
      <w:tr w14:paraId="1B72B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D0486">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517AF">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E013C">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EBFAB">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10097">
            <w:pPr>
              <w:jc w:val="center"/>
              <w:rPr>
                <w:rFonts w:hint="eastAsia" w:ascii="宋体" w:hAnsi="宋体" w:eastAsia="宋体" w:cs="宋体"/>
                <w:i w:val="0"/>
                <w:iCs w:val="0"/>
                <w:color w:val="000000"/>
                <w:sz w:val="22"/>
                <w:szCs w:val="22"/>
                <w:u w:val="none"/>
              </w:rPr>
            </w:pPr>
          </w:p>
        </w:tc>
      </w:tr>
      <w:tr w14:paraId="1770D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D34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E84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BA3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314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0C91C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0DB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F471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20,625.52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01F6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5,675.38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129F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14,950.14</w:t>
            </w:r>
          </w:p>
        </w:tc>
      </w:tr>
      <w:tr w14:paraId="3CA36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02D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93E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5D8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69B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2FF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3D7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953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103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BB8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86C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F57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059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BD4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0D1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8CB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DF0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723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7858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1B7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8C9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3DF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20,550.15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B0D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984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14,950.14</w:t>
            </w:r>
          </w:p>
        </w:tc>
      </w:tr>
      <w:tr w14:paraId="0EC76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A85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55C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438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3,595.29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519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A69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1,004.09</w:t>
            </w:r>
          </w:p>
        </w:tc>
      </w:tr>
      <w:tr w14:paraId="666D9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77E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DF6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1BF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1,698.82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8F8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1,698.82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7D6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180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3A3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D0E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22C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AE2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E67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066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E7A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A47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其他教育管理事务支出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4EE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1,648.78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2BF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644.69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518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1,004.09</w:t>
            </w:r>
          </w:p>
        </w:tc>
      </w:tr>
      <w:tr w14:paraId="5B82E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C4C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8B6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959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4,757.27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DE1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FC7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2,164.99</w:t>
            </w:r>
          </w:p>
        </w:tc>
      </w:tr>
      <w:tr w14:paraId="1131E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E70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19E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学前教育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0B1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E8B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26B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254.91</w:t>
            </w:r>
          </w:p>
        </w:tc>
      </w:tr>
      <w:tr w14:paraId="2C4A7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638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D71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F15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1,569.74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C24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1,569.74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488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691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E60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54C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初中教育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337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960.51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8A4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F8C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898.92</w:t>
            </w:r>
          </w:p>
        </w:tc>
      </w:tr>
      <w:tr w14:paraId="0E07B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B3E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060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高中教育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22A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660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AB4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4B9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0C4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9AF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高等教育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0A6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E1D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F43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690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C8A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2E0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其他普通教育支出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BC4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1,476.86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52F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3A5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1,011.16</w:t>
            </w:r>
          </w:p>
        </w:tc>
      </w:tr>
      <w:tr w14:paraId="72A7B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14B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A6E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进修及培训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BEB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D67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875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C40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D7F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757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其他进修及培训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28C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4B6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F9D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6B9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875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614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6DB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11,899.73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B54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7F6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11,781.06</w:t>
            </w:r>
          </w:p>
        </w:tc>
      </w:tr>
      <w:tr w14:paraId="719C1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8F9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0AA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C6C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11,899.73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FFD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83F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11,781.06</w:t>
            </w:r>
          </w:p>
        </w:tc>
      </w:tr>
      <w:tr w14:paraId="03571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03D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AC2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AC8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D37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8E2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8E2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0AC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785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FE8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CD9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34A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6CD3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908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8CE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D2B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45B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AE0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0AC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7"/>
            <w:tcBorders>
              <w:top w:val="nil"/>
              <w:left w:val="nil"/>
              <w:bottom w:val="nil"/>
              <w:right w:val="nil"/>
            </w:tcBorders>
            <w:shd w:val="clear" w:color="auto" w:fill="auto"/>
            <w:noWrap/>
            <w:vAlign w:val="center"/>
          </w:tcPr>
          <w:p w14:paraId="0BF929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249B79E9">
      <w:pPr>
        <w:pStyle w:val="2"/>
        <w:rPr>
          <w:rFonts w:hint="eastAsia" w:ascii="Times New Roman" w:hAnsi="Times New Roman" w:eastAsia="方正小标宋_GBK" w:cs="Times New Roman"/>
          <w:color w:val="000000"/>
          <w:kern w:val="0"/>
          <w:sz w:val="36"/>
          <w:szCs w:val="36"/>
        </w:rPr>
      </w:pPr>
    </w:p>
    <w:p w14:paraId="1E50CEC0">
      <w:pPr>
        <w:rPr>
          <w:rFonts w:hint="eastAsia" w:ascii="Times New Roman" w:hAnsi="Times New Roman" w:eastAsia="方正小标宋_GBK" w:cs="Times New Roman"/>
          <w:color w:val="000000"/>
          <w:kern w:val="0"/>
          <w:sz w:val="36"/>
          <w:szCs w:val="36"/>
        </w:rPr>
      </w:pPr>
    </w:p>
    <w:p w14:paraId="3150E892">
      <w:pPr>
        <w:pStyle w:val="7"/>
        <w:rPr>
          <w:rFonts w:hint="eastAsia"/>
        </w:rPr>
      </w:pPr>
    </w:p>
    <w:tbl>
      <w:tblPr>
        <w:tblStyle w:val="9"/>
        <w:tblW w:w="15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6"/>
        <w:gridCol w:w="3516"/>
        <w:gridCol w:w="1096"/>
        <w:gridCol w:w="766"/>
        <w:gridCol w:w="2416"/>
        <w:gridCol w:w="1096"/>
        <w:gridCol w:w="766"/>
        <w:gridCol w:w="4396"/>
        <w:gridCol w:w="1096"/>
      </w:tblGrid>
      <w:tr w14:paraId="115D8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540" w:type="dxa"/>
            <w:gridSpan w:val="9"/>
            <w:tcBorders>
              <w:top w:val="nil"/>
              <w:left w:val="nil"/>
              <w:bottom w:val="nil"/>
              <w:right w:val="nil"/>
            </w:tcBorders>
            <w:shd w:val="clear" w:color="auto" w:fill="auto"/>
            <w:noWrap/>
            <w:vAlign w:val="center"/>
          </w:tcPr>
          <w:p w14:paraId="4643F11E">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一般公共预算财政拨款基本支出决算明细表</w:t>
            </w:r>
          </w:p>
        </w:tc>
      </w:tr>
      <w:tr w14:paraId="5842B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718FDBA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BEACAB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0E7AA3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DAD51E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E2AC9C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CDDBF4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AAFF19B">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bottom"/>
          </w:tcPr>
          <w:p w14:paraId="24AFE0A6">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5C990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2"/>
            <w:tcBorders>
              <w:top w:val="nil"/>
              <w:left w:val="nil"/>
              <w:bottom w:val="nil"/>
              <w:right w:val="nil"/>
            </w:tcBorders>
            <w:shd w:val="clear" w:color="auto" w:fill="auto"/>
            <w:noWrap/>
            <w:vAlign w:val="bottom"/>
          </w:tcPr>
          <w:p w14:paraId="694AFC8C">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部门：溆浦县教育局</w:t>
            </w:r>
          </w:p>
        </w:tc>
        <w:tc>
          <w:tcPr>
            <w:tcW w:w="0" w:type="auto"/>
            <w:tcBorders>
              <w:top w:val="nil"/>
              <w:left w:val="nil"/>
              <w:bottom w:val="nil"/>
              <w:right w:val="nil"/>
            </w:tcBorders>
            <w:shd w:val="clear" w:color="auto" w:fill="auto"/>
            <w:noWrap/>
            <w:vAlign w:val="center"/>
          </w:tcPr>
          <w:p w14:paraId="46FCEA7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7B5D41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ADA282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13C864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01A28B9">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bottom"/>
          </w:tcPr>
          <w:p w14:paraId="52A3F8BD">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05EEF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65A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B58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6648C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545F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9AC5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ED1D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0547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F831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6219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6BF7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8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C82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1285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3D4D4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BA2D9">
            <w:pPr>
              <w:jc w:val="center"/>
              <w:rPr>
                <w:rFonts w:hint="eastAsia" w:ascii="宋体" w:hAnsi="宋体" w:eastAsia="宋体" w:cs="宋体"/>
                <w:i w:val="0"/>
                <w:iCs w:val="0"/>
                <w:color w:val="000000"/>
                <w:sz w:val="22"/>
                <w:szCs w:val="22"/>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107B2">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D091A">
            <w:pPr>
              <w:jc w:val="center"/>
              <w:rPr>
                <w:rFonts w:hint="eastAsia" w:ascii="宋体" w:hAnsi="宋体" w:eastAsia="宋体" w:cs="宋体"/>
                <w:i w:val="0"/>
                <w:iCs w:val="0"/>
                <w:color w:val="000000"/>
                <w:sz w:val="22"/>
                <w:szCs w:val="22"/>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7667F">
            <w:pPr>
              <w:jc w:val="center"/>
              <w:rPr>
                <w:rFonts w:hint="eastAsia" w:ascii="宋体" w:hAnsi="宋体" w:eastAsia="宋体" w:cs="宋体"/>
                <w:i w:val="0"/>
                <w:iCs w:val="0"/>
                <w:color w:val="000000"/>
                <w:sz w:val="22"/>
                <w:szCs w:val="22"/>
                <w:u w:val="none"/>
              </w:rPr>
            </w:pP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7A75C">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D83B5">
            <w:pPr>
              <w:jc w:val="center"/>
              <w:rPr>
                <w:rFonts w:hint="eastAsia" w:ascii="宋体" w:hAnsi="宋体" w:eastAsia="宋体" w:cs="宋体"/>
                <w:i w:val="0"/>
                <w:iCs w:val="0"/>
                <w:color w:val="000000"/>
                <w:sz w:val="22"/>
                <w:szCs w:val="22"/>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00E2E">
            <w:pPr>
              <w:jc w:val="center"/>
              <w:rPr>
                <w:rFonts w:hint="eastAsia" w:ascii="宋体" w:hAnsi="宋体" w:eastAsia="宋体" w:cs="宋体"/>
                <w:i w:val="0"/>
                <w:iCs w:val="0"/>
                <w:color w:val="000000"/>
                <w:sz w:val="22"/>
                <w:szCs w:val="22"/>
                <w:u w:val="none"/>
              </w:rPr>
            </w:pPr>
          </w:p>
        </w:tc>
        <w:tc>
          <w:tcPr>
            <w:tcW w:w="28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77E69">
            <w:pPr>
              <w:jc w:val="center"/>
              <w:rPr>
                <w:rFonts w:hint="eastAsia" w:ascii="宋体" w:hAnsi="宋体" w:eastAsia="宋体" w:cs="宋体"/>
                <w:i w:val="0"/>
                <w:iCs w:val="0"/>
                <w:color w:val="000000"/>
                <w:sz w:val="22"/>
                <w:szCs w:val="22"/>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CACC8">
            <w:pPr>
              <w:jc w:val="center"/>
              <w:rPr>
                <w:rFonts w:hint="eastAsia" w:ascii="宋体" w:hAnsi="宋体" w:eastAsia="宋体" w:cs="宋体"/>
                <w:i w:val="0"/>
                <w:iCs w:val="0"/>
                <w:color w:val="000000"/>
                <w:sz w:val="22"/>
                <w:szCs w:val="22"/>
                <w:u w:val="none"/>
              </w:rPr>
            </w:pPr>
          </w:p>
        </w:tc>
      </w:tr>
      <w:tr w14:paraId="2054F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93B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CB7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F75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1,439.59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BE3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FBF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553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1,486.35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D4C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EDB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83C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D3A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D87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A99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E71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529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0BC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D83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4B8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00B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5A9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EE2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1B0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FAC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497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934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F70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284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961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385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A4B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F11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D0C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044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091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481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F3D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EB1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B49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8D0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A3D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325.54</w:t>
            </w:r>
          </w:p>
        </w:tc>
      </w:tr>
      <w:tr w14:paraId="033DB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09D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D61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9EA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8B3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808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F8C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4E9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FAE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B04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923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72B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466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0D0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9EF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27F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AC3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AD0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B34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0CC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81.37</w:t>
            </w:r>
          </w:p>
        </w:tc>
      </w:tr>
      <w:tr w14:paraId="3C324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F09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84B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DA5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906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CFA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89D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DB7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4D6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F15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74.19</w:t>
            </w:r>
          </w:p>
        </w:tc>
      </w:tr>
      <w:tr w14:paraId="4E5DF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FEC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F56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D01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75D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92D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794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57E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986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485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041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D91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B13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E04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400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BC9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1B6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0DC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663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8C1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3CF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4CD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472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4F0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3A8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600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931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8A0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FC6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F60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99.97</w:t>
            </w:r>
          </w:p>
        </w:tc>
      </w:tr>
      <w:tr w14:paraId="59D8A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5C8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D63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B3C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622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01E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92D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8C2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4CE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1B5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57A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E9B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D73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FCB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68F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CD5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A00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DF5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AE8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146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022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287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B09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0BF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910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E5B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D41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9BD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5B6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598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11B2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036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E2C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D42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860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043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880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B08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DB4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226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9F1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EF5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873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D5A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2,423.89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B58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858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CB3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CFC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ECB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D89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B9C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F43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25A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E50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80F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5AF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08B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556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22E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7AF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107F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D68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24C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F57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A8B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489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74A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1E7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563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20A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F35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30C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189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D87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4A1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BAE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5C9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9D7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2F4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BA3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FDD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01A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B7C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442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6C5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7C4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6E1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565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F7A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429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1ED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4AE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F15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52B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6F1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06D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D64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B75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865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32A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70.00</w:t>
            </w:r>
          </w:p>
        </w:tc>
      </w:tr>
      <w:tr w14:paraId="0071C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E61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7C9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15D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CE9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AD3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A5C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7D3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50F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072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01E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339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F29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2AF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1CA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CD7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514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775.79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3C1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900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3D0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AD4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64B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036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405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E97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343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6AA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616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0AE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399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AAE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C3F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2E2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138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52B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445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41B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7E6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96B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F67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0E2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B64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AF7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D90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5F9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065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D13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544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F79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399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F3F7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5D0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093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9D5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BE9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D36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426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7C0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82A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EA7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A33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583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1A2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B04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474.44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60B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ECC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A25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AAD2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643EF">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37074">
            <w:pPr>
              <w:jc w:val="right"/>
              <w:rPr>
                <w:rFonts w:hint="eastAsia" w:ascii="宋体" w:hAnsi="宋体" w:eastAsia="宋体" w:cs="宋体"/>
                <w:i w:val="0"/>
                <w:iCs w:val="0"/>
                <w:color w:val="000000"/>
                <w:sz w:val="22"/>
                <w:szCs w:val="22"/>
                <w:u w:val="none"/>
              </w:rPr>
            </w:pPr>
          </w:p>
        </w:tc>
      </w:tr>
      <w:tr w14:paraId="1E32C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8F0A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C809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63A5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9CF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F93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7EB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A8F6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7D4F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96D3E">
            <w:pPr>
              <w:jc w:val="right"/>
              <w:rPr>
                <w:rFonts w:hint="eastAsia" w:ascii="宋体" w:hAnsi="宋体" w:eastAsia="宋体" w:cs="宋体"/>
                <w:i w:val="0"/>
                <w:iCs w:val="0"/>
                <w:color w:val="000000"/>
                <w:sz w:val="22"/>
                <w:szCs w:val="22"/>
                <w:u w:val="none"/>
              </w:rPr>
            </w:pPr>
          </w:p>
        </w:tc>
      </w:tr>
      <w:tr w14:paraId="3AA9E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3F1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89F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3,863.48</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6C7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9BA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1,811.89</w:t>
            </w:r>
          </w:p>
        </w:tc>
      </w:tr>
      <w:tr w14:paraId="281FC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9"/>
            <w:tcBorders>
              <w:top w:val="nil"/>
              <w:left w:val="nil"/>
              <w:bottom w:val="nil"/>
              <w:right w:val="nil"/>
            </w:tcBorders>
            <w:shd w:val="clear" w:color="auto" w:fill="auto"/>
            <w:noWrap/>
            <w:vAlign w:val="center"/>
          </w:tcPr>
          <w:p w14:paraId="67DDAF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14:paraId="7947D6C1">
      <w:pPr>
        <w:pStyle w:val="7"/>
        <w:rPr>
          <w:rFonts w:hint="eastAsia" w:ascii="Times New Roman" w:hAnsi="Times New Roman" w:eastAsia="方正小标宋_GBK" w:cs="Times New Roman"/>
          <w:color w:val="000000"/>
          <w:kern w:val="0"/>
          <w:sz w:val="36"/>
          <w:szCs w:val="36"/>
        </w:rPr>
      </w:pPr>
    </w:p>
    <w:p w14:paraId="57D6B0CB">
      <w:pPr>
        <w:pStyle w:val="2"/>
        <w:rPr>
          <w:rFonts w:hint="eastAsia" w:ascii="Times New Roman" w:hAnsi="Times New Roman" w:eastAsia="方正小标宋_GBK" w:cs="Times New Roman"/>
          <w:color w:val="000000"/>
          <w:kern w:val="0"/>
          <w:sz w:val="36"/>
          <w:szCs w:val="36"/>
        </w:rPr>
      </w:pPr>
    </w:p>
    <w:p w14:paraId="3275D4F6">
      <w:pPr>
        <w:rPr>
          <w:rFonts w:hint="eastAsia" w:ascii="Times New Roman" w:hAnsi="Times New Roman" w:eastAsia="方正小标宋_GBK" w:cs="Times New Roman"/>
          <w:color w:val="000000"/>
          <w:kern w:val="0"/>
          <w:sz w:val="36"/>
          <w:szCs w:val="36"/>
        </w:rPr>
      </w:pPr>
    </w:p>
    <w:p w14:paraId="4E3BB63C">
      <w:pPr>
        <w:pStyle w:val="7"/>
        <w:rPr>
          <w:rFonts w:hint="eastAsia" w:ascii="Times New Roman" w:hAnsi="Times New Roman" w:eastAsia="方正小标宋_GBK" w:cs="Times New Roman"/>
          <w:color w:val="000000"/>
          <w:kern w:val="0"/>
          <w:sz w:val="36"/>
          <w:szCs w:val="36"/>
        </w:rPr>
      </w:pPr>
    </w:p>
    <w:p w14:paraId="06CEE4D9">
      <w:pPr>
        <w:pStyle w:val="2"/>
        <w:rPr>
          <w:rFonts w:hint="eastAsia"/>
        </w:rPr>
      </w:pPr>
    </w:p>
    <w:p w14:paraId="6977AF2A">
      <w:pPr>
        <w:rPr>
          <w:rFonts w:hint="eastAsia"/>
        </w:rPr>
      </w:pPr>
    </w:p>
    <w:p w14:paraId="6DF70815">
      <w:pPr>
        <w:pStyle w:val="7"/>
        <w:rPr>
          <w:rFonts w:hint="eastAsia"/>
        </w:rPr>
      </w:pPr>
    </w:p>
    <w:p w14:paraId="2C2144A1">
      <w:pPr>
        <w:pStyle w:val="2"/>
        <w:rPr>
          <w:rFonts w:hint="eastAsia"/>
        </w:rPr>
      </w:pPr>
    </w:p>
    <w:p w14:paraId="006E3926">
      <w:pPr>
        <w:rPr>
          <w:rFonts w:hint="eastAsia"/>
        </w:rPr>
      </w:pPr>
    </w:p>
    <w:p w14:paraId="11C65EB3">
      <w:pPr>
        <w:pStyle w:val="7"/>
        <w:rPr>
          <w:rFonts w:hint="eastAsia"/>
        </w:rPr>
      </w:pPr>
    </w:p>
    <w:p w14:paraId="4E0C09A8">
      <w:pPr>
        <w:pStyle w:val="2"/>
        <w:rPr>
          <w:rFonts w:hint="eastAsia"/>
        </w:rPr>
      </w:pPr>
    </w:p>
    <w:p w14:paraId="6BC89139">
      <w:pPr>
        <w:rPr>
          <w:rFonts w:hint="eastAsia"/>
        </w:rPr>
      </w:pPr>
    </w:p>
    <w:p w14:paraId="6AF60764">
      <w:pPr>
        <w:pStyle w:val="7"/>
        <w:rPr>
          <w:rFonts w:hint="eastAsia"/>
        </w:rPr>
      </w:pPr>
    </w:p>
    <w:p w14:paraId="37CFDC37">
      <w:pPr>
        <w:pStyle w:val="2"/>
        <w:rPr>
          <w:rFonts w:hint="eastAsia"/>
        </w:rPr>
      </w:pPr>
    </w:p>
    <w:p w14:paraId="72960AF8">
      <w:pPr>
        <w:rPr>
          <w:rFonts w:hint="eastAsia"/>
        </w:rPr>
      </w:pPr>
    </w:p>
    <w:p w14:paraId="42B0D78C">
      <w:pPr>
        <w:pStyle w:val="7"/>
        <w:rPr>
          <w:rFonts w:hint="eastAsia"/>
        </w:rPr>
      </w:pP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03"/>
        <w:gridCol w:w="240"/>
        <w:gridCol w:w="1402"/>
        <w:gridCol w:w="2119"/>
        <w:gridCol w:w="2119"/>
        <w:gridCol w:w="2119"/>
        <w:gridCol w:w="2119"/>
        <w:gridCol w:w="2119"/>
        <w:gridCol w:w="2120"/>
      </w:tblGrid>
      <w:tr w14:paraId="57CE0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15360" w:type="dxa"/>
            <w:gridSpan w:val="9"/>
            <w:tcBorders>
              <w:top w:val="nil"/>
              <w:left w:val="nil"/>
              <w:bottom w:val="nil"/>
              <w:right w:val="nil"/>
            </w:tcBorders>
            <w:shd w:val="clear" w:color="auto" w:fill="auto"/>
            <w:vAlign w:val="center"/>
          </w:tcPr>
          <w:p w14:paraId="21882972">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0B03B616">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12926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03" w:type="dxa"/>
            <w:tcBorders>
              <w:top w:val="nil"/>
              <w:left w:val="nil"/>
              <w:bottom w:val="nil"/>
              <w:right w:val="nil"/>
            </w:tcBorders>
            <w:shd w:val="clear" w:color="auto" w:fill="auto"/>
            <w:vAlign w:val="center"/>
          </w:tcPr>
          <w:p w14:paraId="65D6FFD4">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auto"/>
            <w:vAlign w:val="center"/>
          </w:tcPr>
          <w:p w14:paraId="45F5932B">
            <w:pPr>
              <w:jc w:val="center"/>
              <w:rPr>
                <w:rFonts w:hint="eastAsia" w:ascii="宋体" w:hAnsi="宋体" w:eastAsia="宋体" w:cs="宋体"/>
                <w:i w:val="0"/>
                <w:color w:val="000000"/>
                <w:sz w:val="20"/>
                <w:szCs w:val="20"/>
                <w:u w:val="none"/>
              </w:rPr>
            </w:pPr>
          </w:p>
        </w:tc>
        <w:tc>
          <w:tcPr>
            <w:tcW w:w="1402" w:type="dxa"/>
            <w:tcBorders>
              <w:top w:val="nil"/>
              <w:left w:val="nil"/>
              <w:bottom w:val="nil"/>
              <w:right w:val="nil"/>
            </w:tcBorders>
            <w:shd w:val="clear" w:color="auto" w:fill="auto"/>
            <w:vAlign w:val="center"/>
          </w:tcPr>
          <w:p w14:paraId="07F58359">
            <w:pPr>
              <w:jc w:val="cente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auto"/>
            <w:vAlign w:val="center"/>
          </w:tcPr>
          <w:p w14:paraId="543278C4">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auto"/>
            <w:vAlign w:val="center"/>
          </w:tcPr>
          <w:p w14:paraId="096077E0">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auto"/>
            <w:vAlign w:val="center"/>
          </w:tcPr>
          <w:p w14:paraId="4632DCC2">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auto"/>
            <w:vAlign w:val="center"/>
          </w:tcPr>
          <w:p w14:paraId="7717452D">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auto"/>
            <w:vAlign w:val="center"/>
          </w:tcPr>
          <w:p w14:paraId="12897DD2">
            <w:pPr>
              <w:rPr>
                <w:rFonts w:hint="eastAsia" w:ascii="宋体" w:hAnsi="宋体" w:eastAsia="宋体" w:cs="宋体"/>
                <w:i w:val="0"/>
                <w:color w:val="000000"/>
                <w:sz w:val="20"/>
                <w:szCs w:val="20"/>
                <w:u w:val="none"/>
              </w:rPr>
            </w:pPr>
          </w:p>
        </w:tc>
        <w:tc>
          <w:tcPr>
            <w:tcW w:w="2120" w:type="dxa"/>
            <w:tcBorders>
              <w:top w:val="nil"/>
              <w:left w:val="nil"/>
              <w:bottom w:val="nil"/>
              <w:right w:val="nil"/>
            </w:tcBorders>
            <w:shd w:val="clear" w:color="auto" w:fill="auto"/>
            <w:noWrap/>
            <w:vAlign w:val="center"/>
          </w:tcPr>
          <w:p w14:paraId="7B77029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61339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883" w:type="dxa"/>
            <w:gridSpan w:val="5"/>
            <w:tcBorders>
              <w:top w:val="nil"/>
              <w:left w:val="nil"/>
              <w:bottom w:val="nil"/>
              <w:right w:val="nil"/>
            </w:tcBorders>
            <w:shd w:val="clear" w:color="auto" w:fill="auto"/>
            <w:noWrap/>
            <w:vAlign w:val="center"/>
          </w:tcPr>
          <w:p w14:paraId="2D59794B">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部门：溆浦县教育局</w:t>
            </w:r>
          </w:p>
        </w:tc>
        <w:tc>
          <w:tcPr>
            <w:tcW w:w="2119" w:type="dxa"/>
            <w:tcBorders>
              <w:top w:val="nil"/>
              <w:left w:val="nil"/>
              <w:bottom w:val="nil"/>
              <w:right w:val="nil"/>
            </w:tcBorders>
            <w:shd w:val="clear" w:color="auto" w:fill="auto"/>
            <w:vAlign w:val="center"/>
          </w:tcPr>
          <w:p w14:paraId="1A6DBD96">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auto"/>
            <w:vAlign w:val="center"/>
          </w:tcPr>
          <w:p w14:paraId="473029D3">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auto"/>
            <w:vAlign w:val="center"/>
          </w:tcPr>
          <w:p w14:paraId="56322D84">
            <w:pPr>
              <w:rPr>
                <w:rFonts w:hint="eastAsia" w:ascii="宋体" w:hAnsi="宋体" w:eastAsia="宋体" w:cs="宋体"/>
                <w:i w:val="0"/>
                <w:color w:val="000000"/>
                <w:sz w:val="20"/>
                <w:szCs w:val="20"/>
                <w:u w:val="none"/>
              </w:rPr>
            </w:pPr>
          </w:p>
        </w:tc>
        <w:tc>
          <w:tcPr>
            <w:tcW w:w="2120" w:type="dxa"/>
            <w:tcBorders>
              <w:top w:val="nil"/>
              <w:left w:val="nil"/>
              <w:bottom w:val="nil"/>
              <w:right w:val="nil"/>
            </w:tcBorders>
            <w:shd w:val="clear" w:color="auto" w:fill="auto"/>
            <w:noWrap/>
            <w:vAlign w:val="center"/>
          </w:tcPr>
          <w:p w14:paraId="1C3E971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31B9B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trPr>
        <w:tc>
          <w:tcPr>
            <w:tcW w:w="2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777C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6"/>
                <w:lang w:val="en-US" w:eastAsia="zh-CN" w:bidi="ar"/>
              </w:rPr>
              <w:t xml:space="preserve">   </w:t>
            </w:r>
            <w:r>
              <w:rPr>
                <w:rStyle w:val="17"/>
                <w:lang w:val="en-US" w:eastAsia="zh-CN" w:bidi="ar"/>
              </w:rPr>
              <w:t>目</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87ED5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2358A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627BE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3D314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60144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2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27362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4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5395E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134DC">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C68B0">
            <w:pPr>
              <w:jc w:val="center"/>
              <w:rPr>
                <w:rFonts w:hint="eastAsia" w:ascii="宋体" w:hAnsi="宋体" w:eastAsia="宋体" w:cs="宋体"/>
                <w:i w:val="0"/>
                <w:color w:val="000000"/>
                <w:sz w:val="24"/>
                <w:szCs w:val="24"/>
                <w:u w:val="none"/>
              </w:rPr>
            </w:pP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6506E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4865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97CFA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2CEDF">
            <w:pPr>
              <w:jc w:val="center"/>
              <w:rPr>
                <w:rFonts w:hint="eastAsia" w:ascii="宋体" w:hAnsi="宋体" w:eastAsia="宋体" w:cs="宋体"/>
                <w:i w:val="0"/>
                <w:color w:val="000000"/>
                <w:sz w:val="24"/>
                <w:szCs w:val="24"/>
                <w:u w:val="none"/>
              </w:rPr>
            </w:pPr>
          </w:p>
        </w:tc>
      </w:tr>
      <w:tr w14:paraId="2C688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CBA95">
            <w:pPr>
              <w:jc w:val="center"/>
              <w:rPr>
                <w:rFonts w:hint="eastAsia" w:ascii="宋体" w:hAnsi="宋体" w:eastAsia="宋体" w:cs="宋体"/>
                <w:i w:val="0"/>
                <w:color w:val="000000"/>
                <w:sz w:val="24"/>
                <w:szCs w:val="24"/>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83223">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F4A2B">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B6E77">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93379">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B0584">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47AAD">
            <w:pPr>
              <w:jc w:val="center"/>
              <w:rPr>
                <w:rFonts w:hint="eastAsia" w:ascii="宋体" w:hAnsi="宋体" w:eastAsia="宋体" w:cs="宋体"/>
                <w:i w:val="0"/>
                <w:color w:val="000000"/>
                <w:sz w:val="24"/>
                <w:szCs w:val="24"/>
                <w:u w:val="none"/>
              </w:rPr>
            </w:pPr>
          </w:p>
        </w:tc>
        <w:tc>
          <w:tcPr>
            <w:tcW w:w="2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10CDA">
            <w:pPr>
              <w:jc w:val="center"/>
              <w:rPr>
                <w:rFonts w:hint="eastAsia" w:ascii="宋体" w:hAnsi="宋体" w:eastAsia="宋体" w:cs="宋体"/>
                <w:i w:val="0"/>
                <w:color w:val="000000"/>
                <w:sz w:val="24"/>
                <w:szCs w:val="24"/>
                <w:u w:val="none"/>
              </w:rPr>
            </w:pPr>
          </w:p>
        </w:tc>
      </w:tr>
      <w:tr w14:paraId="136AF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B0372">
            <w:pPr>
              <w:jc w:val="center"/>
              <w:rPr>
                <w:rFonts w:hint="eastAsia" w:ascii="宋体" w:hAnsi="宋体" w:eastAsia="宋体" w:cs="宋体"/>
                <w:i w:val="0"/>
                <w:color w:val="000000"/>
                <w:sz w:val="24"/>
                <w:szCs w:val="24"/>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23635">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3F5B2">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BEFA9">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1AFEF">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FB279">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04DE4">
            <w:pPr>
              <w:jc w:val="center"/>
              <w:rPr>
                <w:rFonts w:hint="eastAsia" w:ascii="宋体" w:hAnsi="宋体" w:eastAsia="宋体" w:cs="宋体"/>
                <w:i w:val="0"/>
                <w:color w:val="000000"/>
                <w:sz w:val="24"/>
                <w:szCs w:val="24"/>
                <w:u w:val="none"/>
              </w:rPr>
            </w:pPr>
          </w:p>
        </w:tc>
        <w:tc>
          <w:tcPr>
            <w:tcW w:w="2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67FAA">
            <w:pPr>
              <w:jc w:val="center"/>
              <w:rPr>
                <w:rFonts w:hint="eastAsia" w:ascii="宋体" w:hAnsi="宋体" w:eastAsia="宋体" w:cs="宋体"/>
                <w:i w:val="0"/>
                <w:color w:val="000000"/>
                <w:sz w:val="24"/>
                <w:szCs w:val="24"/>
                <w:u w:val="none"/>
              </w:rPr>
            </w:pPr>
          </w:p>
        </w:tc>
      </w:tr>
      <w:tr w14:paraId="0F247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2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C0FC9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BFD2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48B5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8E98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CACB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16FD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A6DE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1A194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2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177C9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E3592">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DB879">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A07EA">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079B9">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AEDC7">
            <w:pPr>
              <w:jc w:val="cente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D14D4">
            <w:pPr>
              <w:jc w:val="center"/>
              <w:rPr>
                <w:rFonts w:hint="eastAsia" w:ascii="宋体" w:hAnsi="宋体" w:eastAsia="宋体" w:cs="宋体"/>
                <w:i w:val="0"/>
                <w:color w:val="000000"/>
                <w:sz w:val="24"/>
                <w:szCs w:val="24"/>
                <w:u w:val="none"/>
              </w:rPr>
            </w:pPr>
          </w:p>
        </w:tc>
      </w:tr>
      <w:tr w14:paraId="08787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153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12ABA78">
            <w:pPr>
              <w:jc w:val="center"/>
              <w:rPr>
                <w:rFonts w:hint="eastAsia" w:ascii="宋体" w:hAnsi="宋体" w:eastAsia="宋体" w:cs="宋体"/>
                <w:i w:val="0"/>
                <w:color w:val="000000"/>
                <w:sz w:val="24"/>
                <w:szCs w:val="24"/>
                <w:u w:val="none"/>
              </w:rPr>
            </w:pPr>
            <w:r>
              <w:rPr>
                <w:rFonts w:hint="eastAsia" w:ascii="楷体" w:hAnsi="楷体" w:eastAsia="楷体" w:cs="楷体"/>
                <w:b/>
                <w:bCs/>
                <w:i w:val="0"/>
                <w:color w:val="auto"/>
                <w:kern w:val="0"/>
                <w:sz w:val="24"/>
                <w:szCs w:val="24"/>
                <w:u w:val="none"/>
                <w:lang w:val="en-US" w:eastAsia="zh-CN" w:bidi="ar"/>
              </w:rPr>
              <w:t>我单位没有政府性基金收入，也没有使用政府性基金安排的支出，故本表无数据。</w:t>
            </w:r>
          </w:p>
        </w:tc>
      </w:tr>
      <w:tr w14:paraId="3B629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D91BC6">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3CA2C">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A10CF">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FB8B9">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38318">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09B0E">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335D2">
            <w:pP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468E6">
            <w:pPr>
              <w:rPr>
                <w:rFonts w:hint="eastAsia" w:ascii="宋体" w:hAnsi="宋体" w:eastAsia="宋体" w:cs="宋体"/>
                <w:i w:val="0"/>
                <w:color w:val="000000"/>
                <w:sz w:val="24"/>
                <w:szCs w:val="24"/>
                <w:u w:val="none"/>
              </w:rPr>
            </w:pPr>
          </w:p>
        </w:tc>
      </w:tr>
      <w:tr w14:paraId="3A444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E894A9">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C7F90">
            <w:pPr>
              <w:rPr>
                <w:rFonts w:hint="eastAsia" w:ascii="宋体" w:hAnsi="宋体" w:eastAsia="宋体" w:cs="宋体"/>
                <w:i w:val="0"/>
                <w:color w:val="000000"/>
                <w:sz w:val="20"/>
                <w:szCs w:val="20"/>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FF914">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E74D3">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EF2E7">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F61F0">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1ADD7">
            <w:pP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3F674">
            <w:pPr>
              <w:rPr>
                <w:rFonts w:hint="eastAsia" w:ascii="宋体" w:hAnsi="宋体" w:eastAsia="宋体" w:cs="宋体"/>
                <w:i w:val="0"/>
                <w:color w:val="000000"/>
                <w:sz w:val="24"/>
                <w:szCs w:val="24"/>
                <w:u w:val="none"/>
              </w:rPr>
            </w:pPr>
          </w:p>
        </w:tc>
      </w:tr>
      <w:tr w14:paraId="2442F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B25F1C">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47875">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81B66">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A0D6A">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2C736">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BED96">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AB411">
            <w:pP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94BAA">
            <w:pPr>
              <w:rPr>
                <w:rFonts w:hint="eastAsia" w:ascii="宋体" w:hAnsi="宋体" w:eastAsia="宋体" w:cs="宋体"/>
                <w:i w:val="0"/>
                <w:color w:val="000000"/>
                <w:sz w:val="24"/>
                <w:szCs w:val="24"/>
                <w:u w:val="none"/>
              </w:rPr>
            </w:pPr>
          </w:p>
        </w:tc>
      </w:tr>
      <w:tr w14:paraId="276DA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A98709">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8C957">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DB074">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E425C">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01ACD">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0F9F4">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59B5A">
            <w:pP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D18FA">
            <w:pPr>
              <w:rPr>
                <w:rFonts w:hint="eastAsia" w:ascii="宋体" w:hAnsi="宋体" w:eastAsia="宋体" w:cs="宋体"/>
                <w:i w:val="0"/>
                <w:color w:val="000000"/>
                <w:sz w:val="24"/>
                <w:szCs w:val="24"/>
                <w:u w:val="none"/>
              </w:rPr>
            </w:pPr>
          </w:p>
        </w:tc>
      </w:tr>
      <w:tr w14:paraId="33900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4AB9F1">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95CC5">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68AA9">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97DDD">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CF4CF">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5BA4C">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E518D">
            <w:pP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A103F">
            <w:pPr>
              <w:rPr>
                <w:rFonts w:hint="eastAsia" w:ascii="宋体" w:hAnsi="宋体" w:eastAsia="宋体" w:cs="宋体"/>
                <w:i w:val="0"/>
                <w:color w:val="000000"/>
                <w:sz w:val="24"/>
                <w:szCs w:val="24"/>
                <w:u w:val="none"/>
              </w:rPr>
            </w:pPr>
          </w:p>
        </w:tc>
      </w:tr>
      <w:tr w14:paraId="5E87A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15360" w:type="dxa"/>
            <w:gridSpan w:val="9"/>
            <w:tcBorders>
              <w:top w:val="nil"/>
              <w:left w:val="nil"/>
              <w:bottom w:val="nil"/>
              <w:right w:val="nil"/>
            </w:tcBorders>
            <w:shd w:val="clear" w:color="auto" w:fill="auto"/>
            <w:vAlign w:val="center"/>
          </w:tcPr>
          <w:p w14:paraId="370C0A2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40AEF98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781C982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w:t>
            </w:r>
            <w:bookmarkStart w:id="2" w:name="OLE_LINK9"/>
            <w:r>
              <w:rPr>
                <w:rFonts w:hint="eastAsia" w:ascii="楷体" w:hAnsi="楷体" w:eastAsia="楷体" w:cs="楷体"/>
                <w:b/>
                <w:bCs/>
                <w:i w:val="0"/>
                <w:color w:val="auto"/>
                <w:kern w:val="0"/>
                <w:sz w:val="24"/>
                <w:szCs w:val="24"/>
                <w:u w:val="none"/>
                <w:lang w:val="en-US" w:eastAsia="zh-CN" w:bidi="ar"/>
              </w:rPr>
              <w:t>我单位没有政府性基金收入，也没有使用政府性基金安排的支出，故本表无数据。</w:t>
            </w:r>
            <w:bookmarkEnd w:id="2"/>
            <w:r>
              <w:rPr>
                <w:rFonts w:hint="eastAsia" w:ascii="楷体" w:hAnsi="楷体" w:eastAsia="楷体" w:cs="楷体"/>
                <w:b/>
                <w:bCs/>
                <w:i w:val="0"/>
                <w:color w:val="auto"/>
                <w:kern w:val="0"/>
                <w:sz w:val="24"/>
                <w:szCs w:val="24"/>
                <w:u w:val="none"/>
                <w:lang w:val="en-US" w:eastAsia="zh-CN" w:bidi="ar"/>
              </w:rPr>
              <w:t>（当表格数据为空时，应有此说明）</w:t>
            </w:r>
          </w:p>
        </w:tc>
      </w:tr>
    </w:tbl>
    <w:p w14:paraId="096DE622">
      <w:pPr>
        <w:pStyle w:val="2"/>
        <w:rPr>
          <w:rFonts w:hint="eastAsia" w:ascii="Times New Roman" w:hAnsi="Times New Roman" w:eastAsia="方正小标宋_GBK" w:cs="Times New Roman"/>
          <w:color w:val="000000"/>
          <w:kern w:val="0"/>
          <w:sz w:val="36"/>
          <w:szCs w:val="36"/>
        </w:rPr>
      </w:pPr>
    </w:p>
    <w:p w14:paraId="5CB7A258">
      <w:pPr>
        <w:rPr>
          <w:rFonts w:hint="eastAsia"/>
        </w:rPr>
      </w:pPr>
    </w:p>
    <w:p w14:paraId="015E0355">
      <w:pPr>
        <w:rPr>
          <w:rFonts w:hint="eastAsia" w:ascii="Times New Roman" w:hAnsi="Times New Roman" w:eastAsia="方正小标宋_GBK" w:cs="Times New Roman"/>
          <w:color w:val="000000"/>
          <w:kern w:val="0"/>
          <w:sz w:val="36"/>
          <w:szCs w:val="36"/>
        </w:rPr>
      </w:pPr>
    </w:p>
    <w:p w14:paraId="3650165D">
      <w:pPr>
        <w:pStyle w:val="7"/>
        <w:rPr>
          <w:rFonts w:hint="eastAsia" w:ascii="Times New Roman" w:hAnsi="Times New Roman" w:eastAsia="方正小标宋_GBK" w:cs="Times New Roman"/>
          <w:color w:val="000000"/>
          <w:kern w:val="0"/>
          <w:sz w:val="36"/>
          <w:szCs w:val="36"/>
        </w:rPr>
      </w:pPr>
    </w:p>
    <w:p w14:paraId="1FECB703">
      <w:pPr>
        <w:pStyle w:val="2"/>
        <w:rPr>
          <w:rFonts w:hint="eastAsia" w:ascii="Times New Roman" w:hAnsi="Times New Roman" w:eastAsia="方正小标宋_GBK" w:cs="Times New Roman"/>
          <w:color w:val="000000"/>
          <w:kern w:val="0"/>
          <w:sz w:val="36"/>
          <w:szCs w:val="36"/>
        </w:rPr>
      </w:pPr>
    </w:p>
    <w:p w14:paraId="7E744ED2">
      <w:pPr>
        <w:rPr>
          <w:rFonts w:hint="eastAsia"/>
        </w:rPr>
      </w:pPr>
    </w:p>
    <w:p w14:paraId="404461B0">
      <w:pPr>
        <w:widowControl/>
        <w:jc w:val="center"/>
        <w:rPr>
          <w:rFonts w:hint="eastAsia" w:ascii="Times New Roman" w:hAnsi="Times New Roman" w:eastAsia="方正小标宋_GBK" w:cs="Times New Roman"/>
          <w:color w:val="000000"/>
          <w:kern w:val="0"/>
          <w:sz w:val="36"/>
          <w:szCs w:val="36"/>
        </w:rPr>
      </w:pPr>
    </w:p>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71E16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auto"/>
            <w:vAlign w:val="center"/>
          </w:tcPr>
          <w:p w14:paraId="7F9FFFB1">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52CA0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auto"/>
            <w:vAlign w:val="center"/>
          </w:tcPr>
          <w:p w14:paraId="6569A683">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auto"/>
            <w:vAlign w:val="center"/>
          </w:tcPr>
          <w:p w14:paraId="1E446E2A">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auto"/>
            <w:vAlign w:val="center"/>
          </w:tcPr>
          <w:p w14:paraId="3DCC8606">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auto"/>
            <w:vAlign w:val="center"/>
          </w:tcPr>
          <w:p w14:paraId="29FEEB8F">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auto"/>
            <w:vAlign w:val="center"/>
          </w:tcPr>
          <w:p w14:paraId="32115A7C">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auto"/>
            <w:noWrap/>
            <w:vAlign w:val="center"/>
          </w:tcPr>
          <w:p w14:paraId="2760F01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32775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auto"/>
            <w:noWrap/>
            <w:vAlign w:val="center"/>
          </w:tcPr>
          <w:p w14:paraId="071E7643">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部门：溆浦县教育局</w:t>
            </w:r>
          </w:p>
        </w:tc>
        <w:tc>
          <w:tcPr>
            <w:tcW w:w="3315" w:type="dxa"/>
            <w:tcBorders>
              <w:top w:val="nil"/>
              <w:left w:val="nil"/>
              <w:bottom w:val="nil"/>
              <w:right w:val="nil"/>
            </w:tcBorders>
            <w:shd w:val="clear" w:color="auto" w:fill="auto"/>
            <w:vAlign w:val="center"/>
          </w:tcPr>
          <w:p w14:paraId="064161FA">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auto"/>
            <w:vAlign w:val="center"/>
          </w:tcPr>
          <w:p w14:paraId="66B24C18">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auto"/>
            <w:noWrap/>
            <w:vAlign w:val="center"/>
          </w:tcPr>
          <w:p w14:paraId="4391048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E995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1B632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8"/>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846F6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03E8C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9C86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B6FAB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1C227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C70E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949E6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431A3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59108">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5F360">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86EDA">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F762A">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ECEAE">
            <w:pPr>
              <w:jc w:val="center"/>
              <w:rPr>
                <w:rFonts w:hint="eastAsia" w:ascii="宋体" w:hAnsi="宋体" w:eastAsia="宋体" w:cs="宋体"/>
                <w:i w:val="0"/>
                <w:color w:val="000000"/>
                <w:sz w:val="24"/>
                <w:szCs w:val="24"/>
                <w:u w:val="none"/>
              </w:rPr>
            </w:pPr>
          </w:p>
        </w:tc>
      </w:tr>
      <w:tr w14:paraId="5AA07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6A88D">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BB86C">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217AE">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0DCCF">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9BBC5">
            <w:pPr>
              <w:jc w:val="center"/>
              <w:rPr>
                <w:rFonts w:hint="eastAsia" w:ascii="宋体" w:hAnsi="宋体" w:eastAsia="宋体" w:cs="宋体"/>
                <w:i w:val="0"/>
                <w:color w:val="000000"/>
                <w:sz w:val="24"/>
                <w:szCs w:val="24"/>
                <w:u w:val="none"/>
              </w:rPr>
            </w:pPr>
          </w:p>
        </w:tc>
      </w:tr>
      <w:tr w14:paraId="6CB0C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0A2B7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55FF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38E2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489E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74D2D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969D7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C32176">
            <w:pPr>
              <w:jc w:val="center"/>
              <w:rPr>
                <w:rFonts w:hint="eastAsia" w:ascii="宋体" w:hAnsi="宋体" w:eastAsia="宋体" w:cs="宋体"/>
                <w:i w:val="0"/>
                <w:color w:val="000000"/>
                <w:sz w:val="24"/>
                <w:szCs w:val="24"/>
                <w:u w:val="none"/>
              </w:rPr>
            </w:pPr>
            <w:r>
              <w:rPr>
                <w:rFonts w:hint="eastAsia" w:ascii="楷体" w:hAnsi="楷体" w:eastAsia="楷体" w:cs="楷体"/>
                <w:b/>
                <w:bCs/>
                <w:kern w:val="0"/>
                <w:sz w:val="24"/>
                <w:szCs w:val="24"/>
                <w:lang w:bidi="ar"/>
              </w:rPr>
              <w:t>我单位没有使用国有资本经营预算安排的支出，故本表无数据。</w:t>
            </w:r>
          </w:p>
        </w:tc>
      </w:tr>
      <w:tr w14:paraId="052AC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30D54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C5231">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763A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43864">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39A22">
            <w:pPr>
              <w:rPr>
                <w:rFonts w:hint="eastAsia" w:ascii="宋体" w:hAnsi="宋体" w:eastAsia="宋体" w:cs="宋体"/>
                <w:i w:val="0"/>
                <w:color w:val="000000"/>
                <w:sz w:val="24"/>
                <w:szCs w:val="24"/>
                <w:u w:val="none"/>
              </w:rPr>
            </w:pPr>
          </w:p>
        </w:tc>
      </w:tr>
      <w:tr w14:paraId="55F78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8A8FDC">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D044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8D52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17138">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C098A">
            <w:pPr>
              <w:rPr>
                <w:rFonts w:hint="eastAsia" w:ascii="宋体" w:hAnsi="宋体" w:eastAsia="宋体" w:cs="宋体"/>
                <w:i w:val="0"/>
                <w:color w:val="000000"/>
                <w:sz w:val="24"/>
                <w:szCs w:val="24"/>
                <w:u w:val="none"/>
              </w:rPr>
            </w:pPr>
          </w:p>
        </w:tc>
      </w:tr>
      <w:tr w14:paraId="7BA1F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7DB837">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D81E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C3240">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E8BAC">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BC179">
            <w:pPr>
              <w:rPr>
                <w:rFonts w:hint="eastAsia" w:ascii="宋体" w:hAnsi="宋体" w:eastAsia="宋体" w:cs="宋体"/>
                <w:i w:val="0"/>
                <w:color w:val="000000"/>
                <w:sz w:val="24"/>
                <w:szCs w:val="24"/>
                <w:u w:val="none"/>
              </w:rPr>
            </w:pPr>
          </w:p>
        </w:tc>
      </w:tr>
      <w:tr w14:paraId="12685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484F2E0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3BBD620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5C300934">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2D9E48DC">
      <w:pPr>
        <w:widowControl/>
        <w:jc w:val="center"/>
        <w:rPr>
          <w:rFonts w:hint="eastAsia" w:ascii="Times New Roman" w:hAnsi="Times New Roman" w:eastAsia="方正小标宋_GBK" w:cs="Times New Roman"/>
          <w:color w:val="000000"/>
          <w:kern w:val="0"/>
          <w:sz w:val="36"/>
          <w:szCs w:val="36"/>
        </w:rPr>
      </w:pPr>
    </w:p>
    <w:tbl>
      <w:tblPr>
        <w:tblStyle w:val="9"/>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7B394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auto"/>
            <w:vAlign w:val="center"/>
          </w:tcPr>
          <w:p w14:paraId="3AB0340F">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01E64B53">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2A67F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auto"/>
            <w:vAlign w:val="center"/>
          </w:tcPr>
          <w:p w14:paraId="0C84725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39F2F18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2DFCD0A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260EE4E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6A58FD2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19EE42B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328529E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3B47910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045C1E3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0CF6518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51509FE4">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auto"/>
            <w:noWrap/>
            <w:vAlign w:val="center"/>
          </w:tcPr>
          <w:p w14:paraId="6200F0E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1D669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782" w:type="dxa"/>
            <w:gridSpan w:val="3"/>
            <w:tcBorders>
              <w:top w:val="nil"/>
              <w:left w:val="nil"/>
              <w:bottom w:val="nil"/>
              <w:right w:val="nil"/>
            </w:tcBorders>
            <w:shd w:val="clear" w:color="auto" w:fill="auto"/>
            <w:noWrap/>
            <w:vAlign w:val="center"/>
          </w:tcPr>
          <w:p w14:paraId="7958089A">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部门：溆浦县教育局</w:t>
            </w:r>
          </w:p>
        </w:tc>
        <w:tc>
          <w:tcPr>
            <w:tcW w:w="1261" w:type="dxa"/>
            <w:tcBorders>
              <w:top w:val="nil"/>
              <w:left w:val="nil"/>
              <w:bottom w:val="nil"/>
              <w:right w:val="nil"/>
            </w:tcBorders>
            <w:shd w:val="clear" w:color="auto" w:fill="auto"/>
            <w:vAlign w:val="center"/>
          </w:tcPr>
          <w:p w14:paraId="3515CF6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7B78245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58EF381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65F5F36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165990F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6BDD865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110A1F0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14:paraId="4408EB16">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auto"/>
            <w:noWrap/>
            <w:vAlign w:val="center"/>
          </w:tcPr>
          <w:p w14:paraId="037DBB6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61153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2DA1DB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06DDA2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4A769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B170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8991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7F556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72E2E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1F0CD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B82AE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94C5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60B7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55F21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6B881">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F2DE2">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8A03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14A1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F7C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734F8">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60502">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B2E4F">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7211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B37E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AC09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66EE1">
            <w:pPr>
              <w:jc w:val="center"/>
              <w:rPr>
                <w:rFonts w:hint="eastAsia" w:ascii="宋体" w:hAnsi="宋体" w:eastAsia="宋体" w:cs="宋体"/>
                <w:i w:val="0"/>
                <w:color w:val="000000"/>
                <w:sz w:val="22"/>
                <w:szCs w:val="22"/>
                <w:u w:val="none"/>
              </w:rPr>
            </w:pPr>
          </w:p>
        </w:tc>
      </w:tr>
      <w:tr w14:paraId="76F8F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F2B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936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142C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0206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765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8D0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684B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4AE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D5F6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412B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3D70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08BA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34AE7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9472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43F1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8DAB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EE56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BCE9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4FEC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F673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01B8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90DC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DF80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5B3C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FD77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r>
      <w:tr w14:paraId="3E946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2959252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57E659B1">
      <w:pPr>
        <w:autoSpaceDE w:val="0"/>
        <w:autoSpaceDN w:val="0"/>
        <w:adjustRightInd w:val="0"/>
        <w:ind w:left="315" w:leftChars="150"/>
        <w:jc w:val="left"/>
        <w:rPr>
          <w:rFonts w:ascii="宋体" w:eastAsia="宋体" w:cs="宋体"/>
          <w:kern w:val="0"/>
          <w:sz w:val="24"/>
          <w:szCs w:val="24"/>
        </w:rPr>
      </w:pPr>
    </w:p>
    <w:p w14:paraId="243B0E22">
      <w:pPr>
        <w:autoSpaceDE w:val="0"/>
        <w:autoSpaceDN w:val="0"/>
        <w:adjustRightInd w:val="0"/>
        <w:ind w:left="315" w:leftChars="150"/>
        <w:jc w:val="left"/>
        <w:rPr>
          <w:rFonts w:ascii="宋体" w:eastAsia="宋体" w:cs="宋体"/>
          <w:kern w:val="0"/>
          <w:sz w:val="24"/>
          <w:szCs w:val="24"/>
        </w:rPr>
      </w:pPr>
    </w:p>
    <w:p w14:paraId="7CC5E050">
      <w:pPr>
        <w:autoSpaceDE w:val="0"/>
        <w:autoSpaceDN w:val="0"/>
        <w:adjustRightInd w:val="0"/>
        <w:ind w:left="315" w:leftChars="150"/>
        <w:jc w:val="left"/>
        <w:rPr>
          <w:rFonts w:ascii="宋体" w:eastAsia="宋体" w:cs="宋体"/>
          <w:kern w:val="0"/>
          <w:sz w:val="24"/>
          <w:szCs w:val="24"/>
        </w:rPr>
      </w:pPr>
    </w:p>
    <w:p w14:paraId="79F90113">
      <w:pPr>
        <w:autoSpaceDE w:val="0"/>
        <w:autoSpaceDN w:val="0"/>
        <w:adjustRightInd w:val="0"/>
        <w:ind w:left="315" w:leftChars="150"/>
        <w:jc w:val="left"/>
        <w:rPr>
          <w:rFonts w:ascii="宋体" w:eastAsia="宋体" w:cs="宋体"/>
          <w:kern w:val="0"/>
          <w:sz w:val="24"/>
          <w:szCs w:val="24"/>
        </w:rPr>
      </w:pPr>
    </w:p>
    <w:p w14:paraId="2DD6E741">
      <w:pPr>
        <w:autoSpaceDE w:val="0"/>
        <w:autoSpaceDN w:val="0"/>
        <w:adjustRightInd w:val="0"/>
        <w:ind w:left="315" w:leftChars="150"/>
        <w:jc w:val="left"/>
        <w:rPr>
          <w:rFonts w:ascii="宋体" w:eastAsia="宋体" w:cs="宋体"/>
          <w:kern w:val="0"/>
          <w:sz w:val="24"/>
          <w:szCs w:val="24"/>
        </w:rPr>
      </w:pPr>
    </w:p>
    <w:p w14:paraId="11D6D1DC">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5B80677B">
      <w:pPr>
        <w:pStyle w:val="13"/>
        <w:rPr>
          <w:sz w:val="72"/>
          <w:szCs w:val="72"/>
        </w:rPr>
      </w:pPr>
    </w:p>
    <w:p w14:paraId="20FA7677">
      <w:pPr>
        <w:pStyle w:val="13"/>
        <w:rPr>
          <w:sz w:val="72"/>
          <w:szCs w:val="72"/>
        </w:rPr>
      </w:pPr>
    </w:p>
    <w:p w14:paraId="75E23CCD">
      <w:pPr>
        <w:pStyle w:val="13"/>
        <w:rPr>
          <w:sz w:val="72"/>
          <w:szCs w:val="72"/>
        </w:rPr>
      </w:pPr>
    </w:p>
    <w:p w14:paraId="3912EA27">
      <w:pPr>
        <w:pStyle w:val="13"/>
        <w:rPr>
          <w:sz w:val="72"/>
          <w:szCs w:val="72"/>
        </w:rPr>
      </w:pPr>
    </w:p>
    <w:p w14:paraId="5B7A33B6">
      <w:pPr>
        <w:pStyle w:val="13"/>
        <w:jc w:val="center"/>
        <w:rPr>
          <w:sz w:val="72"/>
          <w:szCs w:val="72"/>
        </w:rPr>
      </w:pPr>
    </w:p>
    <w:p w14:paraId="12A3D126">
      <w:pPr>
        <w:pStyle w:val="13"/>
        <w:jc w:val="center"/>
        <w:rPr>
          <w:rFonts w:hint="eastAsia" w:ascii="方正小标宋_GBK" w:hAnsi="方正小标宋_GBK" w:eastAsia="方正小标宋_GBK" w:cs="方正小标宋_GBK"/>
          <w:sz w:val="72"/>
          <w:szCs w:val="72"/>
        </w:rPr>
      </w:pPr>
    </w:p>
    <w:p w14:paraId="69DD9D15">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68F089ED">
      <w:pPr>
        <w:pStyle w:val="13"/>
        <w:jc w:val="center"/>
        <w:rPr>
          <w:rFonts w:hint="eastAsia" w:ascii="方正小标宋_GBK" w:hAnsi="方正小标宋_GBK" w:eastAsia="方正小标宋_GBK" w:cs="方正小标宋_GBK"/>
          <w:sz w:val="70"/>
          <w:szCs w:val="70"/>
        </w:rPr>
      </w:pPr>
    </w:p>
    <w:p w14:paraId="33A93D7C">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5AD4716F">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01FEE4D5">
      <w:pPr>
        <w:pStyle w:val="13"/>
        <w:spacing w:line="600" w:lineRule="exact"/>
        <w:ind w:firstLine="640" w:firstLineChars="200"/>
        <w:rPr>
          <w:rFonts w:hAnsi="黑体"/>
          <w:bCs/>
          <w:sz w:val="32"/>
          <w:szCs w:val="32"/>
        </w:rPr>
      </w:pPr>
      <w:r>
        <w:rPr>
          <w:rFonts w:hint="eastAsia" w:hAnsi="黑体"/>
          <w:bCs/>
          <w:sz w:val="32"/>
          <w:szCs w:val="32"/>
        </w:rPr>
        <w:t>一、收入支出决算总体情况说明</w:t>
      </w:r>
    </w:p>
    <w:p w14:paraId="3673277D">
      <w:pPr>
        <w:pStyle w:val="13"/>
        <w:spacing w:line="600" w:lineRule="exact"/>
        <w:ind w:firstLine="640" w:firstLineChars="200"/>
        <w:rPr>
          <w:rFonts w:hint="eastAsia" w:ascii="仿宋" w:hAnsi="仿宋" w:eastAsia="仿宋" w:cs="仿宋"/>
          <w:sz w:val="32"/>
          <w:szCs w:val="32"/>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度收、支总计21008.4</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万元。与上年相比，</w:t>
      </w:r>
      <w:r>
        <w:rPr>
          <w:rFonts w:hint="eastAsia" w:ascii="仿宋" w:hAnsi="仿宋" w:eastAsia="仿宋" w:cs="仿宋"/>
          <w:sz w:val="32"/>
          <w:szCs w:val="32"/>
        </w:rPr>
        <w:t>增加</w:t>
      </w:r>
      <w:r>
        <w:rPr>
          <w:rFonts w:hint="eastAsia" w:ascii="仿宋" w:hAnsi="仿宋" w:eastAsia="仿宋" w:cs="仿宋"/>
          <w:sz w:val="32"/>
          <w:szCs w:val="32"/>
          <w:lang w:val="en-US" w:eastAsia="zh-CN"/>
        </w:rPr>
        <w:t>6271.66</w:t>
      </w:r>
      <w:r>
        <w:rPr>
          <w:rFonts w:hint="eastAsia" w:ascii="仿宋" w:hAnsi="仿宋" w:eastAsia="仿宋" w:cs="仿宋"/>
          <w:sz w:val="32"/>
          <w:szCs w:val="32"/>
        </w:rPr>
        <w:t>万元，增长</w:t>
      </w:r>
      <w:r>
        <w:rPr>
          <w:rFonts w:hint="eastAsia" w:ascii="仿宋" w:hAnsi="仿宋" w:eastAsia="仿宋" w:cs="仿宋"/>
          <w:sz w:val="32"/>
          <w:szCs w:val="32"/>
          <w:lang w:val="en-US" w:eastAsia="zh-CN"/>
        </w:rPr>
        <w:t>42.55</w:t>
      </w:r>
      <w:r>
        <w:rPr>
          <w:rFonts w:hint="eastAsia" w:ascii="仿宋" w:hAnsi="仿宋" w:eastAsia="仿宋" w:cs="仿宋"/>
          <w:sz w:val="32"/>
          <w:szCs w:val="32"/>
        </w:rPr>
        <w:t>%，主要是因为</w:t>
      </w:r>
      <w:r>
        <w:rPr>
          <w:rFonts w:hint="eastAsia" w:ascii="仿宋" w:hAnsi="仿宋" w:eastAsia="仿宋" w:cs="仿宋"/>
          <w:sz w:val="32"/>
          <w:szCs w:val="32"/>
          <w:lang w:eastAsia="zh-CN"/>
        </w:rPr>
        <w:t>财政拨款收入</w:t>
      </w:r>
      <w:r>
        <w:rPr>
          <w:rFonts w:hint="eastAsia" w:ascii="仿宋" w:hAnsi="仿宋" w:eastAsia="仿宋" w:cs="仿宋"/>
          <w:sz w:val="32"/>
          <w:szCs w:val="32"/>
        </w:rPr>
        <w:t>增加</w:t>
      </w:r>
      <w:r>
        <w:rPr>
          <w:rFonts w:hint="eastAsia" w:ascii="仿宋" w:hAnsi="仿宋" w:eastAsia="仿宋" w:cs="仿宋"/>
          <w:sz w:val="32"/>
          <w:szCs w:val="32"/>
          <w:lang w:eastAsia="zh-CN"/>
        </w:rPr>
        <w:t>用于基本建设项目支出</w:t>
      </w:r>
      <w:r>
        <w:rPr>
          <w:rFonts w:hint="eastAsia" w:ascii="仿宋" w:hAnsi="仿宋" w:eastAsia="仿宋" w:cs="仿宋"/>
          <w:sz w:val="32"/>
          <w:szCs w:val="32"/>
        </w:rPr>
        <w:t>。</w:t>
      </w:r>
    </w:p>
    <w:p w14:paraId="6254CF6C">
      <w:pPr>
        <w:pStyle w:val="13"/>
        <w:spacing w:line="600" w:lineRule="exact"/>
        <w:ind w:firstLine="640" w:firstLineChars="200"/>
        <w:rPr>
          <w:rFonts w:hAnsi="黑体"/>
          <w:bCs/>
          <w:sz w:val="32"/>
          <w:szCs w:val="32"/>
        </w:rPr>
      </w:pPr>
      <w:r>
        <w:rPr>
          <w:rFonts w:hint="eastAsia" w:hAnsi="黑体"/>
          <w:bCs/>
          <w:sz w:val="32"/>
          <w:szCs w:val="32"/>
        </w:rPr>
        <w:t>二、收入决算情况说明</w:t>
      </w:r>
    </w:p>
    <w:p w14:paraId="7B9C5AAD">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度收入合计21008.4</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万元，其中：财政拨款收入20625.52万元，占</w:t>
      </w:r>
      <w:r>
        <w:rPr>
          <w:rFonts w:hint="eastAsia" w:ascii="Times New Roman" w:hAnsi="Times New Roman" w:eastAsia="仿宋_GB2312"/>
          <w:sz w:val="32"/>
          <w:szCs w:val="32"/>
          <w:lang w:val="en-US" w:eastAsia="zh-CN"/>
        </w:rPr>
        <w:t>98</w:t>
      </w:r>
      <w:r>
        <w:rPr>
          <w:rFonts w:hint="eastAsia" w:ascii="Times New Roman" w:hAnsi="Times New Roman" w:eastAsia="仿宋_GB2312"/>
          <w:sz w:val="32"/>
          <w:szCs w:val="32"/>
        </w:rPr>
        <w:t>%；上级补助收入0万元，占0%；事业收入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%；经营收入0万元，占0%；附属单位上缴收入0万元，占0%；其他收入382.89万元，占</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w:t>
      </w:r>
    </w:p>
    <w:p w14:paraId="0B7D4DA9">
      <w:pPr>
        <w:pStyle w:val="13"/>
        <w:spacing w:line="600" w:lineRule="exact"/>
        <w:ind w:firstLine="640" w:firstLineChars="200"/>
        <w:rPr>
          <w:rFonts w:hAnsi="黑体"/>
          <w:bCs/>
          <w:sz w:val="32"/>
          <w:szCs w:val="32"/>
        </w:rPr>
      </w:pPr>
      <w:r>
        <w:rPr>
          <w:rFonts w:hint="eastAsia" w:hAnsi="黑体"/>
          <w:bCs/>
          <w:sz w:val="32"/>
          <w:szCs w:val="32"/>
        </w:rPr>
        <w:t>三、支出决算情况说明</w:t>
      </w:r>
    </w:p>
    <w:p w14:paraId="5A4DF5D2">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度支出合计21008.4</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w:t>
      </w:r>
      <w:r>
        <w:rPr>
          <w:rFonts w:hint="eastAsia" w:ascii="Times New Roman" w:hAnsi="Times New Roman" w:eastAsia="仿宋_GB2312"/>
          <w:sz w:val="32"/>
          <w:szCs w:val="32"/>
          <w:lang w:eastAsia="zh-CN"/>
        </w:rPr>
        <w:t>基本支出6058.26万元，占28.84%；项目支出14950.14万元，占71.16%</w:t>
      </w:r>
      <w:r>
        <w:rPr>
          <w:rFonts w:hint="eastAsia" w:ascii="Times New Roman" w:hAnsi="Times New Roman" w:eastAsia="仿宋_GB2312"/>
          <w:sz w:val="32"/>
          <w:szCs w:val="32"/>
        </w:rPr>
        <w:t>；上缴上级支出0万元，占0%；经营支出0万元，占0%；对附属单位补助支出0万元，占0%。</w:t>
      </w:r>
    </w:p>
    <w:p w14:paraId="74B98235">
      <w:pPr>
        <w:pStyle w:val="13"/>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14:paraId="6F3A191D">
      <w:pPr>
        <w:pStyle w:val="13"/>
        <w:spacing w:line="600" w:lineRule="exact"/>
        <w:rPr>
          <w:rFonts w:hint="eastAsia" w:ascii="Times New Roman" w:hAnsi="Times New Roman" w:eastAsia="仿宋_GB2312"/>
          <w:sz w:val="32"/>
          <w:szCs w:val="32"/>
          <w:lang w:eastAsia="zh-CN"/>
        </w:rPr>
      </w:pP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度财政拨款收、支总计20625.52万元，与上年相比，</w:t>
      </w:r>
      <w:r>
        <w:rPr>
          <w:rFonts w:hint="eastAsia" w:ascii="Times New Roman" w:hAnsi="Times New Roman" w:eastAsia="仿宋_GB2312"/>
          <w:sz w:val="32"/>
          <w:szCs w:val="32"/>
          <w:lang w:eastAsia="zh-CN"/>
        </w:rPr>
        <w:t>增加了</w:t>
      </w:r>
      <w:r>
        <w:rPr>
          <w:rFonts w:hint="eastAsia" w:ascii="Times New Roman" w:hAnsi="Times New Roman" w:eastAsia="仿宋_GB2312"/>
          <w:sz w:val="32"/>
          <w:szCs w:val="32"/>
          <w:lang w:val="en-US" w:eastAsia="zh-CN"/>
        </w:rPr>
        <w:t>6320.87</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44.19</w:t>
      </w:r>
      <w:r>
        <w:rPr>
          <w:rFonts w:hint="eastAsia" w:ascii="Times New Roman" w:hAnsi="Times New Roman" w:eastAsia="仿宋_GB2312"/>
          <w:sz w:val="32"/>
          <w:szCs w:val="32"/>
        </w:rPr>
        <w:t>%，主要是</w:t>
      </w:r>
      <w:r>
        <w:rPr>
          <w:rFonts w:hint="eastAsia" w:ascii="Times New Roman" w:hAnsi="Times New Roman" w:eastAsia="仿宋_GB2312"/>
          <w:sz w:val="32"/>
          <w:szCs w:val="32"/>
          <w:lang w:eastAsia="zh-CN"/>
        </w:rPr>
        <w:t>基本建设项目拨款增加。</w:t>
      </w:r>
    </w:p>
    <w:p w14:paraId="51751FE2">
      <w:pPr>
        <w:pStyle w:val="13"/>
        <w:spacing w:line="600" w:lineRule="exact"/>
        <w:ind w:firstLine="640" w:firstLineChars="200"/>
        <w:rPr>
          <w:rFonts w:hAnsi="黑体"/>
          <w:bCs/>
          <w:sz w:val="32"/>
          <w:szCs w:val="32"/>
        </w:rPr>
      </w:pPr>
      <w:r>
        <w:rPr>
          <w:rFonts w:hint="eastAsia" w:hAnsi="黑体"/>
          <w:bCs/>
          <w:sz w:val="32"/>
          <w:szCs w:val="32"/>
        </w:rPr>
        <w:t>五、一般公共预算财政拨款支出决算情况说明</w:t>
      </w:r>
    </w:p>
    <w:p w14:paraId="7B0A7D30">
      <w:pPr>
        <w:pStyle w:val="13"/>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（一）财政拨款支出决算总体情况</w:t>
      </w:r>
    </w:p>
    <w:p w14:paraId="5481EA0F">
      <w:pPr>
        <w:pStyle w:val="13"/>
        <w:spacing w:line="600" w:lineRule="exact"/>
        <w:rPr>
          <w:rFonts w:hint="eastAsia" w:ascii="Times New Roman" w:hAnsi="Times New Roman" w:eastAsia="仿宋_GB2312"/>
          <w:color w:val="auto"/>
          <w:sz w:val="32"/>
          <w:szCs w:val="32"/>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度财政拨款支</w:t>
      </w:r>
      <w:r>
        <w:rPr>
          <w:rFonts w:hint="eastAsia" w:ascii="Times New Roman" w:hAnsi="Times New Roman" w:eastAsia="仿宋_GB2312"/>
          <w:color w:val="auto"/>
          <w:sz w:val="32"/>
          <w:szCs w:val="32"/>
        </w:rPr>
        <w:t>出20625.52万元，占本年支出合计的</w:t>
      </w:r>
      <w:r>
        <w:rPr>
          <w:rFonts w:hint="eastAsia" w:ascii="Times New Roman" w:hAnsi="Times New Roman" w:eastAsia="仿宋_GB2312"/>
          <w:color w:val="auto"/>
          <w:sz w:val="32"/>
          <w:szCs w:val="32"/>
          <w:lang w:val="en-US" w:eastAsia="zh-CN"/>
        </w:rPr>
        <w:t>98</w:t>
      </w:r>
      <w:r>
        <w:rPr>
          <w:rFonts w:hint="eastAsia" w:ascii="Times New Roman" w:hAnsi="Times New Roman" w:eastAsia="仿宋_GB2312"/>
          <w:color w:val="auto"/>
          <w:sz w:val="32"/>
          <w:szCs w:val="32"/>
        </w:rPr>
        <w:t>%，与上年相比，</w:t>
      </w:r>
      <w:r>
        <w:rPr>
          <w:rFonts w:hint="eastAsia" w:ascii="Times New Roman" w:hAnsi="Times New Roman" w:eastAsia="仿宋_GB2312"/>
          <w:color w:val="auto"/>
          <w:sz w:val="32"/>
          <w:szCs w:val="32"/>
          <w:lang w:eastAsia="zh-CN"/>
        </w:rPr>
        <w:t>增加了</w:t>
      </w:r>
      <w:r>
        <w:rPr>
          <w:rFonts w:hint="eastAsia" w:ascii="Times New Roman" w:hAnsi="Times New Roman" w:eastAsia="仿宋_GB2312"/>
          <w:color w:val="auto"/>
          <w:sz w:val="32"/>
          <w:szCs w:val="32"/>
          <w:lang w:val="en-US" w:eastAsia="zh-CN"/>
        </w:rPr>
        <w:t>8290.87</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增加</w:t>
      </w:r>
      <w:r>
        <w:rPr>
          <w:rFonts w:hint="eastAsia" w:ascii="Times New Roman" w:hAnsi="Times New Roman" w:eastAsia="仿宋_GB2312"/>
          <w:color w:val="auto"/>
          <w:sz w:val="32"/>
          <w:szCs w:val="32"/>
          <w:lang w:val="en-US" w:eastAsia="zh-CN"/>
        </w:rPr>
        <w:t>67.22</w:t>
      </w:r>
      <w:r>
        <w:rPr>
          <w:rFonts w:hint="eastAsia" w:ascii="Times New Roman" w:hAnsi="Times New Roman" w:eastAsia="仿宋_GB2312"/>
          <w:color w:val="auto"/>
          <w:sz w:val="32"/>
          <w:szCs w:val="32"/>
        </w:rPr>
        <w:t>%，主要是因为</w:t>
      </w:r>
      <w:r>
        <w:rPr>
          <w:rFonts w:hint="eastAsia" w:ascii="Times New Roman" w:hAnsi="Times New Roman" w:eastAsia="仿宋_GB2312"/>
          <w:color w:val="auto"/>
          <w:sz w:val="32"/>
          <w:szCs w:val="32"/>
          <w:lang w:eastAsia="zh-CN"/>
        </w:rPr>
        <w:t>2023年增加了对下面学校的工程拨款。</w:t>
      </w:r>
    </w:p>
    <w:p w14:paraId="622DB1E9">
      <w:pPr>
        <w:pStyle w:val="13"/>
        <w:spacing w:line="600" w:lineRule="exact"/>
        <w:ind w:firstLine="480" w:firstLineChars="150"/>
        <w:rPr>
          <w:rFonts w:ascii="楷体" w:hAnsi="楷体" w:eastAsia="楷体" w:cs="楷体"/>
          <w:bCs/>
          <w:color w:val="auto"/>
          <w:sz w:val="32"/>
          <w:szCs w:val="32"/>
        </w:rPr>
      </w:pPr>
      <w:r>
        <w:rPr>
          <w:rFonts w:hint="eastAsia" w:ascii="楷体" w:hAnsi="楷体" w:eastAsia="楷体" w:cs="楷体"/>
          <w:bCs/>
          <w:color w:val="auto"/>
          <w:sz w:val="32"/>
          <w:szCs w:val="32"/>
        </w:rPr>
        <w:t>（二）财政拨款支出决算结构情况</w:t>
      </w:r>
    </w:p>
    <w:p w14:paraId="5B61BC09">
      <w:pPr>
        <w:pStyle w:val="13"/>
        <w:spacing w:line="600" w:lineRule="exact"/>
        <w:ind w:firstLine="640" w:firstLineChars="200"/>
        <w:rPr>
          <w:rFonts w:ascii="Times New Roman" w:hAnsi="Times New Roman" w:eastAsia="仿宋_GB2312"/>
          <w:color w:val="FF0000"/>
          <w:sz w:val="32"/>
          <w:szCs w:val="32"/>
        </w:rPr>
      </w:pPr>
      <w:r>
        <w:rPr>
          <w:rFonts w:hint="eastAsia" w:ascii="Times New Roman" w:hAnsi="Times New Roman" w:eastAsia="仿宋_GB2312"/>
          <w:color w:val="auto"/>
          <w:sz w:val="32"/>
          <w:szCs w:val="32"/>
          <w:lang w:eastAsia="zh-CN"/>
        </w:rPr>
        <w:t>2023年</w:t>
      </w:r>
      <w:r>
        <w:rPr>
          <w:rFonts w:hint="eastAsia" w:ascii="Times New Roman" w:hAnsi="Times New Roman" w:eastAsia="仿宋_GB2312"/>
          <w:color w:val="auto"/>
          <w:sz w:val="32"/>
          <w:szCs w:val="32"/>
        </w:rPr>
        <w:t>度财政拨款支出20625.52万元，主要用于以下方面：一般公共服务（类）支出2.4万元，占0.01%；教育（类）支出20550.15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99.63</w:t>
      </w:r>
      <w:r>
        <w:rPr>
          <w:rFonts w:hint="eastAsia" w:ascii="Times New Roman" w:hAnsi="Times New Roman" w:eastAsia="仿宋_GB2312"/>
          <w:sz w:val="32"/>
          <w:szCs w:val="32"/>
        </w:rPr>
        <w:t>%；社会保障和就业（类）支出72.96万元，占</w:t>
      </w:r>
      <w:r>
        <w:rPr>
          <w:rFonts w:hint="eastAsia" w:ascii="Times New Roman" w:hAnsi="Times New Roman" w:eastAsia="仿宋_GB2312"/>
          <w:sz w:val="32"/>
          <w:szCs w:val="32"/>
          <w:lang w:val="en-US" w:eastAsia="zh-CN"/>
        </w:rPr>
        <w:t>0.36</w:t>
      </w:r>
      <w:r>
        <w:rPr>
          <w:rFonts w:hint="eastAsia" w:ascii="Times New Roman" w:hAnsi="Times New Roman" w:eastAsia="仿宋_GB2312"/>
          <w:sz w:val="32"/>
          <w:szCs w:val="32"/>
        </w:rPr>
        <w:t>%。</w:t>
      </w:r>
    </w:p>
    <w:p w14:paraId="0BE349E0">
      <w:pPr>
        <w:pStyle w:val="13"/>
        <w:spacing w:line="600" w:lineRule="exact"/>
        <w:ind w:firstLine="800" w:firstLineChars="250"/>
        <w:rPr>
          <w:rFonts w:ascii="楷体" w:hAnsi="楷体" w:eastAsia="楷体" w:cs="楷体"/>
          <w:bCs/>
          <w:sz w:val="32"/>
          <w:szCs w:val="32"/>
        </w:rPr>
      </w:pPr>
      <w:r>
        <w:rPr>
          <w:rFonts w:hint="eastAsia" w:ascii="楷体" w:hAnsi="楷体" w:eastAsia="楷体" w:cs="楷体"/>
          <w:bCs/>
          <w:sz w:val="32"/>
          <w:szCs w:val="32"/>
        </w:rPr>
        <w:t>（三）财政拨款支出决算具体情况</w:t>
      </w:r>
    </w:p>
    <w:p w14:paraId="7EF4608F">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度财政拨款支出年初预算数为</w:t>
      </w:r>
      <w:r>
        <w:rPr>
          <w:rFonts w:ascii="Times New Roman" w:hAnsi="Times New Roman" w:eastAsia="仿宋_GB2312"/>
          <w:sz w:val="32"/>
          <w:szCs w:val="32"/>
        </w:rPr>
        <w:t>140333.6</w:t>
      </w:r>
      <w:r>
        <w:rPr>
          <w:rFonts w:hint="eastAsia" w:ascii="Times New Roman" w:hAnsi="Times New Roman" w:eastAsia="仿宋_GB2312"/>
          <w:sz w:val="32"/>
          <w:szCs w:val="32"/>
        </w:rPr>
        <w:t>2万元，支出决算数为</w:t>
      </w:r>
      <w:r>
        <w:rPr>
          <w:rFonts w:hint="eastAsia" w:ascii="Times New Roman" w:hAnsi="Times New Roman" w:eastAsia="仿宋_GB2312"/>
          <w:color w:val="auto"/>
          <w:sz w:val="32"/>
          <w:szCs w:val="32"/>
        </w:rPr>
        <w:t>20625.52万</w:t>
      </w:r>
      <w:r>
        <w:rPr>
          <w:rFonts w:hint="eastAsia" w:ascii="Times New Roman" w:hAnsi="Times New Roman" w:eastAsia="仿宋_GB2312"/>
          <w:sz w:val="32"/>
          <w:szCs w:val="32"/>
        </w:rPr>
        <w:t>元，完成年初预算的103.39%，其中：</w:t>
      </w:r>
    </w:p>
    <w:p w14:paraId="2B9BFEAC">
      <w:pPr>
        <w:pStyle w:val="13"/>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rPr>
        <w:t>1、一般公共服务（类）纪检监察事务（款）行政运行（项）。</w:t>
      </w:r>
    </w:p>
    <w:p w14:paraId="61A6F65B">
      <w:pPr>
        <w:pStyle w:val="13"/>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rPr>
        <w:t>年初预算为0万元，支出决算为2.4万元，决算数大于年初预算数的主要原因是：预算时该专项指标还没有下达，没有列入年初预算。</w:t>
      </w:r>
    </w:p>
    <w:p w14:paraId="73F8CF93">
      <w:pPr>
        <w:pStyle w:val="13"/>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、教育（类）教育管理事务（款）行政运行（项）。</w:t>
      </w:r>
    </w:p>
    <w:p w14:paraId="082C673F">
      <w:pPr>
        <w:pStyle w:val="13"/>
        <w:spacing w:line="600" w:lineRule="exact"/>
        <w:ind w:firstLine="800" w:firstLineChars="250"/>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年初预算为1693.91万元，支出决算为1698.82万元，完成年初预算的</w:t>
      </w:r>
      <w:r>
        <w:rPr>
          <w:rFonts w:hint="eastAsia" w:ascii="Times New Roman" w:hAnsi="Times New Roman" w:eastAsia="仿宋_GB2312"/>
          <w:color w:val="auto"/>
          <w:sz w:val="32"/>
          <w:szCs w:val="32"/>
          <w:lang w:val="en-US" w:eastAsia="zh-CN"/>
        </w:rPr>
        <w:t>100.28</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eastAsia="zh-CN"/>
        </w:rPr>
        <w:t>大</w:t>
      </w:r>
      <w:r>
        <w:rPr>
          <w:rFonts w:hint="eastAsia" w:ascii="Times New Roman" w:hAnsi="Times New Roman" w:eastAsia="仿宋_GB2312"/>
          <w:color w:val="auto"/>
          <w:sz w:val="32"/>
          <w:szCs w:val="32"/>
        </w:rPr>
        <w:t>于年初预算数的主要原因是：预算时该专项指标还没有下达，没有列入年初预算</w:t>
      </w:r>
    </w:p>
    <w:p w14:paraId="7A6F2236">
      <w:pPr>
        <w:pStyle w:val="13"/>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、教育（类）教育管理事务（款）一般行政管理事务（项）。</w:t>
      </w:r>
    </w:p>
    <w:p w14:paraId="25DB70C1">
      <w:pPr>
        <w:pStyle w:val="13"/>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rPr>
        <w:t>年初预算为240万元，支出决算为247.69万元，完成年初预算的</w:t>
      </w:r>
      <w:r>
        <w:rPr>
          <w:rFonts w:hint="eastAsia" w:ascii="Times New Roman" w:hAnsi="Times New Roman" w:eastAsia="仿宋_GB2312"/>
          <w:color w:val="auto"/>
          <w:sz w:val="32"/>
          <w:szCs w:val="32"/>
          <w:lang w:val="en-US" w:eastAsia="zh-CN"/>
        </w:rPr>
        <w:t>103.2</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eastAsia="zh-CN"/>
        </w:rPr>
        <w:t>大</w:t>
      </w:r>
      <w:r>
        <w:rPr>
          <w:rFonts w:hint="eastAsia" w:ascii="Times New Roman" w:hAnsi="Times New Roman" w:eastAsia="仿宋_GB2312"/>
          <w:color w:val="auto"/>
          <w:sz w:val="32"/>
          <w:szCs w:val="32"/>
        </w:rPr>
        <w:t>于年初预算数的主要原因是：</w:t>
      </w:r>
      <w:r>
        <w:rPr>
          <w:rFonts w:hint="eastAsia" w:ascii="Times New Roman" w:hAnsi="Times New Roman" w:eastAsia="仿宋_GB2312"/>
          <w:color w:val="auto"/>
          <w:sz w:val="32"/>
          <w:szCs w:val="32"/>
          <w:lang w:eastAsia="zh-CN"/>
        </w:rPr>
        <w:t>预</w:t>
      </w:r>
      <w:r>
        <w:rPr>
          <w:rFonts w:hint="eastAsia" w:ascii="Times New Roman" w:hAnsi="Times New Roman" w:eastAsia="仿宋_GB2312"/>
          <w:color w:val="auto"/>
          <w:sz w:val="32"/>
          <w:szCs w:val="32"/>
        </w:rPr>
        <w:t>算时该专项指标还没有下达，没有列入</w:t>
      </w:r>
      <w:r>
        <w:rPr>
          <w:rFonts w:hint="eastAsia" w:ascii="Times New Roman" w:hAnsi="Times New Roman" w:eastAsia="仿宋_GB2312"/>
          <w:color w:val="auto"/>
          <w:sz w:val="32"/>
          <w:szCs w:val="32"/>
          <w:lang w:eastAsia="zh-CN"/>
        </w:rPr>
        <w:t>年初预</w:t>
      </w:r>
      <w:r>
        <w:rPr>
          <w:rFonts w:hint="eastAsia" w:ascii="Times New Roman" w:hAnsi="Times New Roman" w:eastAsia="仿宋_GB2312"/>
          <w:color w:val="auto"/>
          <w:sz w:val="32"/>
          <w:szCs w:val="32"/>
        </w:rPr>
        <w:t>算。</w:t>
      </w:r>
    </w:p>
    <w:p w14:paraId="0F43C299">
      <w:pPr>
        <w:pStyle w:val="13"/>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、教育（类）教育管理事务（款）其他教育管理事务（项）。</w:t>
      </w:r>
    </w:p>
    <w:p w14:paraId="3C287919">
      <w:pPr>
        <w:pStyle w:val="13"/>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rPr>
        <w:t>年初预算为2021万元，支出决算为1648.78万元，完成年初预算</w:t>
      </w:r>
      <w:r>
        <w:rPr>
          <w:rFonts w:hint="eastAsia" w:ascii="Times New Roman" w:hAnsi="Times New Roman" w:eastAsia="仿宋_GB2312"/>
          <w:color w:val="auto"/>
          <w:sz w:val="32"/>
          <w:szCs w:val="32"/>
          <w:lang w:val="en-US" w:eastAsia="zh-CN"/>
        </w:rPr>
        <w:t>81.58</w:t>
      </w:r>
      <w:r>
        <w:rPr>
          <w:rFonts w:hint="eastAsia" w:ascii="Times New Roman" w:hAnsi="Times New Roman" w:eastAsia="仿宋_GB2312"/>
          <w:color w:val="auto"/>
          <w:sz w:val="32"/>
          <w:szCs w:val="32"/>
        </w:rPr>
        <w:t>%，决算数小于年初预算数的主要原因是：决算时该专项指标还没有下达，没有列入年终决算。</w:t>
      </w:r>
    </w:p>
    <w:p w14:paraId="599F59F7">
      <w:pPr>
        <w:pStyle w:val="13"/>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5</w:t>
      </w:r>
      <w:r>
        <w:rPr>
          <w:rFonts w:hint="eastAsia" w:ascii="Times New Roman" w:hAnsi="Times New Roman" w:eastAsia="仿宋_GB2312"/>
          <w:color w:val="auto"/>
          <w:sz w:val="32"/>
          <w:szCs w:val="32"/>
        </w:rPr>
        <w:t>、教育（类）普通教育（款）学前教育（项）。</w:t>
      </w:r>
    </w:p>
    <w:p w14:paraId="4028F4D4">
      <w:pPr>
        <w:pStyle w:val="13"/>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rPr>
        <w:t>年初预算为2834万元，支出决算为432.04万元，完成年初预算的</w:t>
      </w:r>
      <w:r>
        <w:rPr>
          <w:rFonts w:hint="eastAsia" w:ascii="Times New Roman" w:hAnsi="Times New Roman" w:eastAsia="仿宋_GB2312"/>
          <w:color w:val="auto"/>
          <w:sz w:val="32"/>
          <w:szCs w:val="32"/>
          <w:lang w:val="en-US" w:eastAsia="zh-CN"/>
        </w:rPr>
        <w:t>15.24</w:t>
      </w:r>
      <w:r>
        <w:rPr>
          <w:rFonts w:hint="eastAsia" w:ascii="Times New Roman" w:hAnsi="Times New Roman" w:eastAsia="仿宋_GB2312"/>
          <w:color w:val="auto"/>
          <w:sz w:val="32"/>
          <w:szCs w:val="32"/>
        </w:rPr>
        <w:t>%，决算</w:t>
      </w:r>
      <w:r>
        <w:rPr>
          <w:rFonts w:hint="eastAsia" w:ascii="Times New Roman" w:hAnsi="Times New Roman" w:eastAsia="仿宋_GB2312"/>
          <w:color w:val="auto"/>
          <w:sz w:val="32"/>
          <w:szCs w:val="32"/>
          <w:lang w:eastAsia="zh-CN"/>
        </w:rPr>
        <w:t>小</w:t>
      </w:r>
      <w:r>
        <w:rPr>
          <w:rFonts w:hint="eastAsia" w:ascii="Times New Roman" w:hAnsi="Times New Roman" w:eastAsia="仿宋_GB2312"/>
          <w:color w:val="auto"/>
          <w:sz w:val="32"/>
          <w:szCs w:val="32"/>
        </w:rPr>
        <w:t>于年初预算数的主要原因是：</w:t>
      </w:r>
      <w:r>
        <w:rPr>
          <w:rFonts w:hint="eastAsia" w:ascii="Times New Roman" w:hAnsi="Times New Roman" w:eastAsia="仿宋_GB2312"/>
          <w:color w:val="auto"/>
          <w:sz w:val="32"/>
          <w:szCs w:val="32"/>
          <w:lang w:eastAsia="zh-CN"/>
        </w:rPr>
        <w:t>决</w:t>
      </w:r>
      <w:r>
        <w:rPr>
          <w:rFonts w:hint="eastAsia" w:ascii="Times New Roman" w:hAnsi="Times New Roman" w:eastAsia="仿宋_GB2312"/>
          <w:color w:val="auto"/>
          <w:sz w:val="32"/>
          <w:szCs w:val="32"/>
        </w:rPr>
        <w:t>算时由于还有上级专项指标还没有下达，所以没有列入</w:t>
      </w:r>
      <w:r>
        <w:rPr>
          <w:rFonts w:hint="eastAsia" w:ascii="Times New Roman" w:hAnsi="Times New Roman" w:eastAsia="仿宋_GB2312"/>
          <w:color w:val="auto"/>
          <w:sz w:val="32"/>
          <w:szCs w:val="32"/>
          <w:lang w:eastAsia="zh-CN"/>
        </w:rPr>
        <w:t>决</w:t>
      </w:r>
      <w:r>
        <w:rPr>
          <w:rFonts w:hint="eastAsia" w:ascii="Times New Roman" w:hAnsi="Times New Roman" w:eastAsia="仿宋_GB2312"/>
          <w:color w:val="auto"/>
          <w:sz w:val="32"/>
          <w:szCs w:val="32"/>
        </w:rPr>
        <w:t>算。</w:t>
      </w:r>
    </w:p>
    <w:p w14:paraId="7187806E">
      <w:pPr>
        <w:pStyle w:val="13"/>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rPr>
        <w:t>、教育（类）普通教育（款）小学教育（项）。</w:t>
      </w:r>
    </w:p>
    <w:p w14:paraId="2D9DAAB3">
      <w:pPr>
        <w:pStyle w:val="13"/>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rPr>
        <w:t>年初预算为23584.8万元，支出决算为1569.74万元，完成年初预算的</w:t>
      </w:r>
      <w:r>
        <w:rPr>
          <w:rFonts w:hint="eastAsia" w:ascii="Times New Roman" w:hAnsi="Times New Roman" w:eastAsia="仿宋_GB2312"/>
          <w:color w:val="auto"/>
          <w:sz w:val="32"/>
          <w:szCs w:val="32"/>
          <w:lang w:val="en-US" w:eastAsia="zh-CN"/>
        </w:rPr>
        <w:t>6.66</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eastAsia="zh-CN"/>
        </w:rPr>
        <w:t>小</w:t>
      </w:r>
      <w:r>
        <w:rPr>
          <w:rFonts w:hint="eastAsia" w:ascii="Times New Roman" w:hAnsi="Times New Roman" w:eastAsia="仿宋_GB2312"/>
          <w:color w:val="auto"/>
          <w:sz w:val="32"/>
          <w:szCs w:val="32"/>
        </w:rPr>
        <w:t>于年初预算数的主要原因是：一贯制学校</w:t>
      </w:r>
      <w:r>
        <w:rPr>
          <w:rFonts w:hint="eastAsia" w:ascii="Times New Roman" w:hAnsi="Times New Roman" w:eastAsia="仿宋_GB2312"/>
          <w:color w:val="auto"/>
          <w:sz w:val="32"/>
          <w:szCs w:val="32"/>
          <w:lang w:eastAsia="zh-CN"/>
        </w:rPr>
        <w:t>决</w:t>
      </w:r>
      <w:r>
        <w:rPr>
          <w:rFonts w:hint="eastAsia" w:ascii="Times New Roman" w:hAnsi="Times New Roman" w:eastAsia="仿宋_GB2312"/>
          <w:color w:val="auto"/>
          <w:sz w:val="32"/>
          <w:szCs w:val="32"/>
        </w:rPr>
        <w:t>算时将小学教育（项）列支到初中教育（项）中，小学教育（项）</w:t>
      </w:r>
      <w:r>
        <w:rPr>
          <w:rFonts w:hint="eastAsia" w:ascii="Times New Roman" w:hAnsi="Times New Roman" w:eastAsia="仿宋_GB2312"/>
          <w:color w:val="auto"/>
          <w:sz w:val="32"/>
          <w:szCs w:val="32"/>
          <w:lang w:eastAsia="zh-CN"/>
        </w:rPr>
        <w:t>决</w:t>
      </w:r>
      <w:r>
        <w:rPr>
          <w:rFonts w:hint="eastAsia" w:ascii="Times New Roman" w:hAnsi="Times New Roman" w:eastAsia="仿宋_GB2312"/>
          <w:color w:val="auto"/>
          <w:sz w:val="32"/>
          <w:szCs w:val="32"/>
        </w:rPr>
        <w:t>算数偏小。</w:t>
      </w:r>
    </w:p>
    <w:p w14:paraId="6A43AAA1">
      <w:pPr>
        <w:pStyle w:val="13"/>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7</w:t>
      </w:r>
      <w:r>
        <w:rPr>
          <w:rFonts w:hint="eastAsia" w:ascii="Times New Roman" w:hAnsi="Times New Roman" w:eastAsia="仿宋_GB2312"/>
          <w:color w:val="auto"/>
          <w:sz w:val="32"/>
          <w:szCs w:val="32"/>
        </w:rPr>
        <w:t>、教育（类）普通教育（款）初中教育（项）。</w:t>
      </w:r>
    </w:p>
    <w:p w14:paraId="75651A7F">
      <w:pPr>
        <w:pStyle w:val="13"/>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rPr>
        <w:t>年初预算为14845.14万元，支出决算为960.51万元，完成年初预算的</w:t>
      </w:r>
      <w:r>
        <w:rPr>
          <w:rFonts w:hint="eastAsia" w:ascii="Times New Roman" w:hAnsi="Times New Roman" w:eastAsia="仿宋_GB2312"/>
          <w:color w:val="auto"/>
          <w:sz w:val="32"/>
          <w:szCs w:val="32"/>
          <w:lang w:val="en-US" w:eastAsia="zh-CN"/>
        </w:rPr>
        <w:t>6.47</w:t>
      </w:r>
      <w:r>
        <w:rPr>
          <w:rFonts w:hint="eastAsia" w:ascii="Times New Roman" w:hAnsi="Times New Roman" w:eastAsia="仿宋_GB2312"/>
          <w:color w:val="auto"/>
          <w:sz w:val="32"/>
          <w:szCs w:val="32"/>
        </w:rPr>
        <w:t>%，决算数小于年初预算数的主要原因是：一贯制学校预算时将小学教育（项）列支到初中教育（项）中，初中教育（项）年初预算数偏大。</w:t>
      </w:r>
    </w:p>
    <w:p w14:paraId="263D16CE">
      <w:pPr>
        <w:pStyle w:val="13"/>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8</w:t>
      </w:r>
      <w:r>
        <w:rPr>
          <w:rFonts w:hint="eastAsia" w:ascii="Times New Roman" w:hAnsi="Times New Roman" w:eastAsia="仿宋_GB2312"/>
          <w:color w:val="auto"/>
          <w:sz w:val="32"/>
          <w:szCs w:val="32"/>
        </w:rPr>
        <w:t>、教育（类）普通教育（款）高中教育（项）。</w:t>
      </w:r>
    </w:p>
    <w:p w14:paraId="20D24100">
      <w:pPr>
        <w:pStyle w:val="13"/>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rPr>
        <w:t>年初预算为6293万元，支出决算为225.27万元，完成年初预算的</w:t>
      </w:r>
      <w:r>
        <w:rPr>
          <w:rFonts w:hint="eastAsia" w:ascii="Times New Roman" w:hAnsi="Times New Roman" w:eastAsia="仿宋_GB2312"/>
          <w:color w:val="auto"/>
          <w:sz w:val="32"/>
          <w:szCs w:val="32"/>
          <w:lang w:val="en-US" w:eastAsia="zh-CN"/>
        </w:rPr>
        <w:t>3.58</w:t>
      </w:r>
      <w:r>
        <w:rPr>
          <w:rFonts w:hint="eastAsia" w:ascii="Times New Roman" w:hAnsi="Times New Roman" w:eastAsia="仿宋_GB2312"/>
          <w:color w:val="auto"/>
          <w:sz w:val="32"/>
          <w:szCs w:val="32"/>
        </w:rPr>
        <w:t>%，决算数小于年初预算数的主要原因是：完全中学预算时将初中教育（项）列支到高中教育（项）中，高中教育（项）年初预算数偏</w:t>
      </w:r>
      <w:r>
        <w:rPr>
          <w:rFonts w:hint="eastAsia" w:ascii="Times New Roman" w:hAnsi="Times New Roman" w:eastAsia="仿宋_GB2312"/>
          <w:color w:val="auto"/>
          <w:sz w:val="32"/>
          <w:szCs w:val="32"/>
          <w:lang w:eastAsia="zh-CN"/>
        </w:rPr>
        <w:t>大</w:t>
      </w:r>
      <w:r>
        <w:rPr>
          <w:rFonts w:hint="eastAsia" w:ascii="Times New Roman" w:hAnsi="Times New Roman" w:eastAsia="仿宋_GB2312"/>
          <w:color w:val="auto"/>
          <w:sz w:val="32"/>
          <w:szCs w:val="32"/>
        </w:rPr>
        <w:t>。</w:t>
      </w:r>
    </w:p>
    <w:p w14:paraId="67C5FD0E">
      <w:pPr>
        <w:pStyle w:val="13"/>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9</w:t>
      </w:r>
      <w:r>
        <w:rPr>
          <w:rFonts w:hint="eastAsia" w:ascii="Times New Roman" w:hAnsi="Times New Roman" w:eastAsia="仿宋_GB2312"/>
          <w:color w:val="auto"/>
          <w:sz w:val="32"/>
          <w:szCs w:val="32"/>
        </w:rPr>
        <w:t>、教育（类）普通教育（款）高等教育（项）。</w:t>
      </w:r>
    </w:p>
    <w:p w14:paraId="7A469233">
      <w:pPr>
        <w:pStyle w:val="13"/>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rPr>
        <w:t>年初预算为0万元，支出决算为92.85万元，决算数</w:t>
      </w:r>
      <w:r>
        <w:rPr>
          <w:rFonts w:hint="eastAsia" w:ascii="Times New Roman" w:hAnsi="Times New Roman" w:eastAsia="仿宋_GB2312"/>
          <w:color w:val="auto"/>
          <w:sz w:val="32"/>
          <w:szCs w:val="32"/>
          <w:lang w:val="en-US" w:eastAsia="zh-CN"/>
        </w:rPr>
        <w:t>大于</w:t>
      </w:r>
      <w:r>
        <w:rPr>
          <w:rFonts w:hint="eastAsia" w:ascii="Times New Roman" w:hAnsi="Times New Roman" w:eastAsia="仿宋_GB2312"/>
          <w:color w:val="auto"/>
          <w:sz w:val="32"/>
          <w:szCs w:val="32"/>
        </w:rPr>
        <w:t>年初预算数的主要原因是：预算时该专项指标还没有下达，没有列入年初预算。</w:t>
      </w:r>
    </w:p>
    <w:p w14:paraId="684349E6">
      <w:pPr>
        <w:pStyle w:val="13"/>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10</w:t>
      </w:r>
      <w:r>
        <w:rPr>
          <w:rFonts w:hint="eastAsia" w:ascii="Times New Roman" w:hAnsi="Times New Roman" w:eastAsia="仿宋_GB2312"/>
          <w:color w:val="auto"/>
          <w:sz w:val="32"/>
          <w:szCs w:val="32"/>
        </w:rPr>
        <w:t>、教育（类）普通教育（款）其他普通教育（项）。</w:t>
      </w:r>
    </w:p>
    <w:p w14:paraId="2238B420">
      <w:pPr>
        <w:pStyle w:val="13"/>
        <w:spacing w:line="600" w:lineRule="exact"/>
        <w:ind w:firstLine="800" w:firstLineChars="250"/>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年初预算为5500万元，支出决算为1476.86万元，完成年初预算的</w:t>
      </w:r>
      <w:r>
        <w:rPr>
          <w:rFonts w:hint="eastAsia" w:ascii="Times New Roman" w:hAnsi="Times New Roman" w:eastAsia="仿宋_GB2312"/>
          <w:color w:val="auto"/>
          <w:sz w:val="32"/>
          <w:szCs w:val="32"/>
          <w:lang w:val="en-US" w:eastAsia="zh-CN"/>
        </w:rPr>
        <w:t>26.85</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eastAsia="zh-CN"/>
        </w:rPr>
        <w:t>小</w:t>
      </w:r>
      <w:r>
        <w:rPr>
          <w:rFonts w:hint="eastAsia" w:ascii="Times New Roman" w:hAnsi="Times New Roman" w:eastAsia="仿宋_GB2312"/>
          <w:color w:val="auto"/>
          <w:sz w:val="32"/>
          <w:szCs w:val="32"/>
        </w:rPr>
        <w:t>于年初预算数的主要原因是：预算时该专项指标还没有下达，没有列入年初预算。</w:t>
      </w:r>
    </w:p>
    <w:p w14:paraId="1BC510C0">
      <w:pPr>
        <w:pStyle w:val="13"/>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11</w:t>
      </w:r>
      <w:r>
        <w:rPr>
          <w:rFonts w:hint="eastAsia" w:ascii="Times New Roman" w:hAnsi="Times New Roman" w:eastAsia="仿宋_GB2312"/>
          <w:color w:val="auto"/>
          <w:sz w:val="32"/>
          <w:szCs w:val="32"/>
        </w:rPr>
        <w:t>、教育（类）进修及培训（款）培训支出（项）。</w:t>
      </w:r>
    </w:p>
    <w:p w14:paraId="5552CBF0">
      <w:pPr>
        <w:pStyle w:val="13"/>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万元，支出决算为297.86万元，决算数</w:t>
      </w:r>
      <w:r>
        <w:rPr>
          <w:rFonts w:hint="eastAsia" w:ascii="Times New Roman" w:hAnsi="Times New Roman" w:eastAsia="仿宋_GB2312"/>
          <w:color w:val="auto"/>
          <w:sz w:val="32"/>
          <w:szCs w:val="32"/>
          <w:lang w:eastAsia="zh-CN"/>
        </w:rPr>
        <w:t>大</w:t>
      </w:r>
      <w:r>
        <w:rPr>
          <w:rFonts w:hint="eastAsia" w:ascii="Times New Roman" w:hAnsi="Times New Roman" w:eastAsia="仿宋_GB2312"/>
          <w:color w:val="auto"/>
          <w:sz w:val="32"/>
          <w:szCs w:val="32"/>
        </w:rPr>
        <w:t>于年初预算数的主要原因是：</w:t>
      </w:r>
      <w:r>
        <w:rPr>
          <w:rFonts w:hint="eastAsia" w:ascii="Times New Roman" w:hAnsi="Times New Roman" w:eastAsia="仿宋_GB2312"/>
          <w:color w:val="auto"/>
          <w:sz w:val="32"/>
          <w:szCs w:val="32"/>
          <w:lang w:eastAsia="zh-CN"/>
        </w:rPr>
        <w:t>年终决</w:t>
      </w:r>
      <w:r>
        <w:rPr>
          <w:rFonts w:hint="eastAsia" w:ascii="Times New Roman" w:hAnsi="Times New Roman" w:eastAsia="仿宋_GB2312"/>
          <w:color w:val="auto"/>
          <w:sz w:val="32"/>
          <w:szCs w:val="32"/>
        </w:rPr>
        <w:t>算时将教师进修（项）列支到培训支出（项）中。</w:t>
      </w:r>
    </w:p>
    <w:p w14:paraId="5AD65C83">
      <w:pPr>
        <w:pStyle w:val="13"/>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2、教育（类）其他教育支出（款）其他教育支出（项）。</w:t>
      </w:r>
    </w:p>
    <w:p w14:paraId="4434BFFD">
      <w:pPr>
        <w:pStyle w:val="13"/>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万元，支出决算为11899.73万元，决算数大于年初预算数的主要原因是：预算时该专项指标还没有下达，没有列入年初预算。</w:t>
      </w:r>
    </w:p>
    <w:p w14:paraId="62B056C8">
      <w:pPr>
        <w:pStyle w:val="13"/>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13</w:t>
      </w:r>
      <w:r>
        <w:rPr>
          <w:rFonts w:hint="eastAsia" w:ascii="Times New Roman" w:hAnsi="Times New Roman" w:eastAsia="仿宋_GB2312"/>
          <w:color w:val="auto"/>
          <w:sz w:val="32"/>
          <w:szCs w:val="32"/>
        </w:rPr>
        <w:t>、社会保障和就业（类）抚恤（款）死亡抚恤（项）。</w:t>
      </w:r>
    </w:p>
    <w:p w14:paraId="5ECC81BB">
      <w:pPr>
        <w:pStyle w:val="13"/>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万元，支出决算为72.96万元，决算数大于年初预算数的主要原因是：预算时该专项指标还没有下达，没有列入年初预算。</w:t>
      </w:r>
    </w:p>
    <w:p w14:paraId="4578B8AC">
      <w:pPr>
        <w:pStyle w:val="13"/>
        <w:spacing w:line="600" w:lineRule="exact"/>
        <w:ind w:firstLine="800" w:firstLineChars="250"/>
        <w:rPr>
          <w:rFonts w:ascii="Times New Roman" w:hAnsi="Times New Roman" w:eastAsia="仿宋_GB2312"/>
          <w:color w:val="auto"/>
          <w:sz w:val="32"/>
          <w:szCs w:val="32"/>
        </w:rPr>
      </w:pPr>
    </w:p>
    <w:p w14:paraId="1EA12CA1">
      <w:pPr>
        <w:pStyle w:val="13"/>
        <w:spacing w:line="600" w:lineRule="exact"/>
        <w:ind w:firstLine="640" w:firstLineChars="200"/>
        <w:rPr>
          <w:rFonts w:hAnsi="黑体"/>
          <w:bCs/>
          <w:color w:val="auto"/>
          <w:sz w:val="32"/>
          <w:szCs w:val="32"/>
        </w:rPr>
      </w:pPr>
      <w:r>
        <w:rPr>
          <w:rFonts w:hint="eastAsia" w:hAnsi="黑体"/>
          <w:bCs/>
          <w:color w:val="auto"/>
          <w:sz w:val="32"/>
          <w:szCs w:val="32"/>
        </w:rPr>
        <w:t>六、一般公共预算财政拨款基本支出决算情况说明</w:t>
      </w:r>
    </w:p>
    <w:p w14:paraId="075C1CD7">
      <w:pPr>
        <w:pStyle w:val="13"/>
        <w:spacing w:line="60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lang w:eastAsia="zh-CN"/>
        </w:rPr>
        <w:t>2023年</w:t>
      </w:r>
      <w:r>
        <w:rPr>
          <w:rFonts w:hint="eastAsia" w:ascii="Times New Roman" w:hAnsi="Times New Roman" w:eastAsia="仿宋_GB2312"/>
          <w:color w:val="auto"/>
          <w:sz w:val="32"/>
          <w:szCs w:val="32"/>
        </w:rPr>
        <w:t>度财政拨款基本支出</w:t>
      </w:r>
      <w:r>
        <w:rPr>
          <w:rFonts w:hint="eastAsia" w:ascii="Times New Roman" w:hAnsi="Times New Roman" w:eastAsia="仿宋_GB2312"/>
          <w:color w:val="auto"/>
          <w:sz w:val="32"/>
          <w:szCs w:val="32"/>
          <w:lang w:val="en-US" w:eastAsia="zh-CN"/>
        </w:rPr>
        <w:t>5675.38</w:t>
      </w:r>
      <w:r>
        <w:rPr>
          <w:rFonts w:hint="eastAsia" w:ascii="Times New Roman" w:hAnsi="Times New Roman" w:eastAsia="仿宋_GB2312"/>
          <w:color w:val="auto"/>
          <w:sz w:val="32"/>
          <w:szCs w:val="32"/>
        </w:rPr>
        <w:t>万元，其中：</w:t>
      </w:r>
    </w:p>
    <w:p w14:paraId="120DC6A2">
      <w:pPr>
        <w:pStyle w:val="13"/>
        <w:spacing w:line="60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b/>
          <w:bCs/>
          <w:color w:val="auto"/>
          <w:sz w:val="32"/>
          <w:szCs w:val="32"/>
        </w:rPr>
        <w:t>人员经费</w:t>
      </w:r>
      <w:r>
        <w:rPr>
          <w:rFonts w:hint="eastAsia" w:ascii="Times New Roman" w:hAnsi="Times New Roman" w:eastAsia="仿宋_GB2312"/>
          <w:color w:val="auto"/>
          <w:sz w:val="32"/>
          <w:szCs w:val="32"/>
        </w:rPr>
        <w:t>3863.48万元，占基本支出的</w:t>
      </w:r>
      <w:r>
        <w:rPr>
          <w:rFonts w:hint="eastAsia" w:ascii="Times New Roman" w:hAnsi="Times New Roman" w:eastAsia="仿宋_GB2312"/>
          <w:color w:val="auto"/>
          <w:sz w:val="32"/>
          <w:szCs w:val="32"/>
          <w:lang w:val="en-US" w:eastAsia="zh-CN"/>
        </w:rPr>
        <w:t>68.07</w:t>
      </w:r>
      <w:r>
        <w:rPr>
          <w:rFonts w:hint="eastAsia" w:ascii="Times New Roman" w:hAnsi="Times New Roman" w:eastAsia="仿宋_GB2312"/>
          <w:color w:val="auto"/>
          <w:sz w:val="32"/>
          <w:szCs w:val="32"/>
        </w:rPr>
        <w:t>%,主要包括基本工资734.01万元、津贴补贴286.17万元、伙食补助费39.48万元、绩效工资52.24万元、机关事业单位基本养老保险缴费167.42万元、职业年金缴费</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万元、职工基本医疗保险缴费77.3万元、其他社会保障缴费9.85万元、住房公积金73.08万元、医疗费0.05万元、对个人和家庭的补助2423.89万元、退休费</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万元、抚恤金24.19万元、生活补助47.24万元、救济费</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万元、医疗费补助</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万元、助学金1858.02万元、奖励金20万元、其他对个人和家庭的补助474.44万元。</w:t>
      </w:r>
    </w:p>
    <w:p w14:paraId="71B6F770">
      <w:pPr>
        <w:pStyle w:val="13"/>
        <w:spacing w:line="60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b/>
          <w:bCs/>
          <w:color w:val="auto"/>
          <w:sz w:val="32"/>
          <w:szCs w:val="32"/>
        </w:rPr>
        <w:t>公用经费</w:t>
      </w:r>
      <w:r>
        <w:rPr>
          <w:rFonts w:hint="eastAsia" w:ascii="Times New Roman" w:hAnsi="Times New Roman" w:eastAsia="仿宋_GB2312"/>
          <w:color w:val="auto"/>
          <w:sz w:val="32"/>
          <w:szCs w:val="32"/>
        </w:rPr>
        <w:t>1811.89万元，占基本支出的</w:t>
      </w:r>
      <w:r>
        <w:rPr>
          <w:rFonts w:hint="eastAsia" w:ascii="Times New Roman" w:hAnsi="Times New Roman" w:eastAsia="仿宋_GB2312"/>
          <w:color w:val="auto"/>
          <w:sz w:val="32"/>
          <w:szCs w:val="32"/>
          <w:lang w:val="en-US" w:eastAsia="zh-CN"/>
        </w:rPr>
        <w:t>31.93</w:t>
      </w:r>
      <w:r>
        <w:rPr>
          <w:rFonts w:hint="eastAsia" w:ascii="Times New Roman" w:hAnsi="Times New Roman" w:eastAsia="仿宋_GB2312"/>
          <w:color w:val="auto"/>
          <w:sz w:val="32"/>
          <w:szCs w:val="32"/>
        </w:rPr>
        <w:t>%，主要包括办公费138.77万元、印刷费15.5万元、咨询费0.3万元、手续费</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水费2.1万元、电费9.88万元、邮电费3.63万元、取暖费1.92万元、差旅费45.76万元、维修（护）费35.01万元、租赁费0.8万元、会议费10.95万元、培训费5.11万元、公务接待费0.84万元、专用材料费0.88万元、劳务费225.58万元、委托业务费775.79万元、工会经费46.09万元、其他交通费用23.61万元、其他商品和服务支出143.84万元、办公设备购置81.37万元、专用设备购置74.19万元、信息网络及软件购置更新99.97万元、其他资本性支出70万元。</w:t>
      </w:r>
    </w:p>
    <w:p w14:paraId="1E4DF9CC">
      <w:pPr>
        <w:pStyle w:val="13"/>
        <w:spacing w:line="600" w:lineRule="exact"/>
        <w:ind w:firstLine="640" w:firstLineChars="200"/>
        <w:rPr>
          <w:rFonts w:ascii="Times New Roman" w:hAnsi="Times New Roman" w:eastAsia="仿宋_GB2312"/>
          <w:b/>
          <w:color w:val="auto"/>
          <w:sz w:val="32"/>
          <w:szCs w:val="32"/>
        </w:rPr>
      </w:pPr>
      <w:r>
        <w:rPr>
          <w:rFonts w:hint="eastAsia" w:hAnsi="黑体"/>
          <w:bCs/>
          <w:color w:val="auto"/>
          <w:sz w:val="32"/>
          <w:szCs w:val="32"/>
        </w:rPr>
        <w:t>七、财政拨款三公经费支出决算情况说明</w:t>
      </w:r>
    </w:p>
    <w:p w14:paraId="72814C61">
      <w:pPr>
        <w:pStyle w:val="13"/>
        <w:spacing w:line="600" w:lineRule="exact"/>
        <w:ind w:firstLine="640" w:firstLineChars="200"/>
        <w:rPr>
          <w:rFonts w:ascii="楷体" w:hAnsi="楷体" w:eastAsia="楷体" w:cs="楷体"/>
          <w:b/>
          <w:sz w:val="32"/>
          <w:szCs w:val="32"/>
        </w:rPr>
      </w:pPr>
      <w:r>
        <w:rPr>
          <w:rFonts w:hint="eastAsia" w:ascii="楷体" w:hAnsi="楷体" w:eastAsia="楷体" w:cs="楷体"/>
          <w:b/>
          <w:color w:val="auto"/>
          <w:sz w:val="32"/>
          <w:szCs w:val="32"/>
        </w:rPr>
        <w:t>（一）“三公”经费财政拨款支出决算总体情</w:t>
      </w:r>
      <w:r>
        <w:rPr>
          <w:rFonts w:hint="eastAsia" w:ascii="楷体" w:hAnsi="楷体" w:eastAsia="楷体" w:cs="楷体"/>
          <w:b/>
          <w:sz w:val="32"/>
          <w:szCs w:val="32"/>
        </w:rPr>
        <w:t>况说明</w:t>
      </w:r>
    </w:p>
    <w:p w14:paraId="73F975D6">
      <w:pPr>
        <w:pStyle w:val="13"/>
        <w:spacing w:line="600" w:lineRule="exact"/>
        <w:ind w:firstLine="800" w:firstLineChars="250"/>
        <w:rPr>
          <w:rFonts w:ascii="Times New Roman" w:hAnsi="Times New Roman" w:eastAsia="仿宋_GB2312"/>
          <w:sz w:val="32"/>
          <w:szCs w:val="32"/>
          <w:highlight w:val="none"/>
        </w:rPr>
      </w:pPr>
      <w:r>
        <w:rPr>
          <w:rFonts w:hint="eastAsia" w:ascii="Times New Roman" w:hAnsi="Times New Roman" w:eastAsia="仿宋_GB2312"/>
          <w:sz w:val="32"/>
          <w:szCs w:val="32"/>
        </w:rPr>
        <w:t>“三公”经费</w:t>
      </w:r>
      <w:r>
        <w:rPr>
          <w:rFonts w:hint="eastAsia" w:ascii="Times New Roman" w:hAnsi="Times New Roman" w:eastAsia="仿宋_GB2312"/>
          <w:sz w:val="32"/>
          <w:szCs w:val="32"/>
          <w:highlight w:val="none"/>
        </w:rPr>
        <w:t>财政拨款支出预算为</w:t>
      </w:r>
      <w:r>
        <w:rPr>
          <w:rFonts w:hint="eastAsia" w:ascii="Times New Roman" w:hAnsi="Times New Roman" w:eastAsia="仿宋_GB2312"/>
          <w:sz w:val="32"/>
          <w:szCs w:val="32"/>
          <w:highlight w:val="none"/>
          <w:lang w:val="en-US" w:eastAsia="zh-CN"/>
        </w:rPr>
        <w:t>0.84</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0.84</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rPr>
        <w:t>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预算数</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增加了</w:t>
      </w:r>
      <w:r>
        <w:rPr>
          <w:rFonts w:hint="eastAsia" w:ascii="Times New Roman" w:hAnsi="Times New Roman" w:eastAsia="仿宋_GB2312"/>
          <w:sz w:val="32"/>
          <w:szCs w:val="32"/>
          <w:lang w:val="en-US" w:eastAsia="zh-CN"/>
        </w:rPr>
        <w:t>0.34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增加了</w:t>
      </w:r>
      <w:r>
        <w:rPr>
          <w:rFonts w:hint="eastAsia" w:ascii="Times New Roman" w:hAnsi="Times New Roman" w:eastAsia="仿宋_GB2312"/>
          <w:sz w:val="32"/>
          <w:szCs w:val="32"/>
          <w:lang w:val="en-US" w:eastAsia="zh-CN"/>
        </w:rPr>
        <w:t>68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rPr>
        <w:t>的主要原因是单位</w:t>
      </w:r>
      <w:r>
        <w:rPr>
          <w:rFonts w:hint="eastAsia" w:ascii="Times New Roman" w:hAnsi="Times New Roman" w:eastAsia="仿宋_GB2312"/>
          <w:sz w:val="32"/>
          <w:szCs w:val="32"/>
          <w:lang w:eastAsia="zh-CN"/>
        </w:rPr>
        <w:t>增加了对外领导接待的次数，</w:t>
      </w:r>
      <w:r>
        <w:rPr>
          <w:rFonts w:hint="eastAsia" w:ascii="Times New Roman" w:hAnsi="Times New Roman" w:eastAsia="仿宋_GB2312"/>
          <w:sz w:val="32"/>
          <w:szCs w:val="32"/>
          <w:highlight w:val="none"/>
        </w:rPr>
        <w:t>其中：</w:t>
      </w:r>
    </w:p>
    <w:p w14:paraId="042E8BE5">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因公出国（境）费支出预算为0万元，支出决算为0万元，完成预算的0%，决算数等于预算数，与上年相比没有增减。</w:t>
      </w:r>
    </w:p>
    <w:p w14:paraId="2AD7F3AE">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公务接待</w:t>
      </w:r>
      <w:r>
        <w:rPr>
          <w:rFonts w:hint="eastAsia" w:ascii="Times New Roman" w:hAnsi="Times New Roman" w:eastAsia="仿宋_GB2312"/>
          <w:sz w:val="32"/>
          <w:szCs w:val="32"/>
          <w:highlight w:val="none"/>
        </w:rPr>
        <w:t>费支出预算为</w:t>
      </w:r>
      <w:r>
        <w:rPr>
          <w:rFonts w:hint="eastAsia" w:ascii="Times New Roman" w:hAnsi="Times New Roman" w:eastAsia="仿宋_GB2312"/>
          <w:sz w:val="32"/>
          <w:szCs w:val="32"/>
          <w:highlight w:val="none"/>
          <w:lang w:val="en-US" w:eastAsia="zh-CN"/>
        </w:rPr>
        <w:t>0.84</w:t>
      </w:r>
      <w:r>
        <w:rPr>
          <w:rFonts w:hint="eastAsia" w:ascii="Times New Roman" w:hAnsi="Times New Roman" w:eastAsia="仿宋_GB2312"/>
          <w:sz w:val="32"/>
          <w:szCs w:val="32"/>
          <w:highlight w:val="none"/>
        </w:rPr>
        <w:t>万元，支出决</w:t>
      </w:r>
      <w:r>
        <w:rPr>
          <w:rFonts w:hint="eastAsia" w:ascii="Times New Roman" w:hAnsi="Times New Roman" w:eastAsia="仿宋_GB2312"/>
          <w:sz w:val="32"/>
          <w:szCs w:val="32"/>
        </w:rPr>
        <w:t>算为</w:t>
      </w:r>
      <w:r>
        <w:rPr>
          <w:rFonts w:hint="eastAsia" w:ascii="Times New Roman" w:hAnsi="Times New Roman" w:eastAsia="仿宋_GB2312"/>
          <w:sz w:val="32"/>
          <w:szCs w:val="32"/>
          <w:lang w:val="en-US" w:eastAsia="zh-CN"/>
        </w:rPr>
        <w:t>0.84</w:t>
      </w:r>
      <w:r>
        <w:rPr>
          <w:rFonts w:hint="eastAsia" w:ascii="Times New Roman" w:hAnsi="Times New Roman" w:eastAsia="仿宋_GB2312"/>
          <w:sz w:val="32"/>
          <w:szCs w:val="32"/>
        </w:rPr>
        <w:t>万元，完成预算的100%，决算数等于预算数，</w:t>
      </w:r>
      <w:bookmarkStart w:id="3" w:name="OLE_LINK2"/>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增加了</w:t>
      </w:r>
      <w:r>
        <w:rPr>
          <w:rFonts w:hint="eastAsia" w:ascii="Times New Roman" w:hAnsi="Times New Roman" w:eastAsia="仿宋_GB2312"/>
          <w:sz w:val="32"/>
          <w:szCs w:val="32"/>
          <w:lang w:val="en-US" w:eastAsia="zh-CN"/>
        </w:rPr>
        <w:t>0.34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增加了</w:t>
      </w:r>
      <w:r>
        <w:rPr>
          <w:rFonts w:hint="eastAsia" w:ascii="Times New Roman" w:hAnsi="Times New Roman" w:eastAsia="仿宋_GB2312"/>
          <w:sz w:val="32"/>
          <w:szCs w:val="32"/>
          <w:lang w:val="en-US" w:eastAsia="zh-CN"/>
        </w:rPr>
        <w:t>68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rPr>
        <w:t>的主要原因是单位</w:t>
      </w:r>
      <w:r>
        <w:rPr>
          <w:rFonts w:hint="eastAsia" w:ascii="Times New Roman" w:hAnsi="Times New Roman" w:eastAsia="仿宋_GB2312"/>
          <w:sz w:val="32"/>
          <w:szCs w:val="32"/>
          <w:lang w:eastAsia="zh-CN"/>
        </w:rPr>
        <w:t>增加了对外领导接待的次数</w:t>
      </w:r>
      <w:bookmarkEnd w:id="3"/>
      <w:r>
        <w:rPr>
          <w:rFonts w:hint="eastAsia" w:ascii="Times New Roman" w:hAnsi="Times New Roman" w:eastAsia="仿宋_GB2312"/>
          <w:sz w:val="32"/>
          <w:szCs w:val="32"/>
        </w:rPr>
        <w:t>。</w:t>
      </w:r>
    </w:p>
    <w:p w14:paraId="1A703D60">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公务用车购置费支出预算为0万元，支出决算为0万元，完成预算的0%，决算数等于预算数，与上年相比没有增减。</w:t>
      </w:r>
    </w:p>
    <w:p w14:paraId="0E512997">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%，决算数等于预算数，与上年相比没有增减。</w:t>
      </w:r>
    </w:p>
    <w:p w14:paraId="091CD918">
      <w:pPr>
        <w:pStyle w:val="13"/>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14:paraId="26679EA9">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度“三公”经费财政拨款支出决算中，公务接待费支出决算0.</w:t>
      </w:r>
      <w:r>
        <w:rPr>
          <w:rFonts w:hint="eastAsia" w:ascii="Times New Roman" w:hAnsi="Times New Roman" w:eastAsia="仿宋_GB2312"/>
          <w:sz w:val="32"/>
          <w:szCs w:val="32"/>
          <w:lang w:val="en-US" w:eastAsia="zh-CN"/>
        </w:rPr>
        <w:t>84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%,因公出国（境）费支出决算0万元，占0%,公务用车购置费及运行维护费支出决算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7A34B997">
      <w:pPr>
        <w:pStyle w:val="13"/>
        <w:spacing w:line="600" w:lineRule="exact"/>
        <w:ind w:firstLine="640" w:firstLineChars="200"/>
        <w:rPr>
          <w:rFonts w:ascii="楷体" w:hAnsi="楷体" w:eastAsia="楷体" w:cs="楷体"/>
          <w:b/>
          <w:bCs/>
          <w:i/>
          <w:color w:val="auto"/>
          <w:sz w:val="32"/>
          <w:szCs w:val="32"/>
        </w:rPr>
      </w:pPr>
      <w:r>
        <w:rPr>
          <w:rFonts w:hint="eastAsia" w:ascii="Times New Roman" w:hAnsi="Times New Roman" w:eastAsia="仿宋_GB2312"/>
          <w:sz w:val="32"/>
          <w:szCs w:val="32"/>
        </w:rPr>
        <w:t>1、因公出国（境）费支出决算为0万元，全年安排因公出国（境）团组0个，累计0人次。</w:t>
      </w:r>
    </w:p>
    <w:p w14:paraId="68D73D06">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2、公务接待费支出决算为0.</w:t>
      </w:r>
      <w:r>
        <w:rPr>
          <w:rFonts w:hint="eastAsia" w:ascii="Times New Roman" w:hAnsi="Times New Roman" w:eastAsia="仿宋_GB2312"/>
          <w:sz w:val="32"/>
          <w:szCs w:val="32"/>
          <w:lang w:val="en-US" w:eastAsia="zh-CN"/>
        </w:rPr>
        <w:t>84</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134</w:t>
      </w:r>
      <w:r>
        <w:rPr>
          <w:rFonts w:hint="eastAsia" w:ascii="Times New Roman" w:hAnsi="Times New Roman" w:eastAsia="仿宋_GB2312"/>
          <w:sz w:val="32"/>
          <w:szCs w:val="32"/>
        </w:rPr>
        <w:t>人次，主要是迎省、市、县各级领导检查发生的接待支出。</w:t>
      </w:r>
    </w:p>
    <w:p w14:paraId="0DE1AAB5">
      <w:pPr>
        <w:spacing w:line="600" w:lineRule="exact"/>
        <w:ind w:firstLine="800" w:firstLineChars="250"/>
        <w:rPr>
          <w:rFonts w:ascii="楷体" w:hAnsi="楷体" w:eastAsia="楷体" w:cs="楷体"/>
          <w:b/>
          <w:bCs/>
          <w:i/>
          <w:kern w:val="0"/>
          <w:sz w:val="32"/>
          <w:szCs w:val="32"/>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万元，其中：公务用车购置费0万元，更新公务用车0辆。公务用车运行维护费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万元，截止2021年12月31日，我单位开支财政拨款的公务用车保有量为2辆。</w:t>
      </w:r>
    </w:p>
    <w:p w14:paraId="355BD3D9">
      <w:pPr>
        <w:pStyle w:val="13"/>
        <w:spacing w:line="600" w:lineRule="exact"/>
        <w:ind w:firstLine="640" w:firstLineChars="200"/>
        <w:rPr>
          <w:rFonts w:hAnsi="黑体"/>
          <w:bCs/>
          <w:sz w:val="32"/>
          <w:szCs w:val="32"/>
        </w:rPr>
      </w:pPr>
      <w:r>
        <w:rPr>
          <w:rFonts w:hint="eastAsia" w:hAnsi="黑体"/>
          <w:bCs/>
          <w:sz w:val="32"/>
          <w:szCs w:val="32"/>
        </w:rPr>
        <w:t>八、政府性基金预算收入支出决算情况</w:t>
      </w:r>
    </w:p>
    <w:p w14:paraId="4A0DD048">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万元；年初结转和结余0万元；支出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万元；年末结转和结余0万元。</w:t>
      </w:r>
    </w:p>
    <w:p w14:paraId="07129A1D">
      <w:pPr>
        <w:pStyle w:val="13"/>
        <w:spacing w:line="600" w:lineRule="exact"/>
        <w:ind w:firstLine="640" w:firstLineChars="200"/>
        <w:rPr>
          <w:rFonts w:ascii="Times New Roman" w:hAnsi="Times New Roman" w:eastAsia="仿宋_GB2312"/>
          <w:b/>
          <w:sz w:val="32"/>
          <w:szCs w:val="32"/>
        </w:rPr>
      </w:pPr>
      <w:r>
        <w:rPr>
          <w:rFonts w:hint="eastAsia" w:ascii="Times New Roman" w:hAnsi="Times New Roman" w:eastAsia="仿宋_GB2312"/>
          <w:b/>
          <w:sz w:val="32"/>
          <w:szCs w:val="32"/>
        </w:rPr>
        <w:t>九、关于机关运行经费支出说明</w:t>
      </w:r>
    </w:p>
    <w:p w14:paraId="45526ED7">
      <w:pPr>
        <w:pStyle w:val="13"/>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本部门</w:t>
      </w: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度机关运</w:t>
      </w:r>
      <w:r>
        <w:rPr>
          <w:rFonts w:hint="eastAsia" w:ascii="Times New Roman" w:hAnsi="Times New Roman" w:eastAsia="仿宋_GB2312"/>
          <w:sz w:val="32"/>
          <w:szCs w:val="32"/>
          <w:highlight w:val="none"/>
        </w:rPr>
        <w:t>行经费支出1811.89</w:t>
      </w:r>
      <w:r>
        <w:rPr>
          <w:rFonts w:hint="eastAsia" w:ascii="Times New Roman" w:hAnsi="Times New Roman" w:eastAsia="仿宋_GB2312"/>
          <w:sz w:val="32"/>
          <w:szCs w:val="32"/>
        </w:rPr>
        <w:t>万元，比上年决算数</w:t>
      </w:r>
      <w:r>
        <w:rPr>
          <w:rFonts w:hint="eastAsia" w:ascii="Times New Roman" w:hAnsi="Times New Roman" w:eastAsia="仿宋_GB2312"/>
          <w:sz w:val="32"/>
          <w:szCs w:val="32"/>
          <w:lang w:eastAsia="zh-CN"/>
        </w:rPr>
        <w:t>增加了</w:t>
      </w:r>
      <w:r>
        <w:rPr>
          <w:rFonts w:hint="eastAsia" w:ascii="Times New Roman" w:hAnsi="Times New Roman" w:eastAsia="仿宋_GB2312"/>
          <w:sz w:val="32"/>
          <w:szCs w:val="32"/>
          <w:lang w:val="en-US" w:eastAsia="zh-CN"/>
        </w:rPr>
        <w:t>1117.91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增加了</w:t>
      </w:r>
      <w:r>
        <w:rPr>
          <w:rFonts w:hint="eastAsia" w:ascii="Times New Roman" w:hAnsi="Times New Roman" w:eastAsia="仿宋_GB2312"/>
          <w:sz w:val="32"/>
          <w:szCs w:val="32"/>
          <w:lang w:val="en-US" w:eastAsia="zh-CN"/>
        </w:rPr>
        <w:t>161.09%</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劳务费及其他商品服务费支出</w:t>
      </w:r>
      <w:r>
        <w:rPr>
          <w:rFonts w:hint="eastAsia" w:ascii="Times New Roman" w:hAnsi="Times New Roman" w:eastAsia="仿宋_GB2312"/>
          <w:sz w:val="32"/>
          <w:szCs w:val="32"/>
        </w:rPr>
        <w:t>增加。</w:t>
      </w:r>
    </w:p>
    <w:p w14:paraId="07773DDB">
      <w:pPr>
        <w:pStyle w:val="13"/>
        <w:spacing w:line="600" w:lineRule="exact"/>
        <w:ind w:firstLine="640" w:firstLineChars="200"/>
        <w:rPr>
          <w:rFonts w:hAnsi="黑体"/>
          <w:bCs/>
          <w:sz w:val="32"/>
          <w:szCs w:val="32"/>
        </w:rPr>
      </w:pPr>
      <w:r>
        <w:rPr>
          <w:rFonts w:hint="eastAsia" w:hAnsi="黑体"/>
          <w:bCs/>
          <w:sz w:val="32"/>
          <w:szCs w:val="32"/>
        </w:rPr>
        <w:t>十、一般性支出情况说明</w:t>
      </w:r>
    </w:p>
    <w:p w14:paraId="604E6275">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本部门开支会议费10.95万元，用于召开教育教学、安全视频、职称评审等会议，人数</w:t>
      </w:r>
      <w:r>
        <w:rPr>
          <w:rFonts w:hint="eastAsia" w:ascii="Times New Roman" w:hAnsi="Times New Roman" w:eastAsia="仿宋_GB2312"/>
          <w:sz w:val="32"/>
          <w:szCs w:val="32"/>
          <w:lang w:val="en-US" w:eastAsia="zh-CN"/>
        </w:rPr>
        <w:t>615</w:t>
      </w:r>
      <w:r>
        <w:rPr>
          <w:rFonts w:hint="eastAsia" w:ascii="Times New Roman" w:hAnsi="Times New Roman" w:eastAsia="仿宋_GB2312"/>
          <w:sz w:val="32"/>
          <w:szCs w:val="32"/>
        </w:rPr>
        <w:t>余人次，内容为会议场地租赁和会议所用的水、餐、资料印刷等；</w:t>
      </w:r>
    </w:p>
    <w:p w14:paraId="1A4B5CE9">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开支培训费5.11万元，用于开展国家级、省级、市级、县级教师培训支出，人数</w:t>
      </w:r>
      <w:r>
        <w:rPr>
          <w:rFonts w:hint="eastAsia" w:ascii="Times New Roman" w:hAnsi="Times New Roman" w:eastAsia="仿宋_GB2312"/>
          <w:sz w:val="32"/>
          <w:szCs w:val="32"/>
          <w:lang w:val="en-US" w:eastAsia="zh-CN"/>
        </w:rPr>
        <w:t>121</w:t>
      </w:r>
      <w:r>
        <w:rPr>
          <w:rFonts w:hint="eastAsia" w:ascii="Times New Roman" w:hAnsi="Times New Roman" w:eastAsia="仿宋_GB2312"/>
          <w:sz w:val="32"/>
          <w:szCs w:val="32"/>
        </w:rPr>
        <w:t>人次，内容为培训资料、专家授课劳务费；</w:t>
      </w:r>
    </w:p>
    <w:p w14:paraId="1C2BF038">
      <w:pPr>
        <w:pStyle w:val="13"/>
        <w:spacing w:line="600" w:lineRule="exact"/>
        <w:ind w:firstLine="640" w:firstLineChars="200"/>
        <w:rPr>
          <w:rFonts w:ascii="楷体" w:hAnsi="楷体" w:eastAsia="楷体" w:cs="楷体"/>
          <w:b/>
          <w:bCs/>
          <w:i/>
          <w:color w:val="auto"/>
          <w:sz w:val="32"/>
          <w:szCs w:val="32"/>
        </w:rPr>
      </w:pPr>
      <w:r>
        <w:rPr>
          <w:rFonts w:hint="eastAsia" w:ascii="Times New Roman" w:hAnsi="Times New Roman" w:eastAsia="仿宋_GB2312"/>
          <w:sz w:val="32"/>
          <w:szCs w:val="32"/>
        </w:rPr>
        <w:t>举办0次节庆、晚会、论坛、赛事活动，开支0万元，没有开办此类型活动。</w:t>
      </w:r>
    </w:p>
    <w:p w14:paraId="693BE209">
      <w:pPr>
        <w:pStyle w:val="13"/>
        <w:spacing w:line="600" w:lineRule="exact"/>
        <w:ind w:firstLine="640" w:firstLineChars="200"/>
        <w:rPr>
          <w:rFonts w:hint="eastAsia" w:hAnsi="黑体"/>
          <w:bCs/>
          <w:sz w:val="32"/>
          <w:szCs w:val="32"/>
        </w:rPr>
      </w:pPr>
      <w:r>
        <w:rPr>
          <w:rFonts w:hint="eastAsia" w:hAnsi="黑体"/>
          <w:bCs/>
          <w:sz w:val="32"/>
          <w:szCs w:val="32"/>
        </w:rPr>
        <w:t>十一、政府采购支出说明</w:t>
      </w:r>
    </w:p>
    <w:p w14:paraId="7D03DDB5">
      <w:pPr>
        <w:pStyle w:val="13"/>
        <w:ind w:firstLine="640" w:firstLineChars="200"/>
        <w:rPr>
          <w:rFonts w:hint="eastAsia" w:ascii="仿宋" w:hAnsi="仿宋" w:eastAsia="仿宋" w:cs="仿宋"/>
          <w:sz w:val="32"/>
          <w:szCs w:val="32"/>
        </w:rPr>
      </w:pPr>
      <w:r>
        <w:rPr>
          <w:rFonts w:hint="eastAsia" w:ascii="仿宋" w:hAnsi="仿宋" w:eastAsia="仿宋" w:cs="仿宋"/>
          <w:sz w:val="32"/>
          <w:szCs w:val="32"/>
        </w:rPr>
        <w:t>本部门202</w:t>
      </w:r>
      <w:r>
        <w:rPr>
          <w:rFonts w:hint="eastAsia" w:ascii="仿宋" w:hAnsi="仿宋" w:eastAsia="仿宋" w:cs="仿宋"/>
          <w:sz w:val="32"/>
          <w:szCs w:val="32"/>
          <w:lang w:val="en-US" w:eastAsia="zh-CN"/>
        </w:rPr>
        <w:t>2</w:t>
      </w:r>
      <w:r>
        <w:rPr>
          <w:rFonts w:hint="eastAsia" w:ascii="仿宋" w:hAnsi="仿宋" w:eastAsia="仿宋" w:cs="仿宋"/>
          <w:sz w:val="32"/>
          <w:szCs w:val="32"/>
        </w:rPr>
        <w:t>年度政府采购支出总额0万元，其中：政府采购货物支出0万元、政府采购工程支出0 万元、政府采购服务支出0万元。授予中小企业合同金额0万元，占政府采购支出总额的0%，其中：授予小微企业合同金额0万元，占授予中小企业合同金额的0%；货物采购授予中小企业合同金额占货物支出金额的0%，工程采购授予中小企业合同金额占工程支出金额的0%，服务采购授予中小企业合同金额占服务支出金额的0%。</w:t>
      </w:r>
    </w:p>
    <w:p w14:paraId="634677FF">
      <w:pPr>
        <w:pStyle w:val="13"/>
        <w:spacing w:line="600" w:lineRule="exact"/>
        <w:ind w:firstLine="640" w:firstLineChars="200"/>
        <w:rPr>
          <w:rFonts w:hint="eastAsia" w:hAnsi="黑体"/>
          <w:bCs/>
          <w:sz w:val="32"/>
          <w:szCs w:val="32"/>
        </w:rPr>
      </w:pPr>
      <w:r>
        <w:rPr>
          <w:rFonts w:hint="eastAsia" w:hAnsi="黑体"/>
          <w:bCs/>
          <w:sz w:val="32"/>
          <w:szCs w:val="32"/>
        </w:rPr>
        <w:t>十二、国有资产占用情况说明</w:t>
      </w:r>
    </w:p>
    <w:p w14:paraId="2717FB71">
      <w:pPr>
        <w:pStyle w:val="13"/>
        <w:ind w:firstLine="640" w:firstLineChars="200"/>
        <w:rPr>
          <w:rFonts w:hint="eastAsia" w:ascii="仿宋" w:hAnsi="仿宋" w:eastAsia="仿宋" w:cs="仿宋"/>
          <w:sz w:val="32"/>
          <w:szCs w:val="32"/>
        </w:rPr>
      </w:pPr>
      <w:r>
        <w:rPr>
          <w:rFonts w:hint="eastAsia" w:ascii="仿宋" w:hAnsi="仿宋" w:eastAsia="仿宋" w:cs="仿宋"/>
          <w:sz w:val="32"/>
          <w:szCs w:val="32"/>
        </w:rPr>
        <w:t>截至202</w:t>
      </w:r>
      <w:r>
        <w:rPr>
          <w:rFonts w:hint="eastAsia" w:ascii="仿宋" w:hAnsi="仿宋" w:eastAsia="仿宋" w:cs="仿宋"/>
          <w:sz w:val="32"/>
          <w:szCs w:val="32"/>
          <w:lang w:val="en-US" w:eastAsia="zh-CN"/>
        </w:rPr>
        <w:t>2</w:t>
      </w:r>
      <w:r>
        <w:rPr>
          <w:rFonts w:hint="eastAsia" w:ascii="仿宋" w:hAnsi="仿宋" w:eastAsia="仿宋" w:cs="仿宋"/>
          <w:sz w:val="32"/>
          <w:szCs w:val="32"/>
        </w:rPr>
        <w:t>年12月31日，本单位共有车辆0辆，其中，主要领导干部用车0辆，机要通信用车0辆、应急保障用车0辆、执法执勤用车0辆、特种专业技术用车0辆、其他用车0辆；单位价值50万元以上通用设备0台（套）；单位价值100万元以上专用设备0台（套）。</w:t>
      </w:r>
    </w:p>
    <w:p w14:paraId="1B0E9643">
      <w:pPr>
        <w:pStyle w:val="13"/>
        <w:spacing w:line="600" w:lineRule="exact"/>
        <w:ind w:firstLine="640" w:firstLineChars="200"/>
        <w:rPr>
          <w:rFonts w:hint="eastAsia" w:hAnsi="黑体"/>
          <w:bCs/>
          <w:sz w:val="32"/>
          <w:szCs w:val="32"/>
        </w:rPr>
      </w:pPr>
      <w:r>
        <w:rPr>
          <w:rFonts w:hint="eastAsia" w:hAnsi="黑体"/>
          <w:bCs/>
          <w:sz w:val="32"/>
          <w:szCs w:val="32"/>
        </w:rPr>
        <w:t>十三、关于</w:t>
      </w:r>
      <w:r>
        <w:rPr>
          <w:rFonts w:hint="eastAsia" w:hAnsi="黑体"/>
          <w:bCs/>
          <w:sz w:val="32"/>
          <w:szCs w:val="32"/>
          <w:lang w:eastAsia="zh-CN"/>
        </w:rPr>
        <w:t>2023年</w:t>
      </w:r>
      <w:r>
        <w:rPr>
          <w:rFonts w:hint="eastAsia" w:hAnsi="黑体"/>
          <w:bCs/>
          <w:sz w:val="32"/>
          <w:szCs w:val="32"/>
        </w:rPr>
        <w:t>度预算绩效情况的说明</w:t>
      </w:r>
    </w:p>
    <w:p w14:paraId="6095A23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bookmarkStart w:id="4" w:name="OLE_LINK13"/>
      <w:bookmarkStart w:id="5" w:name="OLE_LINK50"/>
      <w:bookmarkStart w:id="6" w:name="OLE_LINK45"/>
      <w:r>
        <w:rPr>
          <w:rFonts w:hint="eastAsia" w:ascii="楷体" w:hAnsi="楷体" w:eastAsia="楷体" w:cs="楷体"/>
          <w:b/>
          <w:bCs/>
          <w:sz w:val="32"/>
          <w:szCs w:val="32"/>
          <w:lang w:eastAsia="zh-CN"/>
        </w:rPr>
        <w:t>（一）</w:t>
      </w:r>
      <w:bookmarkStart w:id="7" w:name="OLE_LINK5"/>
      <w:r>
        <w:rPr>
          <w:rFonts w:hint="eastAsia" w:ascii="楷体" w:hAnsi="楷体" w:eastAsia="楷体" w:cs="楷体"/>
          <w:b/>
          <w:bCs/>
          <w:sz w:val="32"/>
          <w:szCs w:val="32"/>
          <w:lang w:eastAsia="zh-CN"/>
        </w:rPr>
        <w:t>绩效管理工作开展情况</w:t>
      </w:r>
      <w:bookmarkEnd w:id="4"/>
      <w:bookmarkEnd w:id="7"/>
    </w:p>
    <w:p w14:paraId="33221484">
      <w:pPr>
        <w:pStyle w:val="13"/>
        <w:ind w:firstLine="640" w:firstLineChars="200"/>
        <w:rPr>
          <w:rFonts w:hint="eastAsia" w:ascii="仿宋" w:hAnsi="仿宋" w:eastAsia="仿宋" w:cs="仿宋"/>
          <w:sz w:val="32"/>
          <w:szCs w:val="32"/>
          <w:lang w:eastAsia="zh-CN"/>
        </w:rPr>
      </w:pPr>
      <w:bookmarkStart w:id="8" w:name="OLE_LINK55"/>
      <w:bookmarkStart w:id="9" w:name="OLE_LINK40"/>
      <w:r>
        <w:rPr>
          <w:rFonts w:hint="eastAsia" w:ascii="仿宋" w:hAnsi="仿宋" w:eastAsia="仿宋" w:cs="仿宋"/>
          <w:sz w:val="32"/>
          <w:szCs w:val="32"/>
          <w:lang w:eastAsia="zh-CN"/>
        </w:rPr>
        <w:t>2023年，编制预算时，我单位预算资金全部纳入绩效目标管理，预算执行时，为深化绩效监控，促进绩效目标实现，采取单位自控和财政审核相结合的方式，对绩效运行全过程进行跟踪监督，对偏离绩效目标、计划进度滞后、预算执行缓慢的项目及时督促整改。着力确保项目绩效目标顺利实现。项目完成后，采取“三位一体”绩效评价方式，即通过部门自评、财政再评价、第三方评价，对项目绩效情况出具绩效评价报告，及时向社会公开，并将绩效评价结果作为下年度预算编制的重要依据</w:t>
      </w:r>
      <w:bookmarkEnd w:id="5"/>
      <w:bookmarkEnd w:id="8"/>
      <w:r>
        <w:rPr>
          <w:rFonts w:hint="eastAsia" w:ascii="仿宋" w:hAnsi="仿宋" w:eastAsia="仿宋" w:cs="仿宋"/>
          <w:sz w:val="32"/>
          <w:szCs w:val="32"/>
          <w:lang w:eastAsia="zh-CN"/>
        </w:rPr>
        <w:t>。</w:t>
      </w:r>
      <w:bookmarkEnd w:id="9"/>
    </w:p>
    <w:bookmarkEnd w:id="6"/>
    <w:p w14:paraId="4A50619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bookmarkStart w:id="10" w:name="OLE_LINK46"/>
      <w:r>
        <w:rPr>
          <w:rFonts w:hint="eastAsia" w:ascii="楷体" w:hAnsi="楷体" w:eastAsia="楷体" w:cs="楷体"/>
          <w:b/>
          <w:bCs/>
          <w:sz w:val="32"/>
          <w:szCs w:val="32"/>
          <w:lang w:eastAsia="zh-CN"/>
        </w:rPr>
        <w:t>（二）</w:t>
      </w:r>
      <w:bookmarkStart w:id="11" w:name="OLE_LINK6"/>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bookmarkEnd w:id="10"/>
      <w:bookmarkEnd w:id="11"/>
    </w:p>
    <w:p w14:paraId="6A9366AF">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本部门年初预算为57011.85万元，支出决算为21008.4万元，完成年初预算的</w:t>
      </w:r>
      <w:r>
        <w:rPr>
          <w:rFonts w:hint="eastAsia" w:ascii="Times New Roman" w:hAnsi="Times New Roman" w:eastAsia="仿宋_GB2312"/>
          <w:sz w:val="32"/>
          <w:szCs w:val="32"/>
          <w:lang w:val="en-US" w:eastAsia="zh-CN"/>
        </w:rPr>
        <w:t>271.37</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w:t>
      </w:r>
      <w:r>
        <w:rPr>
          <w:rFonts w:hint="eastAsia" w:ascii="Times New Roman" w:hAnsi="Times New Roman" w:eastAsia="仿宋_GB2312"/>
          <w:sz w:val="32"/>
          <w:szCs w:val="32"/>
          <w:highlight w:val="none"/>
        </w:rPr>
        <w:t>要原因是：</w:t>
      </w:r>
      <w:r>
        <w:rPr>
          <w:rFonts w:hint="eastAsia" w:ascii="Times New Roman" w:hAnsi="Times New Roman" w:eastAsia="仿宋_GB2312"/>
          <w:sz w:val="32"/>
          <w:szCs w:val="32"/>
          <w:highlight w:val="none"/>
          <w:lang w:val="en-US" w:eastAsia="zh-CN"/>
        </w:rPr>
        <w:t>2023年下面中小学学校的相关财政拨款</w:t>
      </w:r>
      <w:r>
        <w:rPr>
          <w:rFonts w:hint="eastAsia" w:ascii="Times New Roman" w:hAnsi="Times New Roman" w:eastAsia="仿宋_GB2312"/>
          <w:sz w:val="32"/>
          <w:szCs w:val="32"/>
          <w:highlight w:val="none"/>
        </w:rPr>
        <w:t>年末</w:t>
      </w:r>
      <w:r>
        <w:rPr>
          <w:rFonts w:hint="eastAsia" w:ascii="Times New Roman" w:hAnsi="Times New Roman" w:eastAsia="仿宋_GB2312"/>
          <w:sz w:val="32"/>
          <w:szCs w:val="32"/>
          <w:highlight w:val="none"/>
          <w:lang w:eastAsia="zh-CN"/>
        </w:rPr>
        <w:t>未</w:t>
      </w:r>
      <w:r>
        <w:rPr>
          <w:rFonts w:hint="eastAsia" w:ascii="Times New Roman" w:hAnsi="Times New Roman" w:eastAsia="仿宋_GB2312"/>
          <w:sz w:val="32"/>
          <w:szCs w:val="32"/>
          <w:highlight w:val="none"/>
        </w:rPr>
        <w:t>纳入了决算。溆浦县</w:t>
      </w:r>
      <w:r>
        <w:rPr>
          <w:rFonts w:hint="eastAsia" w:ascii="Times New Roman" w:hAnsi="Times New Roman" w:eastAsia="仿宋_GB2312"/>
          <w:sz w:val="32"/>
          <w:szCs w:val="32"/>
        </w:rPr>
        <w:t>教育局突出抓改革、强教育、促发展，各方面工作稳步推进，根据《部门整体支出绩效评价指标》评分表自评得分9</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分，财政支出绩效为“优秀”，已实现既定绩效目标。主要绩效情况如下：</w:t>
      </w:r>
    </w:p>
    <w:p w14:paraId="0583B14C">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1、目标一：保障我县教育系统在职及退休人员的工资福利经费正常开支，保证教育系统正常运转及大局稳定，力求教育稳步发展。</w:t>
      </w:r>
    </w:p>
    <w:p w14:paraId="09E0938A">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完成情况：落实了全县在职教师7640人的工资逐月按时足额发放，确保了教师乡镇补贴、教师绩效奖、教师培训经费等保障到位。</w:t>
      </w:r>
    </w:p>
    <w:p w14:paraId="367B1A84">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实现情况：绩效目标已实现。多渠道补充教师462人，送培公费定向培养师范生217人，城乡交流教师442人，培训干部教师4360人次，全县师资实力大幅提升，师资力量更加均衡。</w:t>
      </w:r>
    </w:p>
    <w:p w14:paraId="2D9B0854">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2、目标二：保障我县教育系统政策范畴内保障经费正常开支，保证教育系统正常运转及大局稳定，力求教育稳步发展。</w:t>
      </w:r>
    </w:p>
    <w:p w14:paraId="43EF67FE">
      <w:pPr>
        <w:pStyle w:val="13"/>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完成情况：牢固树立真正过紧日子思想，开源节流、精打细算，量入为出、厉行节约，各种会议费、差旅费、公务接待费、设备购置费等，该压减的要压减，要把钱用在最急需的地方，用在最关键的地方。</w:t>
      </w:r>
    </w:p>
    <w:p w14:paraId="170B0CD2">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实现情况：绩效目标已实现。全县各级各类学校550所按政策落实范畴内保障经费，全年平稳运行。</w:t>
      </w:r>
    </w:p>
    <w:p w14:paraId="28325495">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3、目标三：全面加强各项项目建设，完善标准要求，完成重点民生事实项目工程。</w:t>
      </w:r>
    </w:p>
    <w:p w14:paraId="3185F0E9">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完成情况：本部门严格按照项目资金用途使用资金，做到专款专用。在遵循国家的《采购法》、《预算法》的基础上制定了《溆浦县学校采购管理办法》、《学校非税收入（专户内）资金管理暂行规定》、《溆浦县学校基建维修管理办法》等，充分认识到项目资金的重要性和特殊性，以高度的责任感和使命感管好用好每一分钱，使资金的安排、使用发挥出最大效益，实现项目目标。</w:t>
      </w:r>
    </w:p>
    <w:p w14:paraId="4972B856">
      <w:pPr>
        <w:pStyle w:val="13"/>
        <w:spacing w:line="600" w:lineRule="exact"/>
        <w:ind w:firstLine="640" w:firstLineChars="200"/>
        <w:rPr>
          <w:rFonts w:hint="eastAsia" w:ascii="楷体" w:hAnsi="楷体" w:eastAsia="楷体" w:cs="楷体"/>
          <w:b/>
          <w:bCs/>
          <w:sz w:val="32"/>
          <w:szCs w:val="32"/>
        </w:rPr>
      </w:pPr>
      <w:r>
        <w:rPr>
          <w:rFonts w:hint="eastAsia" w:ascii="Times New Roman" w:hAnsi="Times New Roman" w:eastAsia="仿宋_GB2312"/>
          <w:sz w:val="32"/>
          <w:szCs w:val="32"/>
        </w:rPr>
        <w:t>实现情况：绩效目标已实现。本部门高度重视项目资金的管理，项目实施完成后，义务教育学校标准化建设、基础教育信息化建设、学校安全稳定等极大地改善了学校的办学条件，提升了教师和学生的教学积极性，为实现教育技术的现代化迈出了坚实的一步，社会效益非常明显，得到学生和家长的广泛赞誉。</w:t>
      </w:r>
    </w:p>
    <w:p w14:paraId="10F0B7E3">
      <w:pPr>
        <w:pStyle w:val="13"/>
        <w:numPr>
          <w:ilvl w:val="0"/>
          <w:numId w:val="1"/>
        </w:numPr>
        <w:spacing w:line="600" w:lineRule="exact"/>
        <w:ind w:firstLine="640" w:firstLineChars="200"/>
        <w:rPr>
          <w:rFonts w:hint="eastAsia" w:ascii="楷体" w:hAnsi="楷体" w:eastAsia="楷体" w:cs="楷体"/>
          <w:b/>
          <w:bCs/>
          <w:sz w:val="32"/>
          <w:szCs w:val="32"/>
        </w:rPr>
      </w:pPr>
      <w:bookmarkStart w:id="12" w:name="OLE_LINK7"/>
      <w:r>
        <w:rPr>
          <w:rFonts w:hint="eastAsia" w:ascii="楷体" w:hAnsi="楷体" w:eastAsia="楷体" w:cs="楷体"/>
          <w:b/>
          <w:bCs/>
          <w:sz w:val="32"/>
          <w:szCs w:val="32"/>
        </w:rPr>
        <w:t>存在的问题及原因分析</w:t>
      </w:r>
      <w:bookmarkEnd w:id="12"/>
    </w:p>
    <w:p w14:paraId="3EF967E9">
      <w:pPr>
        <w:pStyle w:val="13"/>
        <w:numPr>
          <w:ilvl w:val="0"/>
          <w:numId w:val="0"/>
        </w:num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1、年初预算支出与实际支出执行偏差较大。主要原因是年初预算编制内容不全面不具体，编制合理性不够，预估的真实性和完整性不够。</w:t>
      </w:r>
    </w:p>
    <w:p w14:paraId="2389046D">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2.预算执行约束有待进一步加强。在预算执行过程中，加强对专项资金使用的监控，定期追踪资金使用情况，及时纠正偏差预以调整。</w:t>
      </w:r>
    </w:p>
    <w:p w14:paraId="610A645B">
      <w:pPr>
        <w:pStyle w:val="13"/>
        <w:spacing w:line="600" w:lineRule="exact"/>
        <w:ind w:firstLine="640" w:firstLineChars="200"/>
        <w:rPr>
          <w:rFonts w:ascii="Times New Roman" w:hAnsi="Times New Roman" w:eastAsia="仿宋_GB2312"/>
          <w:sz w:val="32"/>
          <w:szCs w:val="32"/>
        </w:rPr>
      </w:pPr>
    </w:p>
    <w:p w14:paraId="654E0ABE">
      <w:pPr>
        <w:pStyle w:val="13"/>
        <w:spacing w:line="600" w:lineRule="exact"/>
        <w:ind w:firstLine="640" w:firstLineChars="200"/>
        <w:rPr>
          <w:rFonts w:ascii="Times New Roman" w:hAnsi="Times New Roman" w:eastAsia="仿宋_GB2312"/>
          <w:sz w:val="32"/>
          <w:szCs w:val="32"/>
        </w:rPr>
      </w:pPr>
    </w:p>
    <w:p w14:paraId="76F8EAE3">
      <w:pPr>
        <w:pStyle w:val="13"/>
        <w:spacing w:line="600" w:lineRule="exact"/>
        <w:ind w:firstLine="640" w:firstLineChars="200"/>
        <w:rPr>
          <w:rFonts w:ascii="Times New Roman" w:hAnsi="Times New Roman" w:eastAsia="仿宋_GB2312"/>
          <w:sz w:val="32"/>
          <w:szCs w:val="32"/>
        </w:rPr>
      </w:pPr>
    </w:p>
    <w:p w14:paraId="247FBD19">
      <w:pPr>
        <w:pStyle w:val="13"/>
        <w:spacing w:line="600" w:lineRule="exact"/>
        <w:ind w:firstLine="640" w:firstLineChars="200"/>
        <w:rPr>
          <w:rFonts w:ascii="Times New Roman" w:hAnsi="Times New Roman" w:eastAsia="仿宋_GB2312"/>
          <w:sz w:val="32"/>
          <w:szCs w:val="32"/>
        </w:rPr>
      </w:pPr>
    </w:p>
    <w:p w14:paraId="30BEE84E">
      <w:pPr>
        <w:pStyle w:val="13"/>
        <w:spacing w:line="600" w:lineRule="exact"/>
        <w:ind w:firstLine="640" w:firstLineChars="200"/>
        <w:rPr>
          <w:rFonts w:ascii="Times New Roman" w:hAnsi="Times New Roman" w:eastAsia="仿宋_GB2312"/>
          <w:sz w:val="32"/>
          <w:szCs w:val="32"/>
        </w:rPr>
      </w:pPr>
    </w:p>
    <w:p w14:paraId="3A0AA87C">
      <w:pPr>
        <w:pStyle w:val="13"/>
        <w:spacing w:line="600" w:lineRule="exact"/>
        <w:ind w:firstLine="640" w:firstLineChars="200"/>
        <w:rPr>
          <w:rFonts w:ascii="Times New Roman" w:hAnsi="Times New Roman" w:eastAsia="仿宋_GB2312"/>
          <w:sz w:val="32"/>
          <w:szCs w:val="32"/>
        </w:rPr>
      </w:pPr>
    </w:p>
    <w:p w14:paraId="177EB1FB">
      <w:pPr>
        <w:pStyle w:val="13"/>
        <w:spacing w:line="600" w:lineRule="exact"/>
        <w:ind w:firstLine="640" w:firstLineChars="200"/>
        <w:rPr>
          <w:rFonts w:ascii="Times New Roman" w:hAnsi="Times New Roman" w:eastAsia="仿宋_GB2312"/>
          <w:sz w:val="32"/>
          <w:szCs w:val="32"/>
        </w:rPr>
      </w:pPr>
    </w:p>
    <w:p w14:paraId="775FC637">
      <w:pPr>
        <w:pStyle w:val="13"/>
        <w:spacing w:line="600" w:lineRule="exact"/>
        <w:ind w:firstLine="640" w:firstLineChars="200"/>
        <w:rPr>
          <w:rFonts w:ascii="Times New Roman" w:hAnsi="Times New Roman" w:eastAsia="仿宋_GB2312"/>
          <w:sz w:val="32"/>
          <w:szCs w:val="32"/>
        </w:rPr>
      </w:pPr>
    </w:p>
    <w:p w14:paraId="15F14E93">
      <w:pPr>
        <w:pStyle w:val="13"/>
        <w:jc w:val="center"/>
        <w:rPr>
          <w:sz w:val="72"/>
          <w:szCs w:val="72"/>
        </w:rPr>
      </w:pPr>
    </w:p>
    <w:p w14:paraId="7E14F811">
      <w:pPr>
        <w:pStyle w:val="13"/>
        <w:jc w:val="center"/>
        <w:rPr>
          <w:sz w:val="72"/>
          <w:szCs w:val="72"/>
        </w:rPr>
      </w:pPr>
    </w:p>
    <w:p w14:paraId="1474B7B2">
      <w:pPr>
        <w:pStyle w:val="13"/>
        <w:jc w:val="center"/>
        <w:rPr>
          <w:rFonts w:hint="eastAsia" w:ascii="方正小标宋_GBK" w:hAnsi="方正小标宋_GBK" w:eastAsia="方正小标宋_GBK" w:cs="方正小标宋_GBK"/>
          <w:sz w:val="72"/>
          <w:szCs w:val="72"/>
        </w:rPr>
      </w:pPr>
    </w:p>
    <w:p w14:paraId="12E6FB5F">
      <w:pPr>
        <w:pStyle w:val="13"/>
        <w:jc w:val="center"/>
        <w:rPr>
          <w:rFonts w:hint="eastAsia" w:ascii="方正小标宋_GBK" w:hAnsi="方正小标宋_GBK" w:eastAsia="方正小标宋_GBK" w:cs="方正小标宋_GBK"/>
          <w:sz w:val="72"/>
          <w:szCs w:val="72"/>
        </w:rPr>
      </w:pPr>
    </w:p>
    <w:p w14:paraId="3B4A847C">
      <w:pPr>
        <w:pStyle w:val="13"/>
        <w:jc w:val="center"/>
        <w:rPr>
          <w:sz w:val="72"/>
          <w:szCs w:val="72"/>
        </w:rPr>
      </w:pPr>
    </w:p>
    <w:p w14:paraId="1AB6950C">
      <w:pPr>
        <w:pStyle w:val="13"/>
        <w:jc w:val="center"/>
        <w:rPr>
          <w:sz w:val="72"/>
          <w:szCs w:val="72"/>
        </w:rPr>
      </w:pPr>
    </w:p>
    <w:p w14:paraId="3BF7692E">
      <w:pPr>
        <w:pStyle w:val="13"/>
        <w:jc w:val="both"/>
        <w:rPr>
          <w:rFonts w:hint="eastAsia" w:ascii="方正小标宋_GBK" w:hAnsi="方正小标宋_GBK" w:eastAsia="方正小标宋_GBK" w:cs="方正小标宋_GBK"/>
          <w:sz w:val="72"/>
          <w:szCs w:val="72"/>
        </w:rPr>
      </w:pPr>
    </w:p>
    <w:p w14:paraId="2CA14E8E">
      <w:pPr>
        <w:pStyle w:val="13"/>
        <w:jc w:val="center"/>
        <w:rPr>
          <w:rFonts w:ascii="方正小标宋_GBK" w:hAnsi="方正小标宋_GBK" w:eastAsia="方正小标宋_GBK" w:cs="方正小标宋_GBK"/>
          <w:sz w:val="72"/>
          <w:szCs w:val="72"/>
        </w:rPr>
      </w:pPr>
    </w:p>
    <w:p w14:paraId="7FD84DD3">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747E6647">
      <w:pPr>
        <w:jc w:val="center"/>
        <w:rPr>
          <w:rFonts w:ascii="方正小标宋_GBK" w:hAnsi="方正小标宋_GBK" w:eastAsia="方正小标宋_GBK" w:cs="方正小标宋_GBK"/>
          <w:color w:val="000000"/>
          <w:kern w:val="0"/>
          <w:sz w:val="70"/>
          <w:szCs w:val="70"/>
        </w:rPr>
      </w:pPr>
    </w:p>
    <w:p w14:paraId="4809A334">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024DD42F">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7BE6D9A2">
      <w:pPr>
        <w:pStyle w:val="13"/>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三公经费：纳入省（市/县）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支出。</w:t>
      </w:r>
    </w:p>
    <w:p w14:paraId="472A4640">
      <w:pPr>
        <w:pStyle w:val="13"/>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二、机关运行经费：是指各部门的公用经费，包括办公及印刷费、邮电费、差旅费、会议费、福利费、日常维修费、专用材料费及一般设备购置费、办公用房水电费、办公用房取暖费、办公用房物业管理费、公务用车运行维护费以及其他费用。履职效能、社会效应、可持续发展能力和服务对象满意度等方面，衡量部门（单位）整体及核心业务实施效果。</w:t>
      </w:r>
    </w:p>
    <w:p w14:paraId="7C21B175">
      <w:pPr>
        <w:pStyle w:val="13"/>
        <w:jc w:val="center"/>
        <w:rPr>
          <w:sz w:val="72"/>
          <w:szCs w:val="72"/>
        </w:rPr>
      </w:pPr>
    </w:p>
    <w:p w14:paraId="67D59F69">
      <w:pPr>
        <w:pStyle w:val="13"/>
        <w:jc w:val="both"/>
        <w:rPr>
          <w:rFonts w:hint="eastAsia" w:ascii="方正小标宋_GBK" w:hAnsi="方正小标宋_GBK" w:eastAsia="方正小标宋_GBK" w:cs="方正小标宋_GBK"/>
          <w:sz w:val="72"/>
          <w:szCs w:val="72"/>
        </w:rPr>
      </w:pPr>
    </w:p>
    <w:p w14:paraId="41FC875E">
      <w:pPr>
        <w:pStyle w:val="13"/>
        <w:jc w:val="center"/>
        <w:rPr>
          <w:sz w:val="72"/>
          <w:szCs w:val="72"/>
        </w:rPr>
      </w:pPr>
    </w:p>
    <w:p w14:paraId="0306D64F">
      <w:pPr>
        <w:pStyle w:val="13"/>
        <w:jc w:val="center"/>
        <w:rPr>
          <w:sz w:val="72"/>
          <w:szCs w:val="72"/>
        </w:rPr>
      </w:pPr>
    </w:p>
    <w:p w14:paraId="69BF517B">
      <w:pPr>
        <w:pStyle w:val="13"/>
        <w:jc w:val="center"/>
        <w:rPr>
          <w:sz w:val="72"/>
          <w:szCs w:val="72"/>
        </w:rPr>
      </w:pPr>
    </w:p>
    <w:p w14:paraId="01A9DBD1">
      <w:pPr>
        <w:pStyle w:val="13"/>
        <w:jc w:val="center"/>
        <w:rPr>
          <w:sz w:val="72"/>
          <w:szCs w:val="72"/>
        </w:rPr>
      </w:pPr>
    </w:p>
    <w:p w14:paraId="148BDA77">
      <w:pPr>
        <w:pStyle w:val="13"/>
        <w:jc w:val="center"/>
        <w:rPr>
          <w:sz w:val="72"/>
          <w:szCs w:val="72"/>
        </w:rPr>
      </w:pPr>
    </w:p>
    <w:p w14:paraId="757AC03A">
      <w:pPr>
        <w:rPr>
          <w:rFonts w:cs="黑体" w:asciiTheme="minorEastAsia" w:hAnsiTheme="minorEastAsia"/>
          <w:color w:val="000000"/>
          <w:kern w:val="0"/>
          <w:sz w:val="32"/>
          <w:szCs w:val="32"/>
        </w:rPr>
      </w:pPr>
    </w:p>
    <w:p w14:paraId="6FDCFD61">
      <w:pPr>
        <w:pStyle w:val="13"/>
        <w:jc w:val="center"/>
        <w:rPr>
          <w:rFonts w:hint="eastAsia" w:ascii="方正小标宋_GBK" w:hAnsi="方正小标宋_GBK" w:eastAsia="方正小标宋_GBK" w:cs="方正小标宋_GBK"/>
          <w:sz w:val="72"/>
          <w:szCs w:val="72"/>
        </w:rPr>
      </w:pPr>
      <w:bookmarkStart w:id="13" w:name="OLE_LINK33"/>
      <w:bookmarkStart w:id="14" w:name="OLE_LINK30"/>
      <w:bookmarkStart w:id="15" w:name="OLE_LINK15"/>
    </w:p>
    <w:p w14:paraId="59B3E14E">
      <w:pPr>
        <w:pStyle w:val="13"/>
        <w:jc w:val="center"/>
        <w:rPr>
          <w:rFonts w:hint="eastAsia" w:ascii="方正小标宋_GBK" w:hAnsi="方正小标宋_GBK" w:eastAsia="方正小标宋_GBK" w:cs="方正小标宋_GBK"/>
          <w:sz w:val="72"/>
          <w:szCs w:val="72"/>
        </w:rPr>
      </w:pPr>
    </w:p>
    <w:p w14:paraId="5241B2BD">
      <w:pPr>
        <w:pStyle w:val="13"/>
        <w:jc w:val="center"/>
        <w:rPr>
          <w:rFonts w:hint="eastAsia" w:ascii="方正小标宋_GBK" w:hAnsi="方正小标宋_GBK" w:eastAsia="方正小标宋_GBK" w:cs="方正小标宋_GBK"/>
          <w:sz w:val="72"/>
          <w:szCs w:val="72"/>
        </w:rPr>
      </w:pPr>
    </w:p>
    <w:p w14:paraId="18BD4ABA">
      <w:pPr>
        <w:pStyle w:val="13"/>
        <w:jc w:val="center"/>
        <w:rPr>
          <w:rFonts w:hint="eastAsia" w:ascii="方正小标宋_GBK" w:hAnsi="方正小标宋_GBK" w:eastAsia="方正小标宋_GBK" w:cs="方正小标宋_GBK"/>
          <w:sz w:val="72"/>
          <w:szCs w:val="72"/>
        </w:rPr>
      </w:pPr>
    </w:p>
    <w:p w14:paraId="13F1EF49">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7090BA25">
      <w:pPr>
        <w:pStyle w:val="13"/>
        <w:jc w:val="center"/>
        <w:rPr>
          <w:rFonts w:hint="eastAsia" w:ascii="方正小标宋_GBK" w:hAnsi="方正小标宋_GBK" w:eastAsia="方正小标宋_GBK" w:cs="方正小标宋_GBK"/>
          <w:sz w:val="70"/>
          <w:szCs w:val="70"/>
        </w:rPr>
      </w:pPr>
    </w:p>
    <w:p w14:paraId="335CAE6D">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bookmarkEnd w:id="13"/>
    </w:p>
    <w:p w14:paraId="4C38E8F2">
      <w:pPr>
        <w:rPr>
          <w:sz w:val="72"/>
          <w:szCs w:val="72"/>
        </w:rPr>
      </w:pPr>
      <w:r>
        <w:rPr>
          <w:sz w:val="72"/>
          <w:szCs w:val="72"/>
        </w:rPr>
        <w:br w:type="page"/>
      </w:r>
    </w:p>
    <w:p w14:paraId="3940BBBB">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bookmarkStart w:id="16" w:name="OLE_LINK68"/>
      <w:bookmarkStart w:id="17" w:name="OLE_LINK34"/>
      <w:bookmarkStart w:id="18" w:name="OLE_LINK58"/>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2023年度部门(单位)整体支出绩效自评报告</w:t>
      </w:r>
      <w:bookmarkEnd w:id="16"/>
      <w:r>
        <w:rPr>
          <w:rFonts w:hint="eastAsia" w:ascii="Times New Roman" w:hAnsi="Times New Roman" w:eastAsia="仿宋_GB2312"/>
          <w:sz w:val="32"/>
          <w:szCs w:val="32"/>
          <w:lang w:val="en-US" w:eastAsia="zh-CN"/>
        </w:rPr>
        <w:t>。</w:t>
      </w:r>
      <w:bookmarkEnd w:id="14"/>
      <w:bookmarkEnd w:id="17"/>
    </w:p>
    <w:bookmarkEnd w:id="15"/>
    <w:bookmarkEnd w:id="18"/>
    <w:p w14:paraId="1B937C63">
      <w:pPr>
        <w:shd w:val="clear" w:color="auto" w:fill="auto"/>
        <w:spacing w:line="640" w:lineRule="exact"/>
        <w:ind w:firstLine="640"/>
        <w:rPr>
          <w:rFonts w:hint="eastAsia" w:ascii="黑体" w:hAnsi="黑体" w:eastAsia="黑体"/>
          <w:b/>
          <w:bCs/>
          <w:spacing w:val="-2"/>
          <w:sz w:val="32"/>
          <w:szCs w:val="21"/>
          <w:highlight w:val="none"/>
        </w:rPr>
      </w:pPr>
      <w:r>
        <w:rPr>
          <w:rFonts w:hint="eastAsia" w:ascii="黑体" w:hAnsi="黑体" w:eastAsia="黑体"/>
          <w:b/>
          <w:bCs/>
          <w:spacing w:val="-2"/>
          <w:sz w:val="32"/>
          <w:szCs w:val="32"/>
          <w:highlight w:val="none"/>
        </w:rPr>
        <w:t>一、部门概况</w:t>
      </w:r>
    </w:p>
    <w:p w14:paraId="44970982">
      <w:pPr>
        <w:widowControl/>
        <w:spacing w:line="600" w:lineRule="exact"/>
        <w:ind w:firstLine="790" w:firstLineChars="250"/>
        <w:rPr>
          <w:rFonts w:hint="eastAsia" w:ascii="仿宋" w:hAnsi="仿宋" w:eastAsia="仿宋" w:cs="仿宋"/>
          <w:kern w:val="0"/>
          <w:sz w:val="32"/>
          <w:szCs w:val="32"/>
          <w:lang w:eastAsia="zh-CN"/>
        </w:rPr>
      </w:pPr>
      <w:r>
        <w:rPr>
          <w:rFonts w:hint="eastAsia" w:ascii="仿宋_GB2312" w:hAnsi="仿宋" w:eastAsia="仿宋_GB2312"/>
          <w:b/>
          <w:bCs/>
          <w:spacing w:val="-2"/>
          <w:sz w:val="32"/>
          <w:szCs w:val="32"/>
          <w:highlight w:val="none"/>
        </w:rPr>
        <w:t>（一）</w:t>
      </w:r>
      <w:bookmarkStart w:id="19" w:name="OLE_LINK17"/>
      <w:r>
        <w:rPr>
          <w:rFonts w:hint="eastAsia" w:ascii="仿宋_GB2312" w:hAnsi="仿宋" w:eastAsia="仿宋_GB2312"/>
          <w:b/>
          <w:bCs/>
          <w:spacing w:val="-2"/>
          <w:sz w:val="32"/>
          <w:szCs w:val="32"/>
          <w:highlight w:val="none"/>
        </w:rPr>
        <w:t>部门基本情况</w:t>
      </w:r>
      <w:bookmarkEnd w:id="19"/>
      <w:r>
        <w:rPr>
          <w:rFonts w:hint="eastAsia" w:ascii="仿宋_GB2312" w:hAnsi="仿宋" w:eastAsia="仿宋_GB2312"/>
          <w:b/>
          <w:bCs/>
          <w:spacing w:val="-2"/>
          <w:sz w:val="32"/>
          <w:szCs w:val="32"/>
          <w:highlight w:val="none"/>
        </w:rPr>
        <w:t>：</w:t>
      </w:r>
    </w:p>
    <w:p w14:paraId="6EA502BA">
      <w:pPr>
        <w:widowControl/>
        <w:spacing w:line="600" w:lineRule="exact"/>
        <w:ind w:firstLine="800" w:firstLineChars="250"/>
        <w:rPr>
          <w:rFonts w:ascii="仿宋" w:hAnsi="仿宋" w:eastAsia="仿宋" w:cs="仿宋"/>
          <w:kern w:val="0"/>
          <w:sz w:val="32"/>
          <w:szCs w:val="32"/>
        </w:rPr>
      </w:pPr>
      <w:r>
        <w:rPr>
          <w:rFonts w:hint="eastAsia" w:ascii="仿宋" w:hAnsi="仿宋" w:eastAsia="仿宋" w:cs="仿宋"/>
          <w:kern w:val="0"/>
          <w:sz w:val="32"/>
          <w:szCs w:val="32"/>
          <w:lang w:eastAsia="zh-CN"/>
        </w:rPr>
        <w:t>2023</w:t>
      </w:r>
      <w:r>
        <w:rPr>
          <w:rFonts w:hint="eastAsia" w:ascii="仿宋" w:hAnsi="仿宋" w:eastAsia="仿宋" w:cs="仿宋"/>
          <w:kern w:val="0"/>
          <w:sz w:val="32"/>
          <w:szCs w:val="32"/>
          <w:lang w:val="en-US" w:eastAsia="zh-CN"/>
        </w:rPr>
        <w:t>事</w:t>
      </w:r>
      <w:bookmarkStart w:id="22" w:name="_GoBack"/>
      <w:bookmarkEnd w:id="22"/>
      <w:r>
        <w:rPr>
          <w:rFonts w:hint="eastAsia" w:ascii="仿宋" w:hAnsi="仿宋" w:eastAsia="仿宋" w:cs="仿宋"/>
          <w:kern w:val="0"/>
          <w:sz w:val="32"/>
          <w:szCs w:val="32"/>
        </w:rPr>
        <w:t>业单位9个包括：档案管理室1个，电教仪器站1个、教育教研室1个，就业指导中心1个，考试中心1个，勤工站1个，信息网络中心1个，学生资助中心1个，职称改革事务中心1个。</w:t>
      </w:r>
    </w:p>
    <w:p w14:paraId="020CAFDB">
      <w:pPr>
        <w:spacing w:line="500" w:lineRule="exact"/>
        <w:ind w:firstLine="720" w:firstLineChars="225"/>
        <w:rPr>
          <w:rFonts w:ascii="仿宋" w:hAnsi="仿宋" w:eastAsia="仿宋" w:cs="Times New Roman"/>
          <w:sz w:val="32"/>
          <w:szCs w:val="32"/>
          <w:highlight w:val="yellow"/>
        </w:rPr>
      </w:pPr>
      <w:r>
        <w:rPr>
          <w:rFonts w:hint="eastAsia" w:ascii="仿宋" w:hAnsi="仿宋" w:eastAsia="仿宋" w:cs="仿宋"/>
          <w:sz w:val="32"/>
          <w:szCs w:val="32"/>
        </w:rPr>
        <w:t>至</w:t>
      </w:r>
      <w:r>
        <w:rPr>
          <w:rFonts w:hint="eastAsia" w:ascii="仿宋" w:hAnsi="仿宋" w:eastAsia="仿宋" w:cs="仿宋"/>
          <w:sz w:val="32"/>
          <w:szCs w:val="32"/>
          <w:lang w:eastAsia="zh-CN"/>
        </w:rPr>
        <w:t>2023年</w:t>
      </w:r>
      <w:r>
        <w:rPr>
          <w:rFonts w:hint="eastAsia" w:ascii="仿宋" w:hAnsi="仿宋" w:eastAsia="仿宋" w:cs="仿宋"/>
          <w:sz w:val="32"/>
          <w:szCs w:val="32"/>
        </w:rPr>
        <w:t>底，县教育局机关人员编制</w:t>
      </w:r>
      <w:r>
        <w:rPr>
          <w:rFonts w:ascii="仿宋" w:hAnsi="仿宋" w:eastAsia="仿宋" w:cs="仿宋"/>
          <w:sz w:val="32"/>
          <w:szCs w:val="32"/>
        </w:rPr>
        <w:t>1</w:t>
      </w:r>
      <w:r>
        <w:rPr>
          <w:rFonts w:hint="eastAsia" w:ascii="仿宋" w:hAnsi="仿宋" w:eastAsia="仿宋" w:cs="仿宋"/>
          <w:sz w:val="32"/>
          <w:szCs w:val="32"/>
        </w:rPr>
        <w:t>10个，其中行政编制</w:t>
      </w:r>
      <w:r>
        <w:rPr>
          <w:rFonts w:ascii="仿宋" w:hAnsi="仿宋" w:eastAsia="仿宋" w:cs="仿宋"/>
          <w:sz w:val="32"/>
          <w:szCs w:val="32"/>
        </w:rPr>
        <w:t>12</w:t>
      </w:r>
      <w:r>
        <w:rPr>
          <w:rFonts w:hint="eastAsia" w:ascii="仿宋" w:hAnsi="仿宋" w:eastAsia="仿宋" w:cs="仿宋"/>
          <w:sz w:val="32"/>
          <w:szCs w:val="32"/>
        </w:rPr>
        <w:t>个，事业编制98个，实有人员</w:t>
      </w:r>
      <w:r>
        <w:rPr>
          <w:rFonts w:hint="eastAsia" w:ascii="仿宋" w:hAnsi="仿宋" w:eastAsia="仿宋" w:cs="仿宋"/>
          <w:sz w:val="32"/>
          <w:szCs w:val="32"/>
          <w:lang w:val="en-US" w:eastAsia="zh-CN"/>
        </w:rPr>
        <w:t>93</w:t>
      </w:r>
      <w:r>
        <w:rPr>
          <w:rFonts w:hint="eastAsia" w:ascii="仿宋" w:hAnsi="仿宋" w:eastAsia="仿宋" w:cs="仿宋"/>
          <w:sz w:val="32"/>
          <w:szCs w:val="32"/>
        </w:rPr>
        <w:t>人。</w:t>
      </w:r>
    </w:p>
    <w:p w14:paraId="30ED7493">
      <w:pPr>
        <w:spacing w:line="500" w:lineRule="exact"/>
        <w:ind w:firstLine="720" w:firstLineChars="225"/>
        <w:rPr>
          <w:rFonts w:ascii="楷体" w:hAnsi="楷体" w:eastAsia="楷体" w:cs="Times New Roman"/>
          <w:b/>
          <w:bCs/>
          <w:sz w:val="32"/>
          <w:szCs w:val="32"/>
        </w:rPr>
      </w:pPr>
      <w:r>
        <w:rPr>
          <w:rFonts w:hint="eastAsia" w:ascii="楷体" w:hAnsi="楷体" w:eastAsia="楷体" w:cs="楷体"/>
          <w:b/>
          <w:bCs/>
          <w:sz w:val="32"/>
          <w:szCs w:val="32"/>
        </w:rPr>
        <w:t>（二）部门整体支出情况</w:t>
      </w:r>
    </w:p>
    <w:p w14:paraId="3A7A44B5">
      <w:pPr>
        <w:spacing w:line="500" w:lineRule="exact"/>
        <w:ind w:firstLine="720" w:firstLineChars="225"/>
        <w:rPr>
          <w:rFonts w:ascii="仿宋" w:hAnsi="仿宋" w:eastAsia="仿宋" w:cs="仿宋"/>
          <w:sz w:val="32"/>
          <w:szCs w:val="32"/>
        </w:rPr>
      </w:pPr>
      <w:r>
        <w:rPr>
          <w:rFonts w:hint="eastAsia" w:ascii="仿宋" w:hAnsi="仿宋" w:eastAsia="仿宋" w:cs="仿宋"/>
          <w:sz w:val="32"/>
          <w:szCs w:val="32"/>
          <w:lang w:eastAsia="zh-CN"/>
        </w:rPr>
        <w:t>2023年</w:t>
      </w:r>
      <w:r>
        <w:rPr>
          <w:rFonts w:hint="eastAsia" w:ascii="仿宋" w:hAnsi="仿宋" w:eastAsia="仿宋" w:cs="仿宋"/>
          <w:sz w:val="32"/>
          <w:szCs w:val="32"/>
        </w:rPr>
        <w:t>全年收入为21008.4万元，其中，公共财政拨款收入20625.52万元，其他收入382.89万元。</w:t>
      </w:r>
      <w:r>
        <w:rPr>
          <w:rFonts w:hint="eastAsia" w:ascii="仿宋" w:hAnsi="仿宋" w:eastAsia="仿宋" w:cs="仿宋"/>
          <w:sz w:val="32"/>
          <w:szCs w:val="32"/>
          <w:lang w:eastAsia="zh-CN"/>
        </w:rPr>
        <w:t>2023年</w:t>
      </w:r>
      <w:r>
        <w:rPr>
          <w:rFonts w:hint="eastAsia" w:ascii="仿宋" w:hAnsi="仿宋" w:eastAsia="仿宋" w:cs="仿宋"/>
          <w:sz w:val="32"/>
          <w:szCs w:val="32"/>
        </w:rPr>
        <w:t>全年决算支出为21008.4万元，其中：基本支出</w:t>
      </w:r>
      <w:r>
        <w:rPr>
          <w:rFonts w:hint="eastAsia" w:ascii="仿宋" w:hAnsi="仿宋" w:eastAsia="仿宋" w:cs="仿宋"/>
          <w:sz w:val="32"/>
          <w:szCs w:val="32"/>
          <w:lang w:val="en-US" w:eastAsia="zh-CN"/>
        </w:rPr>
        <w:t>6058.26</w:t>
      </w:r>
      <w:r>
        <w:rPr>
          <w:rFonts w:hint="eastAsia" w:ascii="仿宋" w:hAnsi="仿宋" w:eastAsia="仿宋" w:cs="仿宋"/>
          <w:sz w:val="32"/>
          <w:szCs w:val="32"/>
        </w:rPr>
        <w:t>万元，项目支出14950.14万元。按经济科目分：一般公共服务支出2.4万元、教育支出20933.04万元、社会保障和就业支出72.96万元。</w:t>
      </w:r>
    </w:p>
    <w:p w14:paraId="372A92CE">
      <w:pPr>
        <w:spacing w:line="500" w:lineRule="exact"/>
        <w:ind w:firstLine="720" w:firstLineChars="225"/>
        <w:rPr>
          <w:rFonts w:ascii="黑体" w:hAnsi="黑体" w:eastAsia="黑体" w:cs="Times New Roman"/>
          <w:sz w:val="32"/>
          <w:szCs w:val="32"/>
        </w:rPr>
      </w:pPr>
      <w:r>
        <w:rPr>
          <w:rFonts w:hint="eastAsia" w:ascii="黑体" w:hAnsi="黑体" w:eastAsia="黑体" w:cs="黑体"/>
          <w:sz w:val="32"/>
          <w:szCs w:val="32"/>
        </w:rPr>
        <w:t>二、部门整体支出管理及使用情况</w:t>
      </w:r>
    </w:p>
    <w:p w14:paraId="3311D184">
      <w:pPr>
        <w:spacing w:line="500" w:lineRule="exact"/>
        <w:ind w:firstLine="720" w:firstLineChars="225"/>
        <w:rPr>
          <w:rFonts w:ascii="楷体" w:hAnsi="楷体" w:eastAsia="楷体" w:cs="Times New Roman"/>
          <w:b/>
          <w:bCs/>
          <w:sz w:val="32"/>
          <w:szCs w:val="32"/>
        </w:rPr>
      </w:pPr>
      <w:r>
        <w:rPr>
          <w:rFonts w:hint="eastAsia" w:ascii="楷体" w:hAnsi="楷体" w:eastAsia="楷体" w:cs="楷体"/>
          <w:b/>
          <w:bCs/>
          <w:sz w:val="32"/>
          <w:szCs w:val="32"/>
        </w:rPr>
        <w:t>（一）基本支出</w:t>
      </w:r>
    </w:p>
    <w:p w14:paraId="4F68C71E">
      <w:pPr>
        <w:spacing w:line="500" w:lineRule="exact"/>
        <w:ind w:firstLine="720" w:firstLineChars="225"/>
        <w:rPr>
          <w:rFonts w:ascii="仿宋" w:hAnsi="仿宋" w:eastAsia="仿宋" w:cs="仿宋"/>
          <w:sz w:val="32"/>
          <w:szCs w:val="32"/>
        </w:rPr>
      </w:pPr>
      <w:r>
        <w:rPr>
          <w:rFonts w:hint="eastAsia" w:ascii="仿宋" w:hAnsi="仿宋" w:eastAsia="仿宋" w:cs="仿宋"/>
          <w:sz w:val="32"/>
          <w:szCs w:val="32"/>
        </w:rPr>
        <w:t>基本支出用于为保障机构正常运转、完成日常工作任务而发生的支出，包括人员经费和公用经费。</w:t>
      </w:r>
      <w:r>
        <w:rPr>
          <w:rFonts w:hint="eastAsia" w:ascii="仿宋" w:hAnsi="仿宋" w:eastAsia="仿宋" w:cs="仿宋"/>
          <w:sz w:val="32"/>
          <w:szCs w:val="32"/>
          <w:lang w:eastAsia="zh-CN"/>
        </w:rPr>
        <w:t>2023年</w:t>
      </w:r>
      <w:r>
        <w:rPr>
          <w:rFonts w:hint="eastAsia" w:ascii="仿宋" w:hAnsi="仿宋" w:eastAsia="仿宋" w:cs="仿宋"/>
          <w:sz w:val="32"/>
          <w:szCs w:val="32"/>
        </w:rPr>
        <w:t>全年收入为21008.4万元，决算基本支出为</w:t>
      </w:r>
      <w:bookmarkStart w:id="20" w:name="OLE_LINK3"/>
      <w:r>
        <w:rPr>
          <w:rFonts w:hint="eastAsia" w:ascii="仿宋" w:hAnsi="仿宋" w:eastAsia="仿宋" w:cs="仿宋"/>
          <w:sz w:val="32"/>
          <w:szCs w:val="32"/>
          <w:lang w:val="en-US" w:eastAsia="zh-CN"/>
        </w:rPr>
        <w:t>6058.26</w:t>
      </w:r>
      <w:r>
        <w:rPr>
          <w:rFonts w:hint="eastAsia" w:ascii="仿宋" w:hAnsi="仿宋" w:eastAsia="仿宋" w:cs="仿宋"/>
          <w:sz w:val="32"/>
          <w:szCs w:val="32"/>
        </w:rPr>
        <w:t>万元，项目支出为14950.14万元</w:t>
      </w:r>
      <w:r>
        <w:rPr>
          <w:rFonts w:hint="eastAsia" w:ascii="仿宋" w:hAnsi="仿宋" w:eastAsia="仿宋" w:cs="仿宋"/>
          <w:sz w:val="32"/>
          <w:szCs w:val="32"/>
          <w:lang w:eastAsia="zh-CN"/>
        </w:rPr>
        <w:t>。</w:t>
      </w:r>
      <w:r>
        <w:rPr>
          <w:rFonts w:hint="eastAsia" w:ascii="仿宋" w:hAnsi="仿宋" w:eastAsia="仿宋" w:cs="仿宋"/>
          <w:sz w:val="32"/>
          <w:szCs w:val="32"/>
        </w:rPr>
        <w:t>按经济科目分：一般公共服务支出2.4万元、教育支出20933.04万元、社会保障和就业支出72.96万元。</w:t>
      </w:r>
      <w:bookmarkEnd w:id="20"/>
    </w:p>
    <w:p w14:paraId="1948E201">
      <w:pPr>
        <w:spacing w:line="500" w:lineRule="exact"/>
        <w:ind w:firstLine="720" w:firstLineChars="225"/>
        <w:rPr>
          <w:rFonts w:ascii="楷体" w:hAnsi="楷体" w:eastAsia="楷体" w:cs="Times New Roman"/>
          <w:b/>
          <w:bCs/>
          <w:sz w:val="32"/>
          <w:szCs w:val="32"/>
        </w:rPr>
      </w:pPr>
      <w:r>
        <w:rPr>
          <w:rFonts w:hint="eastAsia" w:ascii="楷体" w:hAnsi="楷体" w:eastAsia="楷体" w:cs="楷体"/>
          <w:b/>
          <w:bCs/>
          <w:sz w:val="32"/>
          <w:szCs w:val="32"/>
        </w:rPr>
        <w:t>（二）专项支出</w:t>
      </w:r>
    </w:p>
    <w:p w14:paraId="26EC31B0">
      <w:pPr>
        <w:spacing w:line="500" w:lineRule="exact"/>
        <w:ind w:firstLine="720" w:firstLineChars="225"/>
        <w:rPr>
          <w:rFonts w:ascii="仿宋" w:hAnsi="仿宋" w:eastAsia="仿宋" w:cs="Times New Roman"/>
          <w:sz w:val="32"/>
          <w:szCs w:val="32"/>
        </w:rPr>
      </w:pPr>
      <w:r>
        <w:rPr>
          <w:rFonts w:hint="eastAsia" w:ascii="仿宋" w:hAnsi="仿宋" w:eastAsia="仿宋" w:cs="仿宋"/>
          <w:sz w:val="32"/>
          <w:szCs w:val="32"/>
          <w:lang w:eastAsia="zh-CN"/>
        </w:rPr>
        <w:t>2023年</w:t>
      </w:r>
      <w:r>
        <w:rPr>
          <w:rFonts w:hint="eastAsia" w:ascii="仿宋" w:hAnsi="仿宋" w:eastAsia="仿宋" w:cs="仿宋"/>
          <w:sz w:val="32"/>
          <w:szCs w:val="32"/>
        </w:rPr>
        <w:t>专项支出14950.14万元。主要用于</w:t>
      </w:r>
      <w:r>
        <w:rPr>
          <w:rFonts w:hint="eastAsia" w:ascii="仿宋" w:hAnsi="仿宋" w:eastAsia="仿宋" w:cs="仿宋"/>
          <w:sz w:val="32"/>
          <w:szCs w:val="32"/>
          <w:lang w:eastAsia="zh-CN"/>
        </w:rPr>
        <w:t>圣达学校和县幼儿园工程及设备款</w:t>
      </w:r>
      <w:r>
        <w:rPr>
          <w:rFonts w:hint="eastAsia" w:ascii="仿宋" w:hAnsi="仿宋" w:eastAsia="仿宋" w:cs="仿宋"/>
          <w:sz w:val="32"/>
          <w:szCs w:val="32"/>
        </w:rPr>
        <w:t>，绩效评估良好。</w:t>
      </w:r>
    </w:p>
    <w:p w14:paraId="20B433C2">
      <w:pPr>
        <w:spacing w:line="500" w:lineRule="exact"/>
        <w:ind w:firstLine="480" w:firstLineChars="150"/>
        <w:rPr>
          <w:rFonts w:ascii="黑体" w:hAnsi="黑体" w:eastAsia="黑体" w:cs="Times New Roman"/>
          <w:sz w:val="32"/>
          <w:szCs w:val="32"/>
        </w:rPr>
      </w:pPr>
      <w:r>
        <w:rPr>
          <w:rFonts w:hint="eastAsia" w:ascii="黑体" w:hAnsi="黑体" w:eastAsia="黑体" w:cs="黑体"/>
          <w:sz w:val="32"/>
          <w:szCs w:val="32"/>
        </w:rPr>
        <w:t>三、</w:t>
      </w:r>
      <w:bookmarkStart w:id="21" w:name="OLE_LINK8"/>
      <w:r>
        <w:rPr>
          <w:rFonts w:hint="eastAsia" w:ascii="黑体" w:hAnsi="黑体" w:eastAsia="黑体" w:cs="黑体"/>
          <w:sz w:val="32"/>
          <w:szCs w:val="32"/>
        </w:rPr>
        <w:t>资产管理情况</w:t>
      </w:r>
      <w:bookmarkEnd w:id="21"/>
    </w:p>
    <w:p w14:paraId="66E01563">
      <w:pPr>
        <w:spacing w:line="500" w:lineRule="exact"/>
        <w:ind w:firstLine="720" w:firstLineChars="225"/>
        <w:rPr>
          <w:rFonts w:ascii="楷体" w:hAnsi="楷体" w:eastAsia="楷体" w:cs="Times New Roman"/>
          <w:b/>
          <w:bCs/>
          <w:sz w:val="32"/>
          <w:szCs w:val="32"/>
        </w:rPr>
      </w:pPr>
      <w:r>
        <w:rPr>
          <w:rFonts w:hint="eastAsia" w:ascii="楷体" w:hAnsi="楷体" w:eastAsia="楷体" w:cs="楷体"/>
          <w:b/>
          <w:bCs/>
          <w:sz w:val="32"/>
          <w:szCs w:val="32"/>
        </w:rPr>
        <w:t>（一）提高认识，注重业务学习，夯实管理基础</w:t>
      </w:r>
      <w:r>
        <w:rPr>
          <w:rFonts w:ascii="宋体" w:hAnsi="宋体" w:eastAsia="楷体" w:cs="Times New Roman"/>
          <w:b/>
          <w:bCs/>
          <w:sz w:val="32"/>
          <w:szCs w:val="32"/>
        </w:rPr>
        <w:t> </w:t>
      </w:r>
    </w:p>
    <w:p w14:paraId="5E090D1C">
      <w:pPr>
        <w:spacing w:line="500" w:lineRule="exact"/>
        <w:ind w:firstLine="720" w:firstLineChars="225"/>
        <w:rPr>
          <w:rFonts w:ascii="宋体" w:cs="Times New Roman"/>
          <w:sz w:val="32"/>
          <w:szCs w:val="32"/>
        </w:rPr>
      </w:pPr>
      <w:r>
        <w:rPr>
          <w:rFonts w:hint="eastAsia" w:ascii="仿宋" w:hAnsi="仿宋" w:eastAsia="仿宋" w:cs="仿宋"/>
          <w:sz w:val="32"/>
          <w:szCs w:val="32"/>
        </w:rPr>
        <w:t>为加强和规范行政事业单位国有资产管理，提高财政资金使用效益，保证单位国有资产的安全完整，进一步提高资产管理水平，我局认真学习《行政事业单位国有资产管理暂行办法》、《事业单位国有资产管理暂行办法》等有关文件，明确了工作职责与工作要求，力求做到规范管理、科学统筹，不断提高资产使用效率。</w:t>
      </w:r>
      <w:r>
        <w:rPr>
          <w:rFonts w:ascii="宋体" w:cs="Times New Roman"/>
          <w:sz w:val="32"/>
          <w:szCs w:val="32"/>
        </w:rPr>
        <w:t> </w:t>
      </w:r>
    </w:p>
    <w:p w14:paraId="15CE2CF2">
      <w:pPr>
        <w:spacing w:line="500" w:lineRule="exact"/>
        <w:ind w:firstLine="720" w:firstLineChars="225"/>
        <w:rPr>
          <w:rFonts w:ascii="楷体" w:hAnsi="楷体" w:eastAsia="楷体" w:cs="Times New Roman"/>
          <w:b/>
          <w:bCs/>
          <w:sz w:val="32"/>
          <w:szCs w:val="32"/>
        </w:rPr>
      </w:pPr>
      <w:r>
        <w:rPr>
          <w:rFonts w:hint="eastAsia" w:ascii="楷体" w:hAnsi="楷体" w:eastAsia="楷体" w:cs="楷体"/>
          <w:b/>
          <w:bCs/>
          <w:sz w:val="32"/>
          <w:szCs w:val="32"/>
        </w:rPr>
        <w:t>（二）完善资产管理制度，提高资产管理水平</w:t>
      </w:r>
      <w:r>
        <w:rPr>
          <w:rFonts w:ascii="宋体" w:hAnsi="宋体" w:eastAsia="楷体" w:cs="Times New Roman"/>
          <w:b/>
          <w:bCs/>
          <w:sz w:val="32"/>
          <w:szCs w:val="32"/>
        </w:rPr>
        <w:t> </w:t>
      </w:r>
    </w:p>
    <w:p w14:paraId="1AC0EAD2">
      <w:pPr>
        <w:spacing w:line="500" w:lineRule="exact"/>
        <w:ind w:firstLine="720" w:firstLineChars="225"/>
        <w:rPr>
          <w:rFonts w:ascii="仿宋" w:hAnsi="仿宋" w:eastAsia="仿宋" w:cs="Times New Roman"/>
          <w:sz w:val="32"/>
          <w:szCs w:val="32"/>
        </w:rPr>
      </w:pPr>
      <w:r>
        <w:rPr>
          <w:rFonts w:hint="eastAsia" w:ascii="仿宋" w:hAnsi="仿宋" w:eastAsia="仿宋" w:cs="仿宋"/>
          <w:sz w:val="32"/>
          <w:szCs w:val="32"/>
        </w:rPr>
        <w:t>事业单位国有资产管理工作需要有相应的配套管理办法来支持实施，构筑完善的制度体系是建立事业单位国有资产管理长效机制的基础。我局为进一步提高资产管理水平，防止国有资产流失，维护国有资产的安全和完整，在工作中结合本院实际情况，积极探索与之相适应的资产管理配套实施办法，新修订了资产管理制度，加大了资产管理力度。</w:t>
      </w:r>
    </w:p>
    <w:p w14:paraId="5E795B73">
      <w:pPr>
        <w:spacing w:line="500" w:lineRule="exact"/>
        <w:ind w:firstLine="720" w:firstLineChars="225"/>
        <w:rPr>
          <w:rFonts w:ascii="楷体" w:hAnsi="楷体" w:eastAsia="楷体" w:cs="Times New Roman"/>
          <w:b/>
          <w:bCs/>
          <w:sz w:val="32"/>
          <w:szCs w:val="32"/>
        </w:rPr>
      </w:pPr>
      <w:r>
        <w:rPr>
          <w:rFonts w:hint="eastAsia" w:ascii="楷体" w:hAnsi="楷体" w:eastAsia="楷体" w:cs="楷体"/>
          <w:b/>
          <w:bCs/>
          <w:sz w:val="32"/>
          <w:szCs w:val="32"/>
        </w:rPr>
        <w:t>（三）加强日常资产管理，规范管理程序</w:t>
      </w:r>
      <w:r>
        <w:rPr>
          <w:rFonts w:ascii="楷体" w:hAnsi="楷体" w:eastAsia="楷体" w:cs="Times New Roman"/>
          <w:b/>
          <w:bCs/>
          <w:sz w:val="32"/>
          <w:szCs w:val="32"/>
        </w:rPr>
        <w:t> </w:t>
      </w:r>
    </w:p>
    <w:p w14:paraId="373EFE37">
      <w:pPr>
        <w:spacing w:line="500" w:lineRule="exact"/>
        <w:ind w:firstLine="720" w:firstLineChars="225"/>
        <w:rPr>
          <w:rFonts w:ascii="仿宋" w:hAnsi="仿宋" w:eastAsia="仿宋" w:cs="Times New Roman"/>
          <w:sz w:val="32"/>
          <w:szCs w:val="32"/>
        </w:rPr>
      </w:pPr>
      <w:r>
        <w:rPr>
          <w:rFonts w:hint="eastAsia" w:ascii="仿宋" w:hAnsi="仿宋" w:eastAsia="仿宋" w:cs="仿宋"/>
          <w:sz w:val="32"/>
          <w:szCs w:val="32"/>
        </w:rPr>
        <w:t>在资产的日常管理方面，将单位国有资产层次化、集中化管理，优化国有资产的配置和分布，提升了国有资产的管理水平。</w:t>
      </w:r>
      <w:r>
        <w:rPr>
          <w:rFonts w:ascii="宋体" w:cs="Times New Roman"/>
          <w:sz w:val="32"/>
          <w:szCs w:val="32"/>
        </w:rPr>
        <w:t> </w:t>
      </w:r>
    </w:p>
    <w:p w14:paraId="56596B43">
      <w:pPr>
        <w:spacing w:line="500" w:lineRule="exact"/>
        <w:ind w:firstLine="720" w:firstLineChars="225"/>
        <w:rPr>
          <w:rFonts w:ascii="仿宋" w:hAnsi="仿宋" w:eastAsia="仿宋" w:cs="Times New Roman"/>
          <w:sz w:val="32"/>
          <w:szCs w:val="32"/>
        </w:rPr>
      </w:pPr>
      <w:r>
        <w:rPr>
          <w:rFonts w:ascii="仿宋" w:hAnsi="仿宋" w:eastAsia="仿宋" w:cs="仿宋"/>
          <w:sz w:val="32"/>
          <w:szCs w:val="32"/>
        </w:rPr>
        <w:t>1.</w:t>
      </w:r>
      <w:r>
        <w:rPr>
          <w:rFonts w:hint="eastAsia" w:ascii="仿宋" w:hAnsi="仿宋" w:eastAsia="仿宋" w:cs="仿宋"/>
          <w:sz w:val="32"/>
          <w:szCs w:val="32"/>
        </w:rPr>
        <w:t>实施“单位资产动态兼管，资源共享，资产管理与预算管理、资金管理相结合”的管理办法。</w:t>
      </w:r>
      <w:r>
        <w:rPr>
          <w:rFonts w:ascii="宋体" w:cs="Times New Roman"/>
          <w:sz w:val="32"/>
          <w:szCs w:val="32"/>
        </w:rPr>
        <w:t> </w:t>
      </w:r>
    </w:p>
    <w:p w14:paraId="43E97899">
      <w:pPr>
        <w:spacing w:line="500" w:lineRule="exact"/>
        <w:ind w:firstLine="720" w:firstLineChars="225"/>
        <w:rPr>
          <w:rFonts w:ascii="仿宋" w:hAnsi="仿宋" w:eastAsia="仿宋" w:cs="Times New Roman"/>
          <w:sz w:val="32"/>
          <w:szCs w:val="32"/>
        </w:rPr>
      </w:pPr>
      <w:r>
        <w:rPr>
          <w:rFonts w:ascii="仿宋" w:hAnsi="仿宋" w:eastAsia="仿宋" w:cs="仿宋"/>
          <w:sz w:val="32"/>
          <w:szCs w:val="32"/>
        </w:rPr>
        <w:t>2.</w:t>
      </w:r>
      <w:r>
        <w:rPr>
          <w:rFonts w:hint="eastAsia" w:ascii="仿宋" w:hAnsi="仿宋" w:eastAsia="仿宋" w:cs="仿宋"/>
          <w:sz w:val="32"/>
          <w:szCs w:val="32"/>
        </w:rPr>
        <w:t>新增（购买、接收捐赠）资产及时入账，落实保管制度，责任到人。</w:t>
      </w:r>
      <w:r>
        <w:rPr>
          <w:rFonts w:ascii="宋体" w:cs="Times New Roman"/>
          <w:sz w:val="32"/>
          <w:szCs w:val="32"/>
        </w:rPr>
        <w:t> </w:t>
      </w:r>
    </w:p>
    <w:p w14:paraId="3FBC0CCD">
      <w:pPr>
        <w:spacing w:line="500" w:lineRule="exact"/>
        <w:ind w:firstLine="720" w:firstLineChars="225"/>
        <w:rPr>
          <w:rFonts w:ascii="仿宋" w:hAnsi="仿宋" w:eastAsia="仿宋" w:cs="Times New Roman"/>
          <w:sz w:val="32"/>
          <w:szCs w:val="32"/>
        </w:rPr>
      </w:pPr>
      <w:r>
        <w:rPr>
          <w:rFonts w:ascii="仿宋" w:hAnsi="仿宋" w:eastAsia="仿宋" w:cs="仿宋"/>
          <w:sz w:val="32"/>
          <w:szCs w:val="32"/>
        </w:rPr>
        <w:t>3.</w:t>
      </w:r>
      <w:r>
        <w:rPr>
          <w:rFonts w:hint="eastAsia" w:ascii="仿宋" w:hAnsi="仿宋" w:eastAsia="仿宋" w:cs="仿宋"/>
          <w:sz w:val="32"/>
          <w:szCs w:val="32"/>
        </w:rPr>
        <w:t>资产盘亏、报废由局办公室盘点后提出资产盘亏、报废申请报告，并会同财务部门核查落实后，报财政部门审批，严格规范资产处置程序。</w:t>
      </w:r>
      <w:r>
        <w:rPr>
          <w:rFonts w:ascii="宋体" w:cs="Times New Roman"/>
          <w:sz w:val="32"/>
          <w:szCs w:val="32"/>
        </w:rPr>
        <w:t> </w:t>
      </w:r>
    </w:p>
    <w:p w14:paraId="053E00E8">
      <w:pPr>
        <w:spacing w:line="500" w:lineRule="exact"/>
        <w:ind w:firstLine="720" w:firstLineChars="225"/>
        <w:rPr>
          <w:rFonts w:ascii="仿宋" w:hAnsi="仿宋" w:eastAsia="仿宋" w:cs="Times New Roman"/>
          <w:sz w:val="32"/>
          <w:szCs w:val="32"/>
        </w:rPr>
      </w:pPr>
      <w:r>
        <w:rPr>
          <w:rFonts w:ascii="仿宋" w:hAnsi="仿宋" w:eastAsia="仿宋" w:cs="仿宋"/>
          <w:sz w:val="32"/>
          <w:szCs w:val="32"/>
        </w:rPr>
        <w:t>4.</w:t>
      </w:r>
      <w:r>
        <w:rPr>
          <w:rFonts w:hint="eastAsia" w:ascii="仿宋" w:hAnsi="仿宋" w:eastAsia="仿宋" w:cs="仿宋"/>
          <w:sz w:val="32"/>
          <w:szCs w:val="32"/>
        </w:rPr>
        <w:t>落实检查制度，对各学校、科室资产的调配、使用、保管进行定期和不定期检查，特别是对易携带、易丢失、已损坏资产的检查，通过检查未发现有出租、出借、私自带走单位资产的现象，各学校、科室基本做到了账实相符，存放地点清楚，责任人员明确。</w:t>
      </w:r>
      <w:r>
        <w:rPr>
          <w:rFonts w:ascii="宋体" w:cs="Times New Roman"/>
          <w:sz w:val="32"/>
          <w:szCs w:val="32"/>
        </w:rPr>
        <w:t> </w:t>
      </w:r>
    </w:p>
    <w:p w14:paraId="0D36DA23">
      <w:pPr>
        <w:spacing w:line="500" w:lineRule="exact"/>
        <w:ind w:firstLine="720" w:firstLineChars="225"/>
        <w:rPr>
          <w:rFonts w:ascii="仿宋" w:hAnsi="仿宋" w:eastAsia="仿宋" w:cs="Times New Roman"/>
          <w:sz w:val="32"/>
          <w:szCs w:val="32"/>
        </w:rPr>
      </w:pPr>
      <w:r>
        <w:rPr>
          <w:rFonts w:ascii="仿宋" w:hAnsi="仿宋" w:eastAsia="仿宋" w:cs="仿宋"/>
          <w:sz w:val="32"/>
          <w:szCs w:val="32"/>
        </w:rPr>
        <w:t>5.</w:t>
      </w:r>
      <w:r>
        <w:rPr>
          <w:rFonts w:hint="eastAsia" w:ascii="仿宋" w:hAnsi="仿宋" w:eastAsia="仿宋" w:cs="仿宋"/>
          <w:sz w:val="32"/>
          <w:szCs w:val="32"/>
        </w:rPr>
        <w:t>各科室均加强了安全措施，本年度无资产被盗现象，使用管理人员都能做好检查维护工作，确保资产的使用性能。</w:t>
      </w:r>
    </w:p>
    <w:p w14:paraId="1728BD75">
      <w:pPr>
        <w:spacing w:line="500" w:lineRule="exact"/>
        <w:ind w:firstLine="720" w:firstLineChars="225"/>
        <w:rPr>
          <w:rFonts w:ascii="黑体" w:hAnsi="黑体" w:eastAsia="黑体" w:cs="Times New Roman"/>
          <w:sz w:val="32"/>
          <w:szCs w:val="32"/>
        </w:rPr>
      </w:pPr>
      <w:r>
        <w:rPr>
          <w:rFonts w:hint="eastAsia" w:ascii="黑体" w:hAnsi="黑体" w:eastAsia="黑体" w:cs="黑体"/>
          <w:sz w:val="32"/>
          <w:szCs w:val="32"/>
        </w:rPr>
        <w:t>五、部门整体支出绩效情况</w:t>
      </w:r>
    </w:p>
    <w:p w14:paraId="10117C2F">
      <w:pPr>
        <w:spacing w:line="500" w:lineRule="exact"/>
        <w:ind w:firstLine="720" w:firstLineChars="225"/>
        <w:rPr>
          <w:rFonts w:ascii="仿宋" w:hAnsi="仿宋" w:eastAsia="仿宋" w:cs="Times New Roman"/>
          <w:sz w:val="32"/>
          <w:szCs w:val="32"/>
        </w:rPr>
      </w:pPr>
      <w:r>
        <w:rPr>
          <w:rFonts w:hint="eastAsia" w:ascii="仿宋" w:hAnsi="仿宋" w:eastAsia="仿宋" w:cs="仿宋"/>
          <w:sz w:val="32"/>
          <w:szCs w:val="32"/>
          <w:lang w:eastAsia="zh-CN"/>
        </w:rPr>
        <w:t>2023年</w:t>
      </w:r>
      <w:r>
        <w:rPr>
          <w:rFonts w:hint="eastAsia" w:ascii="仿宋" w:hAnsi="仿宋" w:eastAsia="仿宋" w:cs="仿宋"/>
          <w:sz w:val="32"/>
          <w:szCs w:val="32"/>
        </w:rPr>
        <w:t>，县教育局突出抓改革、强教育、促发展，各方面工作稳步推进，根据《部门整体支出绩效评价指标》评分表自评得分</w:t>
      </w:r>
      <w:r>
        <w:rPr>
          <w:rFonts w:ascii="仿宋" w:hAnsi="仿宋" w:eastAsia="仿宋" w:cs="仿宋"/>
          <w:sz w:val="32"/>
          <w:szCs w:val="32"/>
        </w:rPr>
        <w:t>9</w:t>
      </w:r>
      <w:r>
        <w:rPr>
          <w:rFonts w:hint="eastAsia" w:ascii="仿宋" w:hAnsi="仿宋" w:eastAsia="仿宋" w:cs="仿宋"/>
          <w:sz w:val="32"/>
          <w:szCs w:val="32"/>
        </w:rPr>
        <w:t>0分，财政支出绩效为“优秀”。主要绩效如下：</w:t>
      </w:r>
    </w:p>
    <w:p w14:paraId="2F8FA5B6">
      <w:pPr>
        <w:spacing w:line="500" w:lineRule="exact"/>
        <w:ind w:firstLine="720" w:firstLineChars="225"/>
        <w:rPr>
          <w:rFonts w:ascii="楷体" w:hAnsi="楷体" w:eastAsia="楷体" w:cs="楷体"/>
          <w:b/>
          <w:bCs/>
          <w:sz w:val="32"/>
          <w:szCs w:val="32"/>
        </w:rPr>
      </w:pPr>
      <w:r>
        <w:rPr>
          <w:rFonts w:ascii="楷体" w:hAnsi="楷体" w:eastAsia="楷体" w:cs="楷体"/>
          <w:b/>
          <w:bCs/>
          <w:sz w:val="32"/>
          <w:szCs w:val="32"/>
        </w:rPr>
        <w:t>1</w:t>
      </w:r>
      <w:r>
        <w:rPr>
          <w:rFonts w:hint="eastAsia" w:ascii="楷体" w:hAnsi="楷体" w:eastAsia="楷体" w:cs="楷体"/>
          <w:b/>
          <w:bCs/>
          <w:sz w:val="32"/>
          <w:szCs w:val="32"/>
        </w:rPr>
        <w:t>、部门支出绩效。</w:t>
      </w:r>
      <w:r>
        <w:rPr>
          <w:rFonts w:ascii="楷体" w:hAnsi="楷体" w:eastAsia="楷体" w:cs="楷体"/>
          <w:b/>
          <w:bCs/>
          <w:sz w:val="32"/>
          <w:szCs w:val="32"/>
        </w:rPr>
        <w:t xml:space="preserve"> </w:t>
      </w:r>
    </w:p>
    <w:p w14:paraId="19BA71A6">
      <w:pPr>
        <w:spacing w:line="500" w:lineRule="exact"/>
        <w:ind w:firstLine="720" w:firstLineChars="225"/>
        <w:rPr>
          <w:rFonts w:ascii="仿宋" w:hAnsi="仿宋" w:eastAsia="仿宋" w:cs="Times New Roman"/>
          <w:b/>
          <w:bCs/>
          <w:sz w:val="32"/>
          <w:szCs w:val="32"/>
        </w:rPr>
      </w:pPr>
      <w:r>
        <w:rPr>
          <w:rFonts w:hint="eastAsia" w:ascii="仿宋" w:hAnsi="仿宋" w:eastAsia="仿宋" w:cs="仿宋"/>
          <w:b/>
          <w:bCs/>
          <w:sz w:val="32"/>
          <w:szCs w:val="32"/>
        </w:rPr>
        <w:t>（</w:t>
      </w:r>
      <w:r>
        <w:rPr>
          <w:rFonts w:ascii="仿宋" w:hAnsi="仿宋" w:eastAsia="仿宋" w:cs="仿宋"/>
          <w:b/>
          <w:bCs/>
          <w:sz w:val="32"/>
          <w:szCs w:val="32"/>
        </w:rPr>
        <w:t>1</w:t>
      </w:r>
      <w:r>
        <w:rPr>
          <w:rFonts w:hint="eastAsia" w:ascii="仿宋" w:hAnsi="仿宋" w:eastAsia="仿宋" w:cs="仿宋"/>
          <w:b/>
          <w:bCs/>
          <w:sz w:val="32"/>
          <w:szCs w:val="32"/>
        </w:rPr>
        <w:t>）行政运转保障。</w:t>
      </w:r>
      <w:r>
        <w:rPr>
          <w:rFonts w:hint="eastAsia" w:ascii="仿宋" w:hAnsi="仿宋" w:eastAsia="仿宋" w:cs="仿宋"/>
          <w:sz w:val="32"/>
          <w:szCs w:val="32"/>
        </w:rPr>
        <w:t>在单位的日常经费管理工作中首先保障单位基本运转，保障人员支出和日常公用经费，确保本部门教育管理工作的正常运转和人员稳定，在资金有保证的情况下着力改善办公条件。</w:t>
      </w:r>
      <w:r>
        <w:rPr>
          <w:rFonts w:ascii="仿宋" w:hAnsi="仿宋" w:eastAsia="仿宋" w:cs="仿宋"/>
          <w:sz w:val="32"/>
          <w:szCs w:val="32"/>
        </w:rPr>
        <w:t xml:space="preserve"> </w:t>
      </w:r>
    </w:p>
    <w:p w14:paraId="5407F7B6">
      <w:pPr>
        <w:spacing w:line="500" w:lineRule="exact"/>
        <w:ind w:firstLine="720" w:firstLineChars="225"/>
        <w:rPr>
          <w:rFonts w:ascii="仿宋" w:hAnsi="仿宋" w:eastAsia="仿宋" w:cs="Times New Roman"/>
          <w:b/>
          <w:bCs/>
          <w:sz w:val="32"/>
          <w:szCs w:val="32"/>
        </w:rPr>
      </w:pPr>
      <w:r>
        <w:rPr>
          <w:rFonts w:hint="eastAsia" w:ascii="仿宋" w:hAnsi="仿宋" w:eastAsia="仿宋" w:cs="仿宋"/>
          <w:b/>
          <w:bCs/>
          <w:sz w:val="32"/>
          <w:szCs w:val="32"/>
        </w:rPr>
        <w:t>（</w:t>
      </w:r>
      <w:r>
        <w:rPr>
          <w:rFonts w:ascii="仿宋" w:hAnsi="仿宋" w:eastAsia="仿宋" w:cs="仿宋"/>
          <w:b/>
          <w:bCs/>
          <w:sz w:val="32"/>
          <w:szCs w:val="32"/>
        </w:rPr>
        <w:t>2</w:t>
      </w:r>
      <w:r>
        <w:rPr>
          <w:rFonts w:hint="eastAsia" w:ascii="仿宋" w:hAnsi="仿宋" w:eastAsia="仿宋" w:cs="仿宋"/>
          <w:b/>
          <w:bCs/>
          <w:sz w:val="32"/>
          <w:szCs w:val="32"/>
        </w:rPr>
        <w:t>）机关厉行节约。</w:t>
      </w:r>
      <w:r>
        <w:rPr>
          <w:rFonts w:hint="eastAsia" w:ascii="仿宋" w:hAnsi="仿宋" w:eastAsia="仿宋" w:cs="仿宋"/>
          <w:sz w:val="32"/>
          <w:szCs w:val="32"/>
        </w:rPr>
        <w:t>在保障基本运转的前提下，大力倡导厉行节约，把有限的资金用在刀刃上。</w:t>
      </w:r>
      <w:r>
        <w:rPr>
          <w:rFonts w:hint="eastAsia" w:ascii="仿宋" w:hAnsi="仿宋" w:eastAsia="仿宋" w:cs="仿宋"/>
          <w:sz w:val="32"/>
          <w:szCs w:val="32"/>
          <w:lang w:eastAsia="zh-CN"/>
        </w:rPr>
        <w:t>2023年</w:t>
      </w:r>
      <w:r>
        <w:rPr>
          <w:rFonts w:hint="eastAsia" w:ascii="仿宋" w:hAnsi="仿宋" w:eastAsia="仿宋" w:cs="仿宋"/>
          <w:sz w:val="32"/>
          <w:szCs w:val="32"/>
        </w:rPr>
        <w:t>全年无因公出国（境）费用，公车运行维护费用全年为</w:t>
      </w:r>
      <w:r>
        <w:rPr>
          <w:rFonts w:ascii="仿宋" w:hAnsi="仿宋" w:eastAsia="仿宋" w:cs="仿宋"/>
          <w:sz w:val="32"/>
          <w:szCs w:val="32"/>
        </w:rPr>
        <w:t>0</w:t>
      </w:r>
      <w:r>
        <w:rPr>
          <w:rFonts w:hint="eastAsia" w:ascii="仿宋" w:hAnsi="仿宋" w:eastAsia="仿宋" w:cs="仿宋"/>
          <w:sz w:val="32"/>
          <w:szCs w:val="32"/>
        </w:rPr>
        <w:t>万元，公务接待经费全年为</w:t>
      </w:r>
      <w:r>
        <w:rPr>
          <w:rFonts w:hint="eastAsia" w:ascii="仿宋" w:hAnsi="仿宋" w:eastAsia="仿宋" w:cs="仿宋"/>
          <w:sz w:val="32"/>
          <w:szCs w:val="32"/>
          <w:lang w:val="en-US" w:eastAsia="zh-CN"/>
        </w:rPr>
        <w:t>0.84</w:t>
      </w:r>
      <w:r>
        <w:rPr>
          <w:rFonts w:hint="eastAsia" w:ascii="仿宋" w:hAnsi="仿宋" w:eastAsia="仿宋" w:cs="仿宋"/>
          <w:sz w:val="32"/>
          <w:szCs w:val="32"/>
        </w:rPr>
        <w:t>万元。</w:t>
      </w:r>
      <w:r>
        <w:rPr>
          <w:rFonts w:ascii="仿宋" w:hAnsi="仿宋" w:eastAsia="仿宋" w:cs="仿宋"/>
          <w:sz w:val="32"/>
          <w:szCs w:val="32"/>
        </w:rPr>
        <w:t xml:space="preserve"> </w:t>
      </w:r>
    </w:p>
    <w:p w14:paraId="72C42EA3">
      <w:pPr>
        <w:spacing w:line="500" w:lineRule="exact"/>
        <w:ind w:firstLine="720" w:firstLineChars="225"/>
        <w:rPr>
          <w:rFonts w:ascii="仿宋" w:hAnsi="仿宋" w:eastAsia="仿宋" w:cs="Times New Roman"/>
          <w:b/>
          <w:bCs/>
          <w:sz w:val="32"/>
          <w:szCs w:val="32"/>
        </w:rPr>
      </w:pPr>
      <w:r>
        <w:rPr>
          <w:rFonts w:hint="eastAsia" w:ascii="仿宋" w:hAnsi="仿宋" w:eastAsia="仿宋" w:cs="仿宋"/>
          <w:b/>
          <w:bCs/>
          <w:sz w:val="32"/>
          <w:szCs w:val="32"/>
        </w:rPr>
        <w:t>（</w:t>
      </w:r>
      <w:r>
        <w:rPr>
          <w:rFonts w:ascii="仿宋" w:hAnsi="仿宋" w:eastAsia="仿宋" w:cs="仿宋"/>
          <w:b/>
          <w:bCs/>
          <w:sz w:val="32"/>
          <w:szCs w:val="32"/>
        </w:rPr>
        <w:t>3</w:t>
      </w:r>
      <w:r>
        <w:rPr>
          <w:rFonts w:hint="eastAsia" w:ascii="仿宋" w:hAnsi="仿宋" w:eastAsia="仿宋" w:cs="仿宋"/>
          <w:b/>
          <w:bCs/>
          <w:sz w:val="32"/>
          <w:szCs w:val="32"/>
        </w:rPr>
        <w:t>）预决算公开情况。</w:t>
      </w:r>
      <w:r>
        <w:rPr>
          <w:rFonts w:hint="eastAsia" w:ascii="仿宋" w:hAnsi="仿宋" w:eastAsia="仿宋" w:cs="仿宋"/>
          <w:sz w:val="32"/>
          <w:szCs w:val="32"/>
        </w:rPr>
        <w:t>按照相关规定，本部门预决算、“三公”经费预决算、其他重要财政资金使用情况均已公开公示。</w:t>
      </w:r>
      <w:r>
        <w:rPr>
          <w:rFonts w:ascii="仿宋" w:hAnsi="仿宋" w:eastAsia="仿宋" w:cs="仿宋"/>
          <w:sz w:val="32"/>
          <w:szCs w:val="32"/>
        </w:rPr>
        <w:t xml:space="preserve"> </w:t>
      </w:r>
    </w:p>
    <w:p w14:paraId="18D18174">
      <w:pPr>
        <w:spacing w:line="500" w:lineRule="exact"/>
        <w:ind w:firstLine="720" w:firstLineChars="225"/>
        <w:rPr>
          <w:rFonts w:ascii="黑体" w:hAnsi="黑体" w:eastAsia="黑体" w:cs="Times New Roman"/>
          <w:sz w:val="32"/>
          <w:szCs w:val="32"/>
        </w:rPr>
      </w:pPr>
      <w:r>
        <w:rPr>
          <w:rFonts w:hint="eastAsia" w:ascii="黑体" w:hAnsi="黑体" w:eastAsia="黑体" w:cs="黑体"/>
          <w:sz w:val="32"/>
          <w:szCs w:val="32"/>
        </w:rPr>
        <w:t>六、存在的主要问题</w:t>
      </w:r>
    </w:p>
    <w:p w14:paraId="4EFE32CF">
      <w:pPr>
        <w:spacing w:line="500" w:lineRule="exact"/>
        <w:ind w:firstLine="720" w:firstLineChars="225"/>
        <w:rPr>
          <w:rFonts w:ascii="仿宋" w:hAnsi="仿宋" w:eastAsia="仿宋" w:cs="Times New Roman"/>
          <w:sz w:val="32"/>
          <w:szCs w:val="32"/>
        </w:rPr>
      </w:pPr>
      <w:r>
        <w:rPr>
          <w:rFonts w:hint="eastAsia" w:ascii="仿宋" w:hAnsi="仿宋" w:eastAsia="仿宋" w:cs="仿宋"/>
          <w:sz w:val="32"/>
          <w:szCs w:val="32"/>
        </w:rPr>
        <w:t>由于财政资金紧张，有时在资金安排和下达上较晚，部门在运用资金时受到一定的限制</w:t>
      </w:r>
      <w:r>
        <w:rPr>
          <w:rFonts w:ascii="仿宋" w:hAnsi="仿宋" w:eastAsia="仿宋" w:cs="仿宋"/>
          <w:sz w:val="32"/>
          <w:szCs w:val="32"/>
        </w:rPr>
        <w:t>,</w:t>
      </w:r>
      <w:r>
        <w:rPr>
          <w:rFonts w:hint="eastAsia" w:ascii="仿宋" w:hAnsi="仿宋" w:eastAsia="仿宋" w:cs="仿宋"/>
          <w:sz w:val="32"/>
          <w:szCs w:val="32"/>
        </w:rPr>
        <w:t>资金执行进度未按照预算逐月使用。</w:t>
      </w:r>
    </w:p>
    <w:p w14:paraId="755C5383">
      <w:pPr>
        <w:spacing w:line="500" w:lineRule="exact"/>
        <w:ind w:firstLine="720" w:firstLineChars="225"/>
        <w:rPr>
          <w:rFonts w:ascii="黑体" w:hAnsi="黑体" w:eastAsia="黑体" w:cs="Times New Roman"/>
          <w:sz w:val="32"/>
          <w:szCs w:val="32"/>
        </w:rPr>
      </w:pPr>
      <w:r>
        <w:rPr>
          <w:rFonts w:hint="eastAsia" w:ascii="黑体" w:hAnsi="黑体" w:eastAsia="黑体" w:cs="黑体"/>
          <w:sz w:val="32"/>
          <w:szCs w:val="32"/>
        </w:rPr>
        <w:t>七、改进措施和有关建议</w:t>
      </w:r>
    </w:p>
    <w:p w14:paraId="7201D4D8">
      <w:pPr>
        <w:spacing w:line="500" w:lineRule="exact"/>
        <w:ind w:firstLine="720" w:firstLineChars="225"/>
        <w:rPr>
          <w:rFonts w:ascii="楷体" w:hAnsi="楷体" w:eastAsia="楷体" w:cs="Times New Roman"/>
          <w:b/>
          <w:bCs/>
          <w:sz w:val="32"/>
          <w:szCs w:val="32"/>
        </w:rPr>
      </w:pPr>
      <w:r>
        <w:rPr>
          <w:rFonts w:hint="eastAsia" w:ascii="楷体" w:hAnsi="楷体" w:eastAsia="楷体" w:cs="楷体"/>
          <w:b/>
          <w:bCs/>
          <w:sz w:val="32"/>
          <w:szCs w:val="32"/>
        </w:rPr>
        <w:t>（一）加强新行政单位会计制度和新预算法学习培训</w:t>
      </w:r>
    </w:p>
    <w:p w14:paraId="491B51EA">
      <w:pPr>
        <w:spacing w:line="500" w:lineRule="exact"/>
        <w:ind w:firstLine="720" w:firstLineChars="225"/>
        <w:rPr>
          <w:rFonts w:ascii="仿宋" w:hAnsi="仿宋" w:eastAsia="仿宋" w:cs="Times New Roman"/>
          <w:sz w:val="32"/>
          <w:szCs w:val="32"/>
        </w:rPr>
      </w:pPr>
      <w:r>
        <w:rPr>
          <w:rFonts w:hint="eastAsia" w:ascii="仿宋" w:hAnsi="仿宋" w:eastAsia="仿宋" w:cs="仿宋"/>
          <w:sz w:val="32"/>
          <w:szCs w:val="32"/>
        </w:rPr>
        <w:t>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14:paraId="1E80595A">
      <w:pPr>
        <w:spacing w:line="500" w:lineRule="exact"/>
        <w:ind w:firstLine="720" w:firstLineChars="225"/>
        <w:rPr>
          <w:rFonts w:ascii="楷体" w:hAnsi="楷体" w:eastAsia="楷体" w:cs="Times New Roman"/>
          <w:b/>
          <w:bCs/>
          <w:sz w:val="32"/>
          <w:szCs w:val="32"/>
        </w:rPr>
      </w:pPr>
      <w:r>
        <w:rPr>
          <w:rFonts w:hint="eastAsia" w:ascii="楷体" w:hAnsi="楷体" w:eastAsia="楷体" w:cs="楷体"/>
          <w:b/>
          <w:bCs/>
          <w:sz w:val="32"/>
          <w:szCs w:val="32"/>
        </w:rPr>
        <w:t>（二）规范账务处理，提高财务信息质量</w:t>
      </w:r>
    </w:p>
    <w:p w14:paraId="5CC06F21">
      <w:pPr>
        <w:spacing w:line="500" w:lineRule="exact"/>
        <w:ind w:firstLine="720" w:firstLineChars="225"/>
        <w:rPr>
          <w:rFonts w:ascii="仿宋" w:hAnsi="仿宋" w:eastAsia="仿宋" w:cs="Times New Roman"/>
          <w:sz w:val="32"/>
          <w:szCs w:val="32"/>
        </w:rPr>
      </w:pPr>
      <w:r>
        <w:rPr>
          <w:rFonts w:hint="eastAsia" w:ascii="仿宋" w:hAnsi="仿宋" w:eastAsia="仿宋" w:cs="仿宋"/>
          <w:sz w:val="32"/>
          <w:szCs w:val="32"/>
        </w:rPr>
        <w:t>严格按照《会计法》、《行政单位会计制度》、《行政单位财务规则》等规定执行财务核算，并结合实际情况，完整、准确地披露相关信息，尽可能地做到决算与预算相衔接。</w:t>
      </w:r>
    </w:p>
    <w:p w14:paraId="42981631">
      <w:pPr>
        <w:spacing w:line="500" w:lineRule="exact"/>
        <w:ind w:firstLine="720" w:firstLineChars="225"/>
        <w:rPr>
          <w:rFonts w:ascii="楷体" w:hAnsi="楷体" w:eastAsia="楷体" w:cs="Times New Roman"/>
          <w:b/>
          <w:bCs/>
          <w:sz w:val="32"/>
          <w:szCs w:val="32"/>
        </w:rPr>
      </w:pPr>
      <w:r>
        <w:rPr>
          <w:rFonts w:hint="eastAsia" w:ascii="楷体" w:hAnsi="楷体" w:eastAsia="楷体" w:cs="楷体"/>
          <w:b/>
          <w:bCs/>
          <w:sz w:val="32"/>
          <w:szCs w:val="32"/>
        </w:rPr>
        <w:t>（三）完善管理制度，进一步加强资产管理</w:t>
      </w:r>
    </w:p>
    <w:p w14:paraId="6115306B">
      <w:pPr>
        <w:jc w:val="left"/>
        <w:rPr>
          <w:rFonts w:cs="黑体" w:asciiTheme="minorEastAsia" w:hAnsiTheme="minorEastAsia"/>
          <w:color w:val="000000"/>
          <w:kern w:val="0"/>
          <w:sz w:val="32"/>
          <w:szCs w:val="32"/>
        </w:rPr>
      </w:pPr>
      <w:r>
        <w:rPr>
          <w:rFonts w:hint="eastAsia" w:ascii="仿宋" w:hAnsi="仿宋" w:eastAsia="仿宋" w:cs="仿宋"/>
          <w:sz w:val="32"/>
          <w:szCs w:val="32"/>
        </w:rPr>
        <w:t>进一步贯彻落实中央“八项规定”和湖南省委“九条规定”，建立本部门“三公经费”等公务支出管理制度及厉行节约制度，加强经费审批和控制，规范支出标准与范围，并严格执行。严格按照《固定资产管理办法》的规定加强固定资产管理，及时登记、更新台账，加强资产卡片管理，年终前对各类实物资产进行全面盘点，确保账账、账实相符。</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E97082"/>
    <w:multiLevelType w:val="singleLevel"/>
    <w:tmpl w:val="FDE97082"/>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172A27"/>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E67ABD"/>
    <w:rsid w:val="04F90680"/>
    <w:rsid w:val="08A54346"/>
    <w:rsid w:val="0AC0410C"/>
    <w:rsid w:val="0DC363ED"/>
    <w:rsid w:val="15812DBD"/>
    <w:rsid w:val="1D97DEFF"/>
    <w:rsid w:val="1DFF72E5"/>
    <w:rsid w:val="1EFC6F07"/>
    <w:rsid w:val="23CC6F1C"/>
    <w:rsid w:val="25BD151C"/>
    <w:rsid w:val="275D2FB6"/>
    <w:rsid w:val="27D9178F"/>
    <w:rsid w:val="2B8351AE"/>
    <w:rsid w:val="2BDF6D2E"/>
    <w:rsid w:val="2C2E3173"/>
    <w:rsid w:val="2E4511F3"/>
    <w:rsid w:val="2F041568"/>
    <w:rsid w:val="2FDF85B8"/>
    <w:rsid w:val="2FFFEE04"/>
    <w:rsid w:val="34BB6BC3"/>
    <w:rsid w:val="34DF85B0"/>
    <w:rsid w:val="3893131F"/>
    <w:rsid w:val="3B8F36BC"/>
    <w:rsid w:val="3BD72EE0"/>
    <w:rsid w:val="3DB61B7F"/>
    <w:rsid w:val="43230F99"/>
    <w:rsid w:val="46A00372"/>
    <w:rsid w:val="47655843"/>
    <w:rsid w:val="491FF225"/>
    <w:rsid w:val="4B4F09BA"/>
    <w:rsid w:val="4D5E08FF"/>
    <w:rsid w:val="4ECF7A46"/>
    <w:rsid w:val="4FFD214C"/>
    <w:rsid w:val="50D13F4A"/>
    <w:rsid w:val="52990A97"/>
    <w:rsid w:val="55EA0DC4"/>
    <w:rsid w:val="5777D4F5"/>
    <w:rsid w:val="581734ED"/>
    <w:rsid w:val="59A81941"/>
    <w:rsid w:val="59DD8326"/>
    <w:rsid w:val="5A1B4488"/>
    <w:rsid w:val="5A6062F3"/>
    <w:rsid w:val="5DEF592A"/>
    <w:rsid w:val="5FC6BB1E"/>
    <w:rsid w:val="5FD749AD"/>
    <w:rsid w:val="5FF720F1"/>
    <w:rsid w:val="613819C6"/>
    <w:rsid w:val="61EA275C"/>
    <w:rsid w:val="634A3E9C"/>
    <w:rsid w:val="66BB5360"/>
    <w:rsid w:val="67FF5C0B"/>
    <w:rsid w:val="684828EC"/>
    <w:rsid w:val="69F36E1D"/>
    <w:rsid w:val="6C850AD0"/>
    <w:rsid w:val="6EFC0924"/>
    <w:rsid w:val="6FB74722"/>
    <w:rsid w:val="6FEF8B7E"/>
    <w:rsid w:val="71A36DE5"/>
    <w:rsid w:val="71A6591B"/>
    <w:rsid w:val="72B14182"/>
    <w:rsid w:val="737D59BA"/>
    <w:rsid w:val="75EB0D5A"/>
    <w:rsid w:val="76A57FE0"/>
    <w:rsid w:val="77C37683"/>
    <w:rsid w:val="79FF515B"/>
    <w:rsid w:val="7B510104"/>
    <w:rsid w:val="7C52743D"/>
    <w:rsid w:val="7DF74740"/>
    <w:rsid w:val="7E9E1962"/>
    <w:rsid w:val="7E9F11B4"/>
    <w:rsid w:val="7F111831"/>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1"/>
    <w:unhideWhenUsed/>
    <w:qFormat/>
    <w:uiPriority w:val="99"/>
    <w:pPr>
      <w:widowControl/>
      <w:spacing w:after="120"/>
      <w:ind w:left="420" w:leftChars="200"/>
      <w:jc w:val="left"/>
    </w:pPr>
    <w:rPr>
      <w:rFonts w:ascii="宋体" w:hAnsi="宋体" w:eastAsia="宋体" w:cs="宋体"/>
      <w:kern w:val="0"/>
      <w:sz w:val="24"/>
    </w:r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2"/>
    <w:semiHidden/>
    <w:qFormat/>
    <w:uiPriority w:val="0"/>
    <w:pPr>
      <w:snapToGrid w:val="0"/>
      <w:jc w:val="left"/>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33</Pages>
  <Words>413</Words>
  <Characters>419</Characters>
  <Lines>63</Lines>
  <Paragraphs>18</Paragraphs>
  <TotalTime>1</TotalTime>
  <ScaleCrop>false</ScaleCrop>
  <LinksUpToDate>false</LinksUpToDate>
  <CharactersWithSpaces>424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敷衍</cp:lastModifiedBy>
  <cp:lastPrinted>2024-08-08T10:20:00Z</cp:lastPrinted>
  <dcterms:modified xsi:type="dcterms:W3CDTF">2026-07-17T03:26:08Z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65A22D36785C45A599638E37063D30F3_13</vt:lpwstr>
  </property>
  <property fmtid="{D5CDD505-2E9C-101B-9397-08002B2CF9AE}" pid="4" name="KSOTemplateDocerSaveRecord">
    <vt:lpwstr>eyJoZGlkIjoiNDc4MWVmYWJkZTllNTNiZWFiODgyNWFlMTkxMjZhM2MiLCJ1c2VySWQiOiI5NTkxMTI2OTEifQ==</vt:lpwstr>
  </property>
</Properties>
</file>