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lang w:eastAsia="zh-CN"/>
        </w:rPr>
        <w:t>溆浦县教育局</w:t>
      </w:r>
      <w:r>
        <w:rPr>
          <w:rFonts w:hint="eastAsia" w:ascii="方正小标宋_GBK" w:hAnsi="方正小标宋_GBK" w:eastAsia="方正小标宋_GBK" w:cs="方正小标宋_GBK"/>
          <w:b w:val="0"/>
          <w:bCs w:val="0"/>
          <w:sz w:val="72"/>
          <w:szCs w:val="72"/>
        </w:rPr>
        <w:t>（</w:t>
      </w:r>
      <w:r>
        <w:rPr>
          <w:rFonts w:hint="eastAsia" w:ascii="方正小标宋_GBK" w:hAnsi="方正小标宋_GBK" w:eastAsia="方正小标宋_GBK" w:cs="方正小标宋_GBK"/>
          <w:b w:val="0"/>
          <w:bCs w:val="0"/>
          <w:sz w:val="72"/>
          <w:szCs w:val="72"/>
          <w:lang w:eastAsia="zh-CN"/>
        </w:rPr>
        <w:t>本级</w:t>
      </w:r>
      <w:r>
        <w:rPr>
          <w:rFonts w:hint="eastAsia" w:ascii="方正小标宋_GBK" w:hAnsi="方正小标宋_GBK" w:eastAsia="方正小标宋_GBK" w:cs="方正小标宋_GBK"/>
          <w:b w:val="0"/>
          <w:bCs w:val="0"/>
          <w:sz w:val="72"/>
          <w:szCs w:val="72"/>
        </w:rPr>
        <w:t>）</w:t>
      </w:r>
    </w:p>
    <w:p>
      <w:pPr>
        <w:pStyle w:val="9"/>
        <w:jc w:val="center"/>
        <w:rPr>
          <w:rFonts w:hint="eastAsia" w:ascii="方正小标宋_GBK" w:hAnsi="方正小标宋_GBK" w:eastAsia="方正小标宋_GBK" w:cs="方正小标宋_GBK"/>
          <w:b w:val="0"/>
          <w:bCs w:val="0"/>
          <w:sz w:val="72"/>
          <w:szCs w:val="72"/>
        </w:rPr>
      </w:pPr>
      <w:r>
        <w:rPr>
          <w:rFonts w:hint="eastAsia" w:ascii="方正小标宋_GBK" w:hAnsi="方正小标宋_GBK" w:eastAsia="方正小标宋_GBK" w:cs="方正小标宋_GBK"/>
          <w:b w:val="0"/>
          <w:bCs w:val="0"/>
          <w:sz w:val="72"/>
          <w:szCs w:val="72"/>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val="0"/>
          <w:bCs/>
          <w:sz w:val="28"/>
          <w:szCs w:val="28"/>
        </w:rPr>
      </w:pPr>
      <w:r>
        <w:rPr>
          <w:rFonts w:hint="eastAsia"/>
          <w:b w:val="0"/>
          <w:bCs/>
          <w:sz w:val="28"/>
          <w:szCs w:val="28"/>
        </w:rPr>
        <w:t>第一部分溆浦县教育局</w:t>
      </w:r>
      <w:r>
        <w:rPr>
          <w:rFonts w:hint="eastAsia"/>
          <w:b w:val="0"/>
          <w:bCs/>
          <w:sz w:val="28"/>
          <w:szCs w:val="28"/>
          <w:lang w:eastAsia="zh-CN"/>
        </w:rPr>
        <w:t>（本级）</w:t>
      </w:r>
      <w:r>
        <w:rPr>
          <w:rFonts w:hint="eastAsia"/>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ascii="仿宋_GB2312" w:hAnsi="仿宋_GB2312" w:cs="仿宋_GB2312"/>
          <w:b w:val="0"/>
          <w:bCs/>
          <w:sz w:val="28"/>
          <w:szCs w:val="28"/>
        </w:rPr>
      </w:pPr>
      <w:r>
        <w:rPr>
          <w:rFonts w:hint="eastAsia" w:hAnsi="仿宋_GB2312"/>
          <w:b w:val="0"/>
          <w:bCs/>
          <w:sz w:val="28"/>
          <w:szCs w:val="28"/>
        </w:rPr>
        <w:t>第二部分202</w:t>
      </w:r>
      <w:r>
        <w:rPr>
          <w:rFonts w:hint="eastAsia" w:hAnsi="仿宋_GB2312"/>
          <w:b w:val="0"/>
          <w:bCs/>
          <w:sz w:val="28"/>
          <w:szCs w:val="28"/>
          <w:lang w:val="en-US" w:eastAsia="zh-CN"/>
        </w:rPr>
        <w:t>2</w:t>
      </w:r>
      <w:r>
        <w:rPr>
          <w:rFonts w:hint="eastAsia" w:hAnsi="仿宋_GB2312"/>
          <w:b w:val="0"/>
          <w:bCs/>
          <w:sz w:val="28"/>
          <w:szCs w:val="28"/>
        </w:rPr>
        <w:t>年度部门决算表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hAnsi="仿宋_GB2312"/>
          <w:b w:val="0"/>
          <w:bCs/>
          <w:sz w:val="28"/>
          <w:szCs w:val="28"/>
        </w:rPr>
      </w:pPr>
      <w:r>
        <w:rPr>
          <w:rFonts w:hint="eastAsia" w:hAnsi="仿宋_GB2312"/>
          <w:b w:val="0"/>
          <w:bCs/>
          <w:sz w:val="28"/>
          <w:szCs w:val="28"/>
        </w:rPr>
        <w:t>第三部分</w:t>
      </w:r>
      <w:r>
        <w:rPr>
          <w:rFonts w:hint="eastAsia" w:hAnsi="仿宋_GB2312"/>
          <w:b w:val="0"/>
          <w:bCs/>
          <w:sz w:val="28"/>
          <w:szCs w:val="28"/>
          <w:lang w:eastAsia="zh-CN"/>
        </w:rPr>
        <w:t>2022</w:t>
      </w:r>
      <w:r>
        <w:rPr>
          <w:rFonts w:hint="eastAsia" w:hAnsi="仿宋_GB2312"/>
          <w:b w:val="0"/>
          <w:bCs/>
          <w:sz w:val="28"/>
          <w:szCs w:val="28"/>
        </w:rPr>
        <w:t>年度部门决算情况说明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rPr>
        <w:t>溆浦县教育局</w:t>
      </w:r>
      <w:r>
        <w:rPr>
          <w:rFonts w:hint="eastAsia"/>
          <w:sz w:val="84"/>
          <w:szCs w:val="84"/>
          <w:lang w:eastAsia="zh-CN"/>
        </w:rPr>
        <w:t>（本级）</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jc w:val="left"/>
        <w:rPr>
          <w:rFonts w:ascii="宋体" w:cs="Times New Roman"/>
          <w:sz w:val="32"/>
          <w:szCs w:val="32"/>
        </w:rPr>
      </w:pPr>
      <w:r>
        <w:rPr>
          <w:rFonts w:hint="eastAsia" w:ascii="宋体" w:hAnsi="宋体" w:cs="宋体"/>
          <w:sz w:val="32"/>
          <w:szCs w:val="32"/>
        </w:rPr>
        <w:t>（一）</w:t>
      </w:r>
      <w:r>
        <w:rPr>
          <w:rFonts w:hint="eastAsia" w:ascii="宋体" w:hAnsi="宋体" w:cs="宋体"/>
          <w:color w:val="000000"/>
          <w:kern w:val="0"/>
          <w:sz w:val="28"/>
          <w:szCs w:val="28"/>
        </w:rPr>
        <w:t>、贯彻落实国家教育工作方针、政策和法律、法规、规章，制定。</w:t>
      </w:r>
    </w:p>
    <w:p>
      <w:pPr>
        <w:jc w:val="left"/>
        <w:rPr>
          <w:rFonts w:ascii="宋体" w:hAnsi="宋体" w:cs="宋体"/>
          <w:color w:val="000000"/>
          <w:kern w:val="0"/>
          <w:sz w:val="28"/>
          <w:szCs w:val="28"/>
        </w:rPr>
      </w:pPr>
      <w:r>
        <w:rPr>
          <w:rFonts w:hint="eastAsia" w:ascii="宋体" w:hAnsi="宋体" w:cs="宋体"/>
          <w:sz w:val="32"/>
          <w:szCs w:val="32"/>
        </w:rPr>
        <w:t>（二）</w:t>
      </w:r>
      <w:r>
        <w:rPr>
          <w:rFonts w:hint="eastAsia" w:ascii="宋体" w:hAnsi="宋体" w:cs="宋体"/>
          <w:color w:val="000000"/>
          <w:kern w:val="0"/>
          <w:sz w:val="28"/>
          <w:szCs w:val="28"/>
        </w:rPr>
        <w:t>、负责教育局机关日常工作运行。</w:t>
      </w:r>
    </w:p>
    <w:p>
      <w:pPr>
        <w:jc w:val="left"/>
        <w:rPr>
          <w:rFonts w:ascii="宋体" w:hAnsi="宋体" w:cs="宋体"/>
          <w:color w:val="000000"/>
          <w:kern w:val="0"/>
          <w:sz w:val="28"/>
          <w:szCs w:val="28"/>
        </w:rPr>
      </w:pPr>
    </w:p>
    <w:p>
      <w:pPr>
        <w:widowControl/>
        <w:numPr>
          <w:ilvl w:val="0"/>
          <w:numId w:val="2"/>
        </w:numPr>
        <w:spacing w:line="440" w:lineRule="exact"/>
        <w:rPr>
          <w:rFonts w:ascii="黑体" w:hAnsi="黑体" w:eastAsia="黑体"/>
          <w:sz w:val="32"/>
          <w:szCs w:val="32"/>
        </w:rPr>
      </w:pPr>
      <w:r>
        <w:rPr>
          <w:rFonts w:hint="eastAsia" w:ascii="黑体" w:hAnsi="黑体" w:eastAsia="黑体"/>
          <w:sz w:val="32"/>
          <w:szCs w:val="32"/>
        </w:rPr>
        <w:t>机构设置及决算单位构成</w:t>
      </w:r>
    </w:p>
    <w:p>
      <w:pPr>
        <w:widowControl/>
        <w:spacing w:line="440" w:lineRule="exact"/>
        <w:rPr>
          <w:rFonts w:ascii="黑体" w:hAnsi="黑体" w:eastAsia="黑体"/>
          <w:sz w:val="32"/>
          <w:szCs w:val="32"/>
        </w:rPr>
      </w:pPr>
    </w:p>
    <w:p>
      <w:pPr>
        <w:widowControl/>
        <w:spacing w:line="440" w:lineRule="exact"/>
        <w:ind w:firstLine="640" w:firstLineChars="200"/>
        <w:rPr>
          <w:rFonts w:ascii="宋体" w:hAnsi="宋体" w:cs="宋体"/>
          <w:kern w:val="0"/>
          <w:sz w:val="32"/>
          <w:szCs w:val="32"/>
        </w:rPr>
      </w:pPr>
      <w:r>
        <w:rPr>
          <w:rFonts w:hint="eastAsia" w:ascii="宋体" w:hAnsi="宋体" w:cs="宋体"/>
          <w:kern w:val="0"/>
          <w:sz w:val="32"/>
          <w:szCs w:val="32"/>
        </w:rPr>
        <w:t>（一）内设机构设置。溆浦县教育局机关内设机构行政股室包括：办公室、人事股、计财股、普教股、行政审批（法制股）、教育督导、职成股、党建办。二级事业单位9个包括：档案室1个，电教仪器站1个、教研室1个，就业指导中心1个，考试中心1个，勤工站1个，信息网络中心1个，学生资助中心1个，职称改革事务中心1个。</w:t>
      </w:r>
    </w:p>
    <w:p>
      <w:pPr>
        <w:widowControl/>
        <w:spacing w:line="440" w:lineRule="exact"/>
        <w:ind w:firstLine="640" w:firstLineChars="200"/>
        <w:rPr>
          <w:rFonts w:ascii="宋体" w:cs="Times New Roman"/>
          <w:kern w:val="0"/>
          <w:sz w:val="28"/>
          <w:szCs w:val="28"/>
        </w:rPr>
      </w:pPr>
      <w:r>
        <w:rPr>
          <w:rFonts w:hint="eastAsia" w:ascii="宋体" w:hAnsi="宋体" w:cs="宋体"/>
          <w:kern w:val="0"/>
          <w:sz w:val="32"/>
          <w:szCs w:val="32"/>
        </w:rPr>
        <w:t>（二）决算单位构成。</w:t>
      </w:r>
      <w:r>
        <w:rPr>
          <w:rFonts w:hint="eastAsia" w:ascii="宋体" w:cs="宋体"/>
          <w:kern w:val="0"/>
          <w:sz w:val="32"/>
          <w:szCs w:val="32"/>
        </w:rPr>
        <w:t>溆浦县教育局机关</w:t>
      </w:r>
      <w:r>
        <w:rPr>
          <w:rFonts w:hint="eastAsia" w:ascii="宋体" w:hAnsi="宋体" w:cs="宋体"/>
          <w:kern w:val="0"/>
          <w:sz w:val="32"/>
          <w:szCs w:val="32"/>
          <w:lang w:eastAsia="zh-CN"/>
        </w:rPr>
        <w:t>2022</w:t>
      </w:r>
      <w:r>
        <w:rPr>
          <w:rFonts w:hint="eastAsia" w:ascii="宋体" w:hAnsi="宋体" w:cs="宋体"/>
          <w:kern w:val="0"/>
          <w:sz w:val="32"/>
          <w:szCs w:val="32"/>
        </w:rPr>
        <w:t>年部门决算汇总公开单位构成包括：</w:t>
      </w:r>
      <w:r>
        <w:rPr>
          <w:rFonts w:hint="eastAsia" w:ascii="宋体" w:cs="宋体"/>
          <w:kern w:val="0"/>
          <w:sz w:val="32"/>
          <w:szCs w:val="32"/>
        </w:rPr>
        <w:t>溆浦县教育局机关</w:t>
      </w:r>
      <w:r>
        <w:rPr>
          <w:rFonts w:hint="eastAsia" w:ascii="宋体" w:hAnsi="宋体" w:cs="宋体"/>
          <w:kern w:val="0"/>
          <w:sz w:val="32"/>
          <w:szCs w:val="32"/>
        </w:rPr>
        <w:t>本级</w:t>
      </w:r>
      <w:r>
        <w:rPr>
          <w:rFonts w:hint="eastAsia" w:ascii="宋体" w:hAnsi="宋体" w:cs="宋体"/>
          <w:kern w:val="0"/>
          <w:sz w:val="28"/>
          <w:szCs w:val="28"/>
        </w:rPr>
        <w:t>及二级事业单位共</w:t>
      </w:r>
      <w:r>
        <w:rPr>
          <w:rFonts w:ascii="宋体" w:hAnsi="宋体" w:cs="宋体"/>
          <w:kern w:val="0"/>
          <w:sz w:val="28"/>
          <w:szCs w:val="28"/>
        </w:rPr>
        <w:t xml:space="preserve">  10</w:t>
      </w:r>
      <w:r>
        <w:rPr>
          <w:rFonts w:hint="eastAsia" w:ascii="宋体" w:hAnsi="宋体" w:cs="宋体"/>
          <w:kern w:val="0"/>
          <w:sz w:val="28"/>
          <w:szCs w:val="28"/>
        </w:rPr>
        <w:t>个，其中行政单位</w:t>
      </w:r>
      <w:r>
        <w:rPr>
          <w:rFonts w:ascii="宋体" w:hAnsi="宋体" w:cs="宋体"/>
          <w:kern w:val="0"/>
          <w:sz w:val="28"/>
          <w:szCs w:val="28"/>
        </w:rPr>
        <w:t>1</w:t>
      </w:r>
      <w:r>
        <w:rPr>
          <w:rFonts w:hint="eastAsia" w:ascii="宋体" w:hAnsi="宋体" w:cs="宋体"/>
          <w:kern w:val="0"/>
          <w:sz w:val="28"/>
          <w:szCs w:val="28"/>
        </w:rPr>
        <w:t>个、档案管理室</w:t>
      </w:r>
      <w:r>
        <w:rPr>
          <w:rFonts w:ascii="宋体" w:hAnsi="宋体" w:cs="宋体"/>
          <w:kern w:val="0"/>
          <w:sz w:val="28"/>
          <w:szCs w:val="28"/>
        </w:rPr>
        <w:t>1</w:t>
      </w:r>
      <w:r>
        <w:rPr>
          <w:rFonts w:hint="eastAsia" w:ascii="宋体" w:hAnsi="宋体" w:cs="宋体"/>
          <w:kern w:val="0"/>
          <w:sz w:val="28"/>
          <w:szCs w:val="28"/>
        </w:rPr>
        <w:t>个，电教仪器站</w:t>
      </w:r>
      <w:r>
        <w:rPr>
          <w:rFonts w:ascii="宋体" w:hAnsi="宋体" w:cs="宋体"/>
          <w:kern w:val="0"/>
          <w:sz w:val="28"/>
          <w:szCs w:val="28"/>
        </w:rPr>
        <w:t>1</w:t>
      </w:r>
      <w:r>
        <w:rPr>
          <w:rFonts w:hint="eastAsia" w:ascii="宋体" w:hAnsi="宋体" w:cs="宋体"/>
          <w:kern w:val="0"/>
          <w:sz w:val="28"/>
          <w:szCs w:val="28"/>
        </w:rPr>
        <w:t>个、教育教研室</w:t>
      </w:r>
      <w:r>
        <w:rPr>
          <w:rFonts w:ascii="宋体" w:hAnsi="宋体" w:cs="宋体"/>
          <w:kern w:val="0"/>
          <w:sz w:val="28"/>
          <w:szCs w:val="28"/>
        </w:rPr>
        <w:t>1</w:t>
      </w:r>
      <w:r>
        <w:rPr>
          <w:rFonts w:hint="eastAsia" w:ascii="宋体" w:hAnsi="宋体" w:cs="宋体"/>
          <w:kern w:val="0"/>
          <w:sz w:val="28"/>
          <w:szCs w:val="28"/>
        </w:rPr>
        <w:t>个，就业指导中心</w:t>
      </w:r>
      <w:r>
        <w:rPr>
          <w:rFonts w:ascii="宋体" w:hAnsi="宋体" w:cs="宋体"/>
          <w:kern w:val="0"/>
          <w:sz w:val="28"/>
          <w:szCs w:val="28"/>
        </w:rPr>
        <w:t>1</w:t>
      </w:r>
      <w:r>
        <w:rPr>
          <w:rFonts w:hint="eastAsia" w:ascii="宋体" w:hAnsi="宋体" w:cs="宋体"/>
          <w:kern w:val="0"/>
          <w:sz w:val="28"/>
          <w:szCs w:val="28"/>
        </w:rPr>
        <w:t>个，考试中心</w:t>
      </w:r>
      <w:r>
        <w:rPr>
          <w:rFonts w:ascii="宋体" w:hAnsi="宋体" w:cs="宋体"/>
          <w:kern w:val="0"/>
          <w:sz w:val="28"/>
          <w:szCs w:val="28"/>
        </w:rPr>
        <w:t>1</w:t>
      </w:r>
      <w:r>
        <w:rPr>
          <w:rFonts w:hint="eastAsia" w:ascii="宋体" w:hAnsi="宋体" w:cs="宋体"/>
          <w:kern w:val="0"/>
          <w:sz w:val="28"/>
          <w:szCs w:val="28"/>
        </w:rPr>
        <w:t>个，勤工站</w:t>
      </w:r>
      <w:r>
        <w:rPr>
          <w:rFonts w:ascii="宋体" w:hAnsi="宋体" w:cs="宋体"/>
          <w:kern w:val="0"/>
          <w:sz w:val="28"/>
          <w:szCs w:val="28"/>
        </w:rPr>
        <w:t>1</w:t>
      </w:r>
      <w:r>
        <w:rPr>
          <w:rFonts w:hint="eastAsia" w:ascii="宋体" w:hAnsi="宋体" w:cs="宋体"/>
          <w:kern w:val="0"/>
          <w:sz w:val="28"/>
          <w:szCs w:val="28"/>
        </w:rPr>
        <w:t>个，信息网络中心</w:t>
      </w:r>
      <w:r>
        <w:rPr>
          <w:rFonts w:ascii="宋体" w:hAnsi="宋体" w:cs="宋体"/>
          <w:kern w:val="0"/>
          <w:sz w:val="28"/>
          <w:szCs w:val="28"/>
        </w:rPr>
        <w:t>1</w:t>
      </w:r>
      <w:r>
        <w:rPr>
          <w:rFonts w:hint="eastAsia" w:ascii="宋体" w:hAnsi="宋体" w:cs="宋体"/>
          <w:kern w:val="0"/>
          <w:sz w:val="28"/>
          <w:szCs w:val="28"/>
        </w:rPr>
        <w:t>个，学生资助中心</w:t>
      </w:r>
      <w:r>
        <w:rPr>
          <w:rFonts w:ascii="宋体" w:hAnsi="宋体" w:cs="宋体"/>
          <w:kern w:val="0"/>
          <w:sz w:val="28"/>
          <w:szCs w:val="28"/>
        </w:rPr>
        <w:t>1</w:t>
      </w:r>
      <w:r>
        <w:rPr>
          <w:rFonts w:hint="eastAsia" w:ascii="宋体" w:hAnsi="宋体" w:cs="宋体"/>
          <w:kern w:val="0"/>
          <w:sz w:val="28"/>
          <w:szCs w:val="28"/>
        </w:rPr>
        <w:t>个，职称改革事务中心</w:t>
      </w:r>
      <w:r>
        <w:rPr>
          <w:rFonts w:ascii="宋体" w:hAnsi="宋体" w:cs="宋体"/>
          <w:kern w:val="0"/>
          <w:sz w:val="28"/>
          <w:szCs w:val="28"/>
        </w:rPr>
        <w:t>1</w:t>
      </w:r>
      <w:r>
        <w:rPr>
          <w:rFonts w:hint="eastAsia" w:ascii="宋体" w:hAnsi="宋体" w:cs="宋体"/>
          <w:kern w:val="0"/>
          <w:sz w:val="28"/>
          <w:szCs w:val="28"/>
        </w:rPr>
        <w:t>个。</w:t>
      </w:r>
    </w:p>
    <w:p>
      <w:pPr>
        <w:widowControl/>
        <w:spacing w:line="600" w:lineRule="exact"/>
        <w:rPr>
          <w:rFonts w:ascii="宋体" w:cs="Times New Roman"/>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pStyle w:val="9"/>
        <w:ind w:firstLine="4200" w:firstLineChars="5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both"/>
        <w:rPr>
          <w:rFonts w:hint="eastAsia" w:ascii="方正小标宋_GBK" w:hAnsi="方正小标宋_GBK" w:eastAsia="方正小标宋_GBK" w:cs="方正小标宋_GBK"/>
          <w:sz w:val="84"/>
          <w:szCs w:val="84"/>
        </w:rPr>
      </w:pPr>
    </w:p>
    <w:p>
      <w:pPr>
        <w:pStyle w:val="9"/>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0" w:type="auto"/>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736"/>
        <w:gridCol w:w="656"/>
        <w:gridCol w:w="1913"/>
        <w:gridCol w:w="2809"/>
        <w:gridCol w:w="2835"/>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exact"/>
        </w:trPr>
        <w:tc>
          <w:tcPr>
            <w:tcW w:w="14289" w:type="dxa"/>
            <w:gridSpan w:val="6"/>
            <w:tcBorders>
              <w:top w:val="nil"/>
              <w:left w:val="nil"/>
              <w:bottom w:val="nil"/>
              <w:right w:val="nil"/>
            </w:tcBorders>
            <w:shd w:val="clear" w:color="auto" w:fill="FFFFFF" w:themeFill="background1"/>
            <w:noWrap/>
            <w:vAlign w:val="bottom"/>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nil"/>
              <w:bottom w:val="nil"/>
              <w:right w:val="nil"/>
            </w:tcBorders>
            <w:shd w:val="clear" w:color="auto" w:fill="FFFFFF" w:themeFill="background1"/>
            <w:noWrap/>
            <w:vAlign w:val="bottom"/>
          </w:tcPr>
          <w:p>
            <w:pPr>
              <w:spacing w:line="240" w:lineRule="auto"/>
              <w:rPr>
                <w:rFonts w:hint="eastAsia" w:ascii="Arial" w:hAnsi="Arial" w:cs="Arial"/>
                <w:i w:val="0"/>
                <w:iCs w:val="0"/>
                <w:color w:val="000000"/>
                <w:sz w:val="20"/>
                <w:szCs w:val="20"/>
                <w:u w:val="none"/>
              </w:rPr>
            </w:pPr>
          </w:p>
        </w:tc>
        <w:tc>
          <w:tcPr>
            <w:tcW w:w="656"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1913"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2809"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2835"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2340" w:type="dxa"/>
            <w:tcBorders>
              <w:top w:val="nil"/>
              <w:left w:val="nil"/>
              <w:bottom w:val="nil"/>
              <w:right w:val="nil"/>
            </w:tcBorders>
            <w:shd w:val="clear" w:color="auto" w:fill="FFFFFF" w:themeFill="background1"/>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nil"/>
              <w:bottom w:val="nil"/>
              <w:right w:val="nil"/>
            </w:tcBorders>
            <w:shd w:val="clear" w:color="auto" w:fill="FFFFFF" w:themeFill="background1"/>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部门：溆浦县教育局（本级）</w:t>
            </w:r>
          </w:p>
        </w:tc>
        <w:tc>
          <w:tcPr>
            <w:tcW w:w="656"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1913"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2809"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2835" w:type="dxa"/>
            <w:tcBorders>
              <w:top w:val="nil"/>
              <w:left w:val="nil"/>
              <w:bottom w:val="nil"/>
              <w:right w:val="nil"/>
            </w:tcBorders>
            <w:shd w:val="clear" w:color="auto" w:fill="FFFFFF" w:themeFill="background1"/>
            <w:noWrap/>
            <w:vAlign w:val="bottom"/>
          </w:tcPr>
          <w:p>
            <w:pPr>
              <w:spacing w:line="240" w:lineRule="auto"/>
              <w:rPr>
                <w:rFonts w:hint="default" w:ascii="Arial" w:hAnsi="Arial" w:cs="Arial"/>
                <w:i w:val="0"/>
                <w:iCs w:val="0"/>
                <w:color w:val="000000"/>
                <w:sz w:val="20"/>
                <w:szCs w:val="20"/>
                <w:u w:val="none"/>
              </w:rPr>
            </w:pPr>
          </w:p>
        </w:tc>
        <w:tc>
          <w:tcPr>
            <w:tcW w:w="2340" w:type="dxa"/>
            <w:tcBorders>
              <w:top w:val="nil"/>
              <w:left w:val="nil"/>
              <w:bottom w:val="nil"/>
              <w:right w:val="nil"/>
            </w:tcBorders>
            <w:shd w:val="clear" w:color="auto" w:fill="FFFFFF" w:themeFill="background1"/>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630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984" w:type="dxa"/>
            <w:gridSpan w:val="3"/>
            <w:tcBorders>
              <w:top w:val="single" w:color="000000" w:sz="4" w:space="0"/>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 w:hAnsi="宋体" w:eastAsia="宋体" w:cs="宋体"/>
                <w:i w:val="0"/>
                <w:iCs w:val="0"/>
                <w:color w:val="000000"/>
                <w:sz w:val="22"/>
                <w:szCs w:val="22"/>
                <w:u w:val="none"/>
              </w:rPr>
            </w:pP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12,334.65</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432.09</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tabs>
                <w:tab w:val="left" w:pos="533"/>
                <w:tab w:val="center" w:pos="1369"/>
              </w:tabs>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42</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top"/>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center"/>
              <w:rPr>
                <w:rFonts w:hint="eastAsia" w:ascii="宋体" w:hAnsi="宋体" w:eastAsia="宋体" w:cs="宋体"/>
                <w:b/>
                <w:bCs/>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0"/>
                <w:szCs w:val="20"/>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0"/>
                <w:szCs w:val="20"/>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0"/>
                <w:szCs w:val="20"/>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14,736.74</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righ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spacing w:line="240" w:lineRule="auto"/>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736"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5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1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14,736.74</w:t>
            </w:r>
          </w:p>
        </w:tc>
        <w:tc>
          <w:tcPr>
            <w:tcW w:w="2809"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3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4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289" w:type="dxa"/>
            <w:gridSpan w:val="6"/>
            <w:tcBorders>
              <w:top w:val="nil"/>
              <w:left w:val="nil"/>
              <w:bottom w:val="nil"/>
              <w:right w:val="nil"/>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4289" w:type="dxa"/>
            <w:gridSpan w:val="6"/>
            <w:tcBorders>
              <w:top w:val="nil"/>
              <w:left w:val="nil"/>
              <w:bottom w:val="nil"/>
              <w:right w:val="nil"/>
            </w:tcBorders>
            <w:shd w:val="clear" w:color="auto" w:fill="FFFFFF" w:themeFill="background1"/>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sz w:val="72"/>
          <w:szCs w:val="72"/>
        </w:rPr>
      </w:pPr>
      <w:r>
        <w:rPr>
          <w:sz w:val="72"/>
          <w:szCs w:val="72"/>
        </w:rPr>
        <w:object>
          <v:shape id="_x0000_i1025" o:spt="75" type="#_x0000_t75" style="height:541.3pt;width:769.8pt;" o:ole="t" filled="f" o:preferrelative="t" stroked="f" coordsize="21600,21600">
            <v:path/>
            <v:fill on="f" focussize="0,0"/>
            <v:stroke on="f"/>
            <v:imagedata r:id="rId5" o:title=""/>
            <o:lock v:ext="edit" aspectratio="f"/>
            <w10:wrap type="none"/>
            <w10:anchorlock/>
          </v:shape>
          <o:OLEObject Type="Embed" ProgID="Excel.Sheet.8" ShapeID="_x0000_i1025" DrawAspect="Content" ObjectID="_1468075725" r:id="rId4">
            <o:LockedField>false</o:LockedField>
          </o:OLEObject>
        </w:object>
      </w:r>
    </w:p>
    <w:p>
      <w:pPr>
        <w:jc w:val="left"/>
        <w:rPr>
          <w:rFonts w:asciiTheme="minorEastAsia" w:hAnsiTheme="minorEastAsia"/>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pPr w:leftFromText="180" w:rightFromText="180" w:vertAnchor="text" w:horzAnchor="page" w:tblpX="985" w:tblpY="-91"/>
        <w:tblOverlap w:val="never"/>
        <w:tblW w:w="15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816"/>
        <w:gridCol w:w="222"/>
        <w:gridCol w:w="222"/>
        <w:gridCol w:w="5496"/>
        <w:gridCol w:w="1321"/>
        <w:gridCol w:w="1206"/>
        <w:gridCol w:w="1206"/>
        <w:gridCol w:w="747"/>
        <w:gridCol w:w="747"/>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444" w:hRule="exact"/>
        </w:trPr>
        <w:tc>
          <w:tcPr>
            <w:tcW w:w="15720" w:type="dxa"/>
            <w:gridSpan w:val="10"/>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 w:hRule="exact"/>
        </w:trPr>
        <w:tc>
          <w:tcPr>
            <w:tcW w:w="2816" w:type="dxa"/>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549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321"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20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20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737" w:type="dxa"/>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2816" w:type="dxa"/>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部门：溆浦县教育局（本级）</w:t>
            </w:r>
          </w:p>
        </w:tc>
        <w:tc>
          <w:tcPr>
            <w:tcW w:w="222"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549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321"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20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206"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737" w:type="dxa"/>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875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21"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0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0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4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4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3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326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496" w:type="dxa"/>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7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49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3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7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326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5496" w:type="dxa"/>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321"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73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875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21"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8756"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14,736.74</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6,260.46</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8,476.28</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12,693.54</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6,187.25</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6,506.28</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教育管理事务</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3,565.74</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2,607.50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958.23</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2,331.22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2,331.22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2050102</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170.26</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170.26</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其他教育管理事务支出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1,064.26</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106.03</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958.23</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6,572.12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3,579.75</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2,992.37</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897.57</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630.35</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267.22</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1,625.73</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1,625.73</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482.40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456.19</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高中教育</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525.51</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525.51</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2050205</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高等教育</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2,928.90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659.94</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2,268.96</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2,555.68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2,555.68</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2,555.68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2,555.68</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3260"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549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32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4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9" w:hRule="exact"/>
        </w:trPr>
        <w:tc>
          <w:tcPr>
            <w:tcW w:w="15720" w:type="dxa"/>
            <w:gridSpan w:val="10"/>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object>
          <v:shape id="_x0000_i1026" o:spt="75" type="#_x0000_t75" style="height:570.9pt;width:769.5pt;" o:ole="t" fillcolor="#FFFFFF" filled="t" o:preferrelative="t" stroked="t" coordsize="21600,21600">
            <v:path/>
            <v:fill on="t" color2="#FFFFFF" focussize="0,0"/>
            <v:stroke color="#FFFFFF" joinstyle="miter"/>
            <v:imagedata r:id="rId7" o:title=""/>
            <o:lock v:ext="edit" aspectratio="f"/>
            <w10:wrap type="none"/>
            <w10:anchorlock/>
          </v:shape>
          <o:OLEObject Type="Embed" ProgID="Excel.Sheet.8" ShapeID="_x0000_i1026" DrawAspect="Content" ObjectID="_1468075726" r:id="rId6">
            <o:LockedField>false</o:LockedField>
          </o:OLEObject>
        </w:object>
      </w:r>
      <w:r>
        <w:rPr>
          <w:rFonts w:ascii="Times New Roman" w:hAnsi="Times New Roman" w:eastAsia="黑体" w:cs="Times New Roman"/>
          <w:bCs/>
          <w:kern w:val="0"/>
          <w:sz w:val="32"/>
          <w:szCs w:val="32"/>
        </w:rPr>
        <w:object>
          <v:shape id="_x0000_i1027" o:spt="75" type="#_x0000_t75" style="height:530.65pt;width:761.75pt;" o:ole="t" filled="f" o:preferrelative="t" stroked="f" coordsize="21600,21600">
            <v:path/>
            <v:fill on="f" focussize="0,0"/>
            <v:stroke on="f"/>
            <v:imagedata r:id="rId9" o:title=""/>
            <o:lock v:ext="edit" aspectratio="f"/>
            <w10:wrap type="none"/>
            <w10:anchorlock/>
          </v:shape>
          <o:OLEObject Type="Embed" ProgID="Excel.Sheet.8" ShapeID="_x0000_i1027" DrawAspect="Content" ObjectID="_1468075727" r:id="rId8">
            <o:LockedField>false</o:LockedField>
          </o:OLEObject>
        </w:object>
      </w:r>
      <w:r>
        <w:rPr>
          <w:rFonts w:ascii="Times New Roman" w:hAnsi="Times New Roman" w:eastAsia="黑体" w:cs="Times New Roman"/>
          <w:bCs/>
          <w:kern w:val="0"/>
          <w:sz w:val="32"/>
          <w:szCs w:val="32"/>
        </w:rPr>
        <w:br w:type="page"/>
      </w: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r>
        <w:rPr>
          <w:rFonts w:ascii="宋体" w:eastAsia="宋体" w:cs="宋体"/>
          <w:kern w:val="0"/>
          <w:sz w:val="24"/>
          <w:szCs w:val="24"/>
        </w:rPr>
        <w:object>
          <v:shape id="_x0000_i1028" o:spt="75" type="#_x0000_t75" style="height:448pt;width:762.55pt;" o:ole="t" fillcolor="#FFFFFF" filled="t" o:preferrelative="t" stroked="t" coordsize="21600,21600">
            <v:path/>
            <v:fill on="t" focussize="0,0"/>
            <v:stroke color="#FFFFFF"/>
            <v:imagedata r:id="rId11" o:title=""/>
            <o:lock v:ext="edit" aspectratio="f"/>
            <w10:wrap type="none"/>
            <w10:anchorlock/>
          </v:shape>
          <o:OLEObject Type="Embed" ProgID="Excel.Sheet.8" ShapeID="_x0000_i1028" DrawAspect="Content" ObjectID="_1468075728" r:id="rId10">
            <o:LockedField>false</o:LockedField>
          </o:OLEObject>
        </w:object>
      </w: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tbl>
      <w:tblPr>
        <w:tblStyle w:val="5"/>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816"/>
        <w:gridCol w:w="222"/>
        <w:gridCol w:w="222"/>
        <w:gridCol w:w="5496"/>
        <w:gridCol w:w="660"/>
        <w:gridCol w:w="1103"/>
        <w:gridCol w:w="1103"/>
        <w:gridCol w:w="660"/>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部门：溆浦县教育局（本级）</w:t>
            </w: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tbl>
      <w:tblPr>
        <w:tblStyle w:val="5"/>
        <w:tblW w:w="11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135"/>
        <w:gridCol w:w="247"/>
        <w:gridCol w:w="515"/>
        <w:gridCol w:w="2349"/>
        <w:gridCol w:w="270"/>
        <w:gridCol w:w="1965"/>
        <w:gridCol w:w="177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0" w:hRule="atLeast"/>
        </w:trPr>
        <w:tc>
          <w:tcPr>
            <w:tcW w:w="11766" w:type="dxa"/>
            <w:gridSpan w:val="8"/>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135" w:type="dxa"/>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24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515"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2349"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2235" w:type="dxa"/>
            <w:gridSpan w:val="2"/>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770"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515" w:type="dxa"/>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35" w:type="dxa"/>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部门：溆浦县教育局（本级）</w:t>
            </w:r>
          </w:p>
        </w:tc>
        <w:tc>
          <w:tcPr>
            <w:tcW w:w="247"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515"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2619" w:type="dxa"/>
            <w:gridSpan w:val="2"/>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965"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770" w:type="dxa"/>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1515" w:type="dxa"/>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1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50"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19" w:type="dxa"/>
            <w:gridSpan w:val="2"/>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7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1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619" w:type="dxa"/>
            <w:gridSpan w:val="2"/>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77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2619" w:type="dxa"/>
            <w:gridSpan w:val="2"/>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77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16"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6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516" w:type="dxa"/>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50" w:type="dxa"/>
            <w:gridSpan w:val="3"/>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19" w:type="dxa"/>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19" w:type="dxa"/>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19" w:type="dxa"/>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19" w:type="dxa"/>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19" w:type="dxa"/>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2619" w:type="dxa"/>
            <w:gridSpan w:val="2"/>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770"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c>
          <w:tcPr>
            <w:tcW w:w="1515"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66" w:type="dxa"/>
            <w:gridSpan w:val="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jc w:val="both"/>
        <w:rPr>
          <w:sz w:val="72"/>
          <w:szCs w:val="72"/>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tbl>
      <w:tblPr>
        <w:tblStyle w:val="5"/>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816"/>
        <w:gridCol w:w="1185"/>
        <w:gridCol w:w="1091"/>
        <w:gridCol w:w="1091"/>
        <w:gridCol w:w="1091"/>
        <w:gridCol w:w="1091"/>
        <w:gridCol w:w="1018"/>
        <w:gridCol w:w="1140"/>
        <w:gridCol w:w="1059"/>
        <w:gridCol w:w="1018"/>
        <w:gridCol w:w="108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15300" w:type="dxa"/>
            <w:gridSpan w:val="12"/>
            <w:tcBorders>
              <w:top w:val="nil"/>
              <w:left w:val="nil"/>
              <w:bottom w:val="nil"/>
              <w:right w:val="nil"/>
            </w:tcBorders>
            <w:shd w:val="clear" w:color="auto" w:fill="FFFFFF" w:themeFill="background1"/>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部门：溆浦县教育局（本级）</w:t>
            </w: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FFFFFF" w:themeFill="background1"/>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8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20"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6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05" w:type="dxa"/>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55"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12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6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8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0" w:type="dxa"/>
            <w:gridSpan w:val="1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both"/>
        <w:rPr>
          <w:sz w:val="72"/>
          <w:szCs w:val="72"/>
        </w:rPr>
      </w:pPr>
    </w:p>
    <w:p>
      <w:pPr>
        <w:widowControl/>
        <w:jc w:val="both"/>
        <w:rPr>
          <w:sz w:val="72"/>
          <w:szCs w:val="72"/>
        </w:rPr>
      </w:pPr>
    </w:p>
    <w:p>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年度收、支总计14736.74万元。与上年相比，增加</w:t>
      </w:r>
      <w:r>
        <w:rPr>
          <w:rFonts w:hint="eastAsia" w:asciiTheme="minorEastAsia" w:hAnsiTheme="minorEastAsia" w:eastAsiaTheme="minorEastAsia"/>
          <w:sz w:val="32"/>
          <w:szCs w:val="32"/>
          <w:lang w:val="en-US" w:eastAsia="zh-CN"/>
        </w:rPr>
        <w:t>12185.75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477.69</w:t>
      </w:r>
      <w:r>
        <w:rPr>
          <w:rFonts w:hint="eastAsia" w:asciiTheme="minorEastAsia" w:hAnsiTheme="minorEastAsia" w:eastAsiaTheme="minorEastAsia"/>
          <w:sz w:val="32"/>
          <w:szCs w:val="32"/>
        </w:rPr>
        <w:t>%，主要是因为其他收入费用增加。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年度收入合计14736.74万元，其中：财政拨款收入14304.65万元，占</w:t>
      </w:r>
      <w:r>
        <w:rPr>
          <w:rFonts w:hint="eastAsia" w:asciiTheme="minorEastAsia" w:hAnsiTheme="minorEastAsia" w:eastAsiaTheme="minorEastAsia"/>
          <w:sz w:val="32"/>
          <w:szCs w:val="32"/>
          <w:lang w:val="en-US" w:eastAsia="zh-CN"/>
        </w:rPr>
        <w:t>97.07</w:t>
      </w:r>
      <w:r>
        <w:rPr>
          <w:rFonts w:hint="eastAsia" w:asciiTheme="minorEastAsia" w:hAnsiTheme="minorEastAsia" w:eastAsiaTheme="minorEastAsia"/>
          <w:sz w:val="32"/>
          <w:szCs w:val="32"/>
        </w:rPr>
        <w:t>%；上级补助收入0万元，附属单位上缴收入0万元，占0%；其他收入</w:t>
      </w:r>
      <w:r>
        <w:rPr>
          <w:rFonts w:hint="eastAsia" w:asciiTheme="minorEastAsia" w:hAnsiTheme="minorEastAsia" w:eastAsiaTheme="minorEastAsia"/>
          <w:sz w:val="32"/>
          <w:szCs w:val="32"/>
          <w:lang w:val="en-US" w:eastAsia="zh-CN"/>
        </w:rPr>
        <w:t>432.09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2.93</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年度支出合计14736.74万元，其中：基本支出6260.46万元，占</w:t>
      </w:r>
      <w:r>
        <w:rPr>
          <w:rFonts w:hint="eastAsia" w:asciiTheme="minorEastAsia" w:hAnsiTheme="minorEastAsia" w:eastAsiaTheme="minorEastAsia"/>
          <w:sz w:val="32"/>
          <w:szCs w:val="32"/>
          <w:lang w:val="en-US" w:eastAsia="zh-CN"/>
        </w:rPr>
        <w:t>42.48</w:t>
      </w:r>
      <w:r>
        <w:rPr>
          <w:rFonts w:hint="eastAsia" w:asciiTheme="minorEastAsia" w:hAnsiTheme="minorEastAsia" w:eastAsiaTheme="minorEastAsia"/>
          <w:sz w:val="32"/>
          <w:szCs w:val="32"/>
        </w:rPr>
        <w:t>%；项目支出8476.28万元，占</w:t>
      </w:r>
      <w:r>
        <w:rPr>
          <w:rFonts w:hint="eastAsia" w:asciiTheme="minorEastAsia" w:hAnsiTheme="minorEastAsia" w:eastAsiaTheme="minorEastAsia"/>
          <w:sz w:val="32"/>
          <w:szCs w:val="32"/>
          <w:lang w:val="en-US" w:eastAsia="zh-CN"/>
        </w:rPr>
        <w:t>57.52</w:t>
      </w:r>
      <w:r>
        <w:rPr>
          <w:rFonts w:hint="eastAsia" w:asciiTheme="minorEastAsia" w:hAnsiTheme="minorEastAsia" w:eastAsiaTheme="minorEastAsia"/>
          <w:sz w:val="32"/>
          <w:szCs w:val="32"/>
        </w:rPr>
        <w:t>%；上缴上级支出0万元，占0%；经营支出0万元，占0%；对附属单位补助支出0万元，占0%。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年度财政拨款收、支总计14304.65万元，与上年相比，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11904.17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495.91</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基本建设项目拨款增加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12334</w:t>
      </w:r>
      <w:r>
        <w:rPr>
          <w:rFonts w:hint="eastAsia" w:asciiTheme="minorEastAsia" w:hAnsiTheme="minorEastAsia" w:eastAsiaTheme="minorEastAsia"/>
          <w:sz w:val="32"/>
          <w:szCs w:val="32"/>
        </w:rPr>
        <w:t>.65万元，占本年支出合计的</w:t>
      </w:r>
      <w:r>
        <w:rPr>
          <w:rFonts w:hint="eastAsia" w:asciiTheme="minorEastAsia" w:hAnsiTheme="minorEastAsia" w:eastAsiaTheme="minorEastAsia"/>
          <w:sz w:val="32"/>
          <w:szCs w:val="32"/>
          <w:lang w:val="en-US" w:eastAsia="zh-CN"/>
        </w:rPr>
        <w:t>97.07</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增加了</w:t>
      </w:r>
      <w:r>
        <w:rPr>
          <w:rFonts w:hint="eastAsia" w:asciiTheme="minorEastAsia" w:hAnsiTheme="minorEastAsia" w:eastAsiaTheme="minorEastAsia"/>
          <w:sz w:val="32"/>
          <w:szCs w:val="32"/>
          <w:lang w:val="en-US" w:eastAsia="zh-CN"/>
        </w:rPr>
        <w:t>9977.56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423.29</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基本建设项目拨款支出增加。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年度财政拨款支出12334.65万元，主要用于以下方面：一般公共服务（类）支出2.4万元，占</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%；教育（类）支出12261.45万元，占</w:t>
      </w:r>
      <w:r>
        <w:rPr>
          <w:rFonts w:hint="eastAsia" w:asciiTheme="minorEastAsia" w:hAnsiTheme="minorEastAsia" w:eastAsiaTheme="minorEastAsia"/>
          <w:sz w:val="32"/>
          <w:szCs w:val="32"/>
          <w:lang w:val="en-US" w:eastAsia="zh-CN"/>
        </w:rPr>
        <w:t>99.41</w:t>
      </w:r>
      <w:r>
        <w:rPr>
          <w:rFonts w:hint="eastAsia" w:asciiTheme="minorEastAsia" w:hAnsiTheme="minorEastAsia" w:eastAsiaTheme="minorEastAsia"/>
          <w:sz w:val="32"/>
          <w:szCs w:val="32"/>
        </w:rPr>
        <w:t>%;社会保障和就业支出48.22万元，占</w:t>
      </w:r>
      <w:r>
        <w:rPr>
          <w:rFonts w:hint="eastAsia" w:asciiTheme="minorEastAsia" w:hAnsiTheme="minorEastAsia" w:eastAsiaTheme="minorEastAsia"/>
          <w:sz w:val="32"/>
          <w:szCs w:val="32"/>
          <w:lang w:val="en-US" w:eastAsia="zh-CN"/>
        </w:rPr>
        <w:t>0.39</w:t>
      </w:r>
      <w:r>
        <w:rPr>
          <w:rFonts w:hint="eastAsia" w:asciiTheme="minorEastAsia" w:hAnsiTheme="minorEastAsia" w:eastAsiaTheme="minorEastAsia"/>
          <w:sz w:val="32"/>
          <w:szCs w:val="32"/>
        </w:rPr>
        <w:t>%；卫生健康支出12.28万元，</w:t>
      </w:r>
      <w:r>
        <w:rPr>
          <w:rFonts w:hint="eastAsia" w:asciiTheme="minorEastAsia" w:hAnsiTheme="minorEastAsia" w:eastAsiaTheme="minorEastAsia"/>
          <w:sz w:val="32"/>
          <w:szCs w:val="32"/>
          <w:lang w:val="en-US" w:eastAsia="zh-CN"/>
        </w:rPr>
        <w:t>0.10</w:t>
      </w:r>
      <w:r>
        <w:rPr>
          <w:rFonts w:hint="eastAsia" w:asciiTheme="minorEastAsia" w:hAnsiTheme="minorEastAsia" w:eastAsiaTheme="minorEastAsia"/>
          <w:sz w:val="32"/>
          <w:szCs w:val="32"/>
        </w:rPr>
        <w:t>占%；</w:t>
      </w:r>
      <w:r>
        <w:rPr>
          <w:rFonts w:asciiTheme="minorEastAsia" w:hAnsiTheme="minorEastAsia" w:eastAsiaTheme="minorEastAsia"/>
          <w:sz w:val="32"/>
          <w:szCs w:val="32"/>
        </w:rPr>
        <w:t>住房保障支出</w:t>
      </w:r>
      <w:r>
        <w:rPr>
          <w:rFonts w:hint="eastAsia" w:asciiTheme="minorEastAsia" w:hAnsiTheme="minorEastAsia" w:eastAsiaTheme="minorEastAsia"/>
          <w:sz w:val="32"/>
          <w:szCs w:val="32"/>
        </w:rPr>
        <w:t>10.29</w:t>
      </w:r>
      <w:r>
        <w:rPr>
          <w:rFonts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0.08</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年度财政拨款支出年初预算数为</w:t>
      </w:r>
      <w:r>
        <w:rPr>
          <w:rFonts w:hint="eastAsia" w:asciiTheme="minorEastAsia" w:hAnsiTheme="minorEastAsia" w:eastAsiaTheme="minorEastAsia"/>
          <w:color w:val="auto"/>
          <w:sz w:val="32"/>
          <w:szCs w:val="32"/>
          <w:lang w:val="en-US" w:eastAsia="zh-CN"/>
        </w:rPr>
        <w:t>1658.13</w:t>
      </w:r>
      <w:r>
        <w:rPr>
          <w:rFonts w:hint="eastAsia" w:asciiTheme="minorEastAsia" w:hAnsiTheme="minorEastAsia" w:eastAsiaTheme="minorEastAsia"/>
          <w:color w:val="auto"/>
          <w:sz w:val="32"/>
          <w:szCs w:val="32"/>
        </w:rPr>
        <w:t>万元，支出决算数为12334.65万元，完成年初预算的</w:t>
      </w:r>
      <w:r>
        <w:rPr>
          <w:rFonts w:hint="eastAsia" w:asciiTheme="minorEastAsia" w:hAnsiTheme="minorEastAsia" w:eastAsiaTheme="minorEastAsia"/>
          <w:color w:val="auto"/>
          <w:sz w:val="32"/>
          <w:szCs w:val="32"/>
          <w:lang w:val="en-US" w:eastAsia="zh-CN"/>
        </w:rPr>
        <w:t>743.89</w:t>
      </w:r>
      <w:r>
        <w:rPr>
          <w:rFonts w:hint="eastAsia" w:asciiTheme="minorEastAsia" w:hAnsiTheme="minorEastAsia" w:eastAsiaTheme="minorEastAsia"/>
          <w:color w:val="auto"/>
          <w:sz w:val="32"/>
          <w:szCs w:val="32"/>
        </w:rPr>
        <w:t>%，其中：</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1、一般公共服务（类）（201）纪检监察事务（20111）行政运行（2011101）。</w:t>
      </w:r>
    </w:p>
    <w:p>
      <w:pPr>
        <w:pStyle w:val="9"/>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年初预算为0万元，支出决算为2.4万元，决算数大于年初预算数的主要原因是：纪委驻教育局纪检组临时增加办公经费。</w:t>
      </w:r>
    </w:p>
    <w:p>
      <w:pPr>
        <w:pStyle w:val="9"/>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）教育管理事务（20501）行政运行（</w:t>
      </w:r>
      <w:r>
        <w:rPr>
          <w:rFonts w:ascii="宋体" w:hAnsi="宋体" w:eastAsia="宋体" w:cs="宋体"/>
          <w:sz w:val="32"/>
          <w:szCs w:val="32"/>
        </w:rPr>
        <w:t>2050101</w:t>
      </w:r>
      <w:r>
        <w:rPr>
          <w:rFonts w:hint="eastAsia" w:ascii="宋体" w:hAnsi="宋体" w:eastAsia="宋体" w:cs="宋体"/>
          <w:sz w:val="32"/>
          <w:szCs w:val="32"/>
        </w:rPr>
        <w:t>）</w:t>
      </w:r>
    </w:p>
    <w:p>
      <w:pPr>
        <w:pStyle w:val="9"/>
        <w:ind w:firstLine="960" w:firstLineChars="3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万元，支出决算为1899.13万元，主要是增加</w:t>
      </w:r>
      <w:r>
        <w:rPr>
          <w:rFonts w:hint="eastAsia" w:ascii="宋体" w:hAnsi="宋体" w:eastAsia="宋体" w:cs="宋体"/>
          <w:sz w:val="32"/>
          <w:szCs w:val="32"/>
          <w:lang w:eastAsia="zh-CN"/>
        </w:rPr>
        <w:t>乡镇学校的基本建设费</w:t>
      </w:r>
      <w:r>
        <w:rPr>
          <w:rFonts w:hint="eastAsia" w:ascii="宋体" w:hAnsi="宋体" w:eastAsia="宋体" w:cs="宋体"/>
          <w:sz w:val="32"/>
          <w:szCs w:val="32"/>
        </w:rPr>
        <w:t>用。</w:t>
      </w:r>
    </w:p>
    <w:p>
      <w:pPr>
        <w:pStyle w:val="9"/>
        <w:numPr>
          <w:ilvl w:val="0"/>
          <w:numId w:val="3"/>
        </w:numPr>
        <w:ind w:firstLine="800"/>
        <w:rPr>
          <w:rFonts w:hint="eastAsia"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）教育管理事务（2050</w:t>
      </w:r>
      <w:r>
        <w:rPr>
          <w:rFonts w:hint="eastAsia" w:ascii="宋体" w:hAnsi="宋体" w:eastAsia="宋体" w:cs="宋体"/>
          <w:sz w:val="32"/>
          <w:szCs w:val="32"/>
          <w:lang w:val="en-US" w:eastAsia="zh-CN"/>
        </w:rPr>
        <w:t>1</w:t>
      </w:r>
      <w:r>
        <w:rPr>
          <w:rFonts w:hint="eastAsia" w:ascii="宋体" w:hAnsi="宋体" w:eastAsia="宋体" w:cs="宋体"/>
          <w:sz w:val="32"/>
          <w:szCs w:val="32"/>
        </w:rPr>
        <w:t>） 一般行政管理事务（</w:t>
      </w:r>
      <w:r>
        <w:rPr>
          <w:rFonts w:ascii="宋体" w:hAnsi="宋体" w:eastAsia="宋体" w:cs="宋体"/>
          <w:sz w:val="32"/>
          <w:szCs w:val="32"/>
        </w:rPr>
        <w:t>205010</w:t>
      </w:r>
      <w:r>
        <w:rPr>
          <w:rFonts w:hint="eastAsia" w:ascii="宋体" w:hAnsi="宋体" w:eastAsia="宋体" w:cs="宋体"/>
          <w:sz w:val="32"/>
          <w:szCs w:val="32"/>
          <w:lang w:val="en-US" w:eastAsia="zh-CN"/>
        </w:rPr>
        <w:t>2</w:t>
      </w:r>
      <w:r>
        <w:rPr>
          <w:rFonts w:hint="eastAsia" w:ascii="宋体" w:hAnsi="宋体" w:eastAsia="宋体" w:cs="宋体"/>
          <w:sz w:val="32"/>
          <w:szCs w:val="32"/>
        </w:rPr>
        <w:t>）</w:t>
      </w:r>
    </w:p>
    <w:p>
      <w:pPr>
        <w:pStyle w:val="9"/>
        <w:numPr>
          <w:ilvl w:val="0"/>
          <w:numId w:val="0"/>
        </w:numPr>
        <w:ind w:left="1050" w:leftChars="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万元，支出决算为170.26万元，主要是增加</w:t>
      </w:r>
      <w:r>
        <w:rPr>
          <w:rFonts w:hint="eastAsia" w:ascii="宋体" w:hAnsi="宋体" w:eastAsia="宋体" w:cs="宋体"/>
          <w:sz w:val="32"/>
          <w:szCs w:val="32"/>
          <w:lang w:eastAsia="zh-CN"/>
        </w:rPr>
        <w:t>乡镇学校的基本建设费</w:t>
      </w:r>
      <w:r>
        <w:rPr>
          <w:rFonts w:hint="eastAsia" w:ascii="宋体" w:hAnsi="宋体" w:eastAsia="宋体" w:cs="宋体"/>
          <w:sz w:val="32"/>
          <w:szCs w:val="32"/>
        </w:rPr>
        <w:t>用。</w:t>
      </w:r>
    </w:p>
    <w:p>
      <w:pPr>
        <w:pStyle w:val="9"/>
        <w:numPr>
          <w:ilvl w:val="0"/>
          <w:numId w:val="3"/>
        </w:numPr>
        <w:ind w:firstLine="800"/>
        <w:rPr>
          <w:rFonts w:hint="eastAsia" w:asciiTheme="minorEastAsia" w:hAnsiTheme="minorEastAsia" w:eastAsiaTheme="minorEastAsia"/>
          <w:color w:val="auto"/>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）教育管理事务（2050</w:t>
      </w:r>
      <w:r>
        <w:rPr>
          <w:rFonts w:hint="eastAsia" w:ascii="宋体" w:hAnsi="宋体" w:eastAsia="宋体" w:cs="宋体"/>
          <w:sz w:val="32"/>
          <w:szCs w:val="32"/>
          <w:lang w:val="en-US" w:eastAsia="zh-CN"/>
        </w:rPr>
        <w:t>1</w:t>
      </w:r>
      <w:r>
        <w:rPr>
          <w:rFonts w:hint="eastAsia" w:ascii="宋体" w:hAnsi="宋体" w:eastAsia="宋体" w:cs="宋体"/>
          <w:sz w:val="32"/>
          <w:szCs w:val="32"/>
        </w:rPr>
        <w:t>） 其他教育管理事务支出（2050199）</w:t>
      </w:r>
    </w:p>
    <w:p>
      <w:pPr>
        <w:pStyle w:val="9"/>
        <w:numPr>
          <w:ilvl w:val="0"/>
          <w:numId w:val="0"/>
        </w:numPr>
        <w:ind w:left="1050" w:leftChars="0"/>
        <w:rPr>
          <w:rFonts w:hint="eastAsia" w:asciiTheme="minorEastAsia" w:hAnsiTheme="minorEastAsia" w:eastAsiaTheme="minorEastAsia"/>
          <w:color w:val="auto"/>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万元，支出决算为1064.26万元，主要是增加</w:t>
      </w:r>
      <w:r>
        <w:rPr>
          <w:rFonts w:hint="eastAsia" w:ascii="宋体" w:hAnsi="宋体" w:eastAsia="宋体" w:cs="宋体"/>
          <w:sz w:val="32"/>
          <w:szCs w:val="32"/>
          <w:lang w:eastAsia="zh-CN"/>
        </w:rPr>
        <w:t>乡镇学校的基本建设费</w:t>
      </w:r>
      <w:r>
        <w:rPr>
          <w:rFonts w:hint="eastAsia" w:ascii="宋体" w:hAnsi="宋体" w:eastAsia="宋体" w:cs="宋体"/>
          <w:sz w:val="32"/>
          <w:szCs w:val="32"/>
        </w:rPr>
        <w:t>用。</w:t>
      </w:r>
    </w:p>
    <w:p>
      <w:pPr>
        <w:pStyle w:val="9"/>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）普通教育（2050</w:t>
      </w:r>
      <w:r>
        <w:rPr>
          <w:rFonts w:hint="eastAsia" w:ascii="宋体" w:hAnsi="宋体" w:eastAsia="宋体" w:cs="宋体"/>
          <w:sz w:val="32"/>
          <w:szCs w:val="32"/>
          <w:lang w:val="en-US" w:eastAsia="zh-CN"/>
        </w:rPr>
        <w:t>2</w:t>
      </w:r>
      <w:r>
        <w:rPr>
          <w:rFonts w:hint="eastAsia" w:ascii="宋体" w:hAnsi="宋体" w:eastAsia="宋体" w:cs="宋体"/>
          <w:sz w:val="32"/>
          <w:szCs w:val="32"/>
        </w:rPr>
        <w:t>）学前教育（</w:t>
      </w:r>
      <w:r>
        <w:rPr>
          <w:rFonts w:ascii="宋体" w:hAnsi="宋体" w:eastAsia="宋体" w:cs="宋体"/>
          <w:sz w:val="32"/>
          <w:szCs w:val="32"/>
        </w:rPr>
        <w:t>2050</w:t>
      </w:r>
      <w:r>
        <w:rPr>
          <w:rFonts w:hint="eastAsia" w:ascii="宋体" w:hAnsi="宋体" w:eastAsia="宋体" w:cs="宋体"/>
          <w:sz w:val="32"/>
          <w:szCs w:val="32"/>
          <w:lang w:val="en-US" w:eastAsia="zh-CN"/>
        </w:rPr>
        <w:t>2</w:t>
      </w:r>
      <w:r>
        <w:rPr>
          <w:rFonts w:ascii="宋体" w:hAnsi="宋体" w:eastAsia="宋体" w:cs="宋体"/>
          <w:sz w:val="32"/>
          <w:szCs w:val="32"/>
        </w:rPr>
        <w:t>01</w:t>
      </w:r>
      <w:r>
        <w:rPr>
          <w:rFonts w:hint="eastAsia" w:ascii="宋体" w:hAnsi="宋体" w:eastAsia="宋体" w:cs="宋体"/>
          <w:sz w:val="32"/>
          <w:szCs w:val="32"/>
        </w:rPr>
        <w:t>）</w:t>
      </w:r>
    </w:p>
    <w:p>
      <w:pPr>
        <w:pStyle w:val="9"/>
        <w:ind w:firstLine="960" w:firstLineChars="3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万元，支出决算为897.57万元，</w:t>
      </w:r>
      <w:r>
        <w:rPr>
          <w:rFonts w:hint="eastAsia" w:ascii="宋体" w:hAnsi="宋体" w:eastAsia="宋体" w:cs="宋体"/>
          <w:sz w:val="32"/>
          <w:szCs w:val="32"/>
          <w:lang w:eastAsia="zh-CN"/>
        </w:rPr>
        <w:t>主要要是用于学前教育家庭经济困难幼儿入园补助，及县幼儿园的基本建设开支。</w:t>
      </w:r>
    </w:p>
    <w:p>
      <w:pPr>
        <w:pStyle w:val="9"/>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）普通教育（2050</w:t>
      </w:r>
      <w:r>
        <w:rPr>
          <w:rFonts w:hint="eastAsia" w:ascii="宋体" w:hAnsi="宋体" w:eastAsia="宋体" w:cs="宋体"/>
          <w:sz w:val="32"/>
          <w:szCs w:val="32"/>
          <w:lang w:val="en-US" w:eastAsia="zh-CN"/>
        </w:rPr>
        <w:t>2</w:t>
      </w:r>
      <w:r>
        <w:rPr>
          <w:rFonts w:hint="eastAsia" w:ascii="宋体" w:hAnsi="宋体" w:eastAsia="宋体" w:cs="宋体"/>
          <w:sz w:val="32"/>
          <w:szCs w:val="32"/>
        </w:rPr>
        <w:t>）小学教育（</w:t>
      </w:r>
      <w:r>
        <w:rPr>
          <w:rFonts w:ascii="宋体" w:hAnsi="宋体" w:eastAsia="宋体" w:cs="宋体"/>
          <w:sz w:val="32"/>
          <w:szCs w:val="32"/>
        </w:rPr>
        <w:t>2050</w:t>
      </w:r>
      <w:r>
        <w:rPr>
          <w:rFonts w:hint="eastAsia" w:ascii="宋体" w:hAnsi="宋体" w:eastAsia="宋体" w:cs="宋体"/>
          <w:sz w:val="32"/>
          <w:szCs w:val="32"/>
          <w:lang w:val="en-US" w:eastAsia="zh-CN"/>
        </w:rPr>
        <w:t>2</w:t>
      </w:r>
      <w:r>
        <w:rPr>
          <w:rFonts w:ascii="宋体" w:hAnsi="宋体" w:eastAsia="宋体" w:cs="宋体"/>
          <w:sz w:val="32"/>
          <w:szCs w:val="32"/>
        </w:rPr>
        <w:t>0</w:t>
      </w:r>
      <w:r>
        <w:rPr>
          <w:rFonts w:hint="eastAsia" w:ascii="宋体" w:hAnsi="宋体" w:eastAsia="宋体" w:cs="宋体"/>
          <w:sz w:val="32"/>
          <w:szCs w:val="32"/>
          <w:lang w:val="en-US" w:eastAsia="zh-CN"/>
        </w:rPr>
        <w:t>2</w:t>
      </w:r>
      <w:r>
        <w:rPr>
          <w:rFonts w:hint="eastAsia" w:ascii="宋体" w:hAnsi="宋体" w:eastAsia="宋体" w:cs="宋体"/>
          <w:sz w:val="32"/>
          <w:szCs w:val="32"/>
        </w:rPr>
        <w:t>）</w:t>
      </w:r>
    </w:p>
    <w:p>
      <w:pPr>
        <w:pStyle w:val="9"/>
        <w:ind w:firstLine="960" w:firstLineChars="3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万元，支出决算为1625.73万元，</w:t>
      </w:r>
      <w:r>
        <w:rPr>
          <w:rFonts w:hint="eastAsia" w:ascii="宋体" w:hAnsi="宋体" w:eastAsia="宋体" w:cs="宋体"/>
          <w:sz w:val="32"/>
          <w:szCs w:val="32"/>
          <w:lang w:eastAsia="zh-CN"/>
        </w:rPr>
        <w:t>主要用于拨付三杰学校、苗苗学校公用经费及义务教育家庭经济困难学生生活补助等。</w:t>
      </w:r>
    </w:p>
    <w:p>
      <w:pPr>
        <w:pStyle w:val="9"/>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）普通教育（2050</w:t>
      </w:r>
      <w:r>
        <w:rPr>
          <w:rFonts w:hint="eastAsia" w:ascii="宋体" w:hAnsi="宋体" w:eastAsia="宋体" w:cs="宋体"/>
          <w:sz w:val="32"/>
          <w:szCs w:val="32"/>
          <w:lang w:val="en-US" w:eastAsia="zh-CN"/>
        </w:rPr>
        <w:t>2</w:t>
      </w:r>
      <w:r>
        <w:rPr>
          <w:rFonts w:hint="eastAsia" w:ascii="宋体" w:hAnsi="宋体" w:eastAsia="宋体" w:cs="宋体"/>
          <w:sz w:val="32"/>
          <w:szCs w:val="32"/>
        </w:rPr>
        <w:t>）初中教育（</w:t>
      </w:r>
      <w:r>
        <w:rPr>
          <w:rFonts w:ascii="宋体" w:hAnsi="宋体" w:eastAsia="宋体" w:cs="宋体"/>
          <w:sz w:val="32"/>
          <w:szCs w:val="32"/>
        </w:rPr>
        <w:t>2050</w:t>
      </w:r>
      <w:r>
        <w:rPr>
          <w:rFonts w:hint="eastAsia" w:ascii="宋体" w:hAnsi="宋体" w:eastAsia="宋体" w:cs="宋体"/>
          <w:sz w:val="32"/>
          <w:szCs w:val="32"/>
          <w:lang w:val="en-US" w:eastAsia="zh-CN"/>
        </w:rPr>
        <w:t>2</w:t>
      </w:r>
      <w:r>
        <w:rPr>
          <w:rFonts w:ascii="宋体" w:hAnsi="宋体" w:eastAsia="宋体" w:cs="宋体"/>
          <w:sz w:val="32"/>
          <w:szCs w:val="32"/>
        </w:rPr>
        <w:t>0</w:t>
      </w:r>
      <w:r>
        <w:rPr>
          <w:rFonts w:hint="eastAsia" w:ascii="宋体" w:hAnsi="宋体" w:eastAsia="宋体" w:cs="宋体"/>
          <w:sz w:val="32"/>
          <w:szCs w:val="32"/>
          <w:lang w:val="en-US" w:eastAsia="zh-CN"/>
        </w:rPr>
        <w:t>3</w:t>
      </w:r>
      <w:r>
        <w:rPr>
          <w:rFonts w:hint="eastAsia" w:ascii="宋体" w:hAnsi="宋体" w:eastAsia="宋体" w:cs="宋体"/>
          <w:sz w:val="32"/>
          <w:szCs w:val="32"/>
        </w:rPr>
        <w:t>）</w:t>
      </w:r>
    </w:p>
    <w:p>
      <w:pPr>
        <w:pStyle w:val="9"/>
        <w:ind w:firstLine="960" w:firstLineChars="3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万元，支出决算为482.4万元，</w:t>
      </w:r>
      <w:r>
        <w:rPr>
          <w:rFonts w:hint="eastAsia" w:ascii="宋体" w:hAnsi="宋体" w:eastAsia="宋体" w:cs="宋体"/>
          <w:sz w:val="32"/>
          <w:szCs w:val="32"/>
          <w:lang w:eastAsia="zh-CN"/>
        </w:rPr>
        <w:t>主要用于鸿志中学公用经费、雅堂芙蓉学校配电工程等相关费用。</w:t>
      </w:r>
    </w:p>
    <w:p>
      <w:pPr>
        <w:pStyle w:val="9"/>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）普通教育（2050</w:t>
      </w:r>
      <w:r>
        <w:rPr>
          <w:rFonts w:hint="eastAsia" w:ascii="宋体" w:hAnsi="宋体" w:eastAsia="宋体" w:cs="宋体"/>
          <w:sz w:val="32"/>
          <w:szCs w:val="32"/>
          <w:lang w:val="en-US" w:eastAsia="zh-CN"/>
        </w:rPr>
        <w:t>2</w:t>
      </w:r>
      <w:r>
        <w:rPr>
          <w:rFonts w:hint="eastAsia" w:ascii="宋体" w:hAnsi="宋体" w:eastAsia="宋体" w:cs="宋体"/>
          <w:sz w:val="32"/>
          <w:szCs w:val="32"/>
        </w:rPr>
        <w:t>）高中教育（</w:t>
      </w:r>
      <w:r>
        <w:rPr>
          <w:rFonts w:ascii="宋体" w:hAnsi="宋体" w:eastAsia="宋体" w:cs="宋体"/>
          <w:sz w:val="32"/>
          <w:szCs w:val="32"/>
        </w:rPr>
        <w:t>2050</w:t>
      </w:r>
      <w:r>
        <w:rPr>
          <w:rFonts w:hint="eastAsia" w:ascii="宋体" w:hAnsi="宋体" w:eastAsia="宋体" w:cs="宋体"/>
          <w:sz w:val="32"/>
          <w:szCs w:val="32"/>
          <w:lang w:val="en-US" w:eastAsia="zh-CN"/>
        </w:rPr>
        <w:t>2</w:t>
      </w:r>
      <w:r>
        <w:rPr>
          <w:rFonts w:ascii="宋体" w:hAnsi="宋体" w:eastAsia="宋体" w:cs="宋体"/>
          <w:sz w:val="32"/>
          <w:szCs w:val="32"/>
        </w:rPr>
        <w:t>0</w:t>
      </w:r>
      <w:r>
        <w:rPr>
          <w:rFonts w:hint="eastAsia" w:ascii="宋体" w:hAnsi="宋体" w:eastAsia="宋体" w:cs="宋体"/>
          <w:sz w:val="32"/>
          <w:szCs w:val="32"/>
          <w:lang w:val="en-US" w:eastAsia="zh-CN"/>
        </w:rPr>
        <w:t>4</w:t>
      </w:r>
      <w:r>
        <w:rPr>
          <w:rFonts w:hint="eastAsia" w:ascii="宋体" w:hAnsi="宋体" w:eastAsia="宋体" w:cs="宋体"/>
          <w:sz w:val="32"/>
          <w:szCs w:val="32"/>
        </w:rPr>
        <w:t>）</w:t>
      </w:r>
    </w:p>
    <w:p>
      <w:pPr>
        <w:pStyle w:val="9"/>
        <w:ind w:firstLine="960" w:firstLineChars="3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万元，支出决算为525.51万元，</w:t>
      </w:r>
      <w:r>
        <w:rPr>
          <w:rFonts w:hint="eastAsia" w:ascii="宋体" w:hAnsi="宋体" w:eastAsia="宋体" w:cs="宋体"/>
          <w:sz w:val="32"/>
          <w:szCs w:val="32"/>
          <w:lang w:eastAsia="zh-CN"/>
        </w:rPr>
        <w:t>主要用于楚才学校、凯文学校及非义务学校公用经费、免学费、免教科书、助学金等相关费用的拨款。</w:t>
      </w:r>
    </w:p>
    <w:p>
      <w:pPr>
        <w:pStyle w:val="9"/>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）普通教育（2050</w:t>
      </w:r>
      <w:r>
        <w:rPr>
          <w:rFonts w:hint="eastAsia" w:ascii="宋体" w:hAnsi="宋体" w:eastAsia="宋体" w:cs="宋体"/>
          <w:sz w:val="32"/>
          <w:szCs w:val="32"/>
          <w:lang w:val="en-US" w:eastAsia="zh-CN"/>
        </w:rPr>
        <w:t>2</w:t>
      </w:r>
      <w:r>
        <w:rPr>
          <w:rFonts w:hint="eastAsia" w:ascii="宋体" w:hAnsi="宋体" w:eastAsia="宋体" w:cs="宋体"/>
          <w:sz w:val="32"/>
          <w:szCs w:val="32"/>
        </w:rPr>
        <w:t>） 高等教育（</w:t>
      </w:r>
      <w:r>
        <w:rPr>
          <w:rFonts w:ascii="宋体" w:hAnsi="宋体" w:eastAsia="宋体" w:cs="宋体"/>
          <w:sz w:val="32"/>
          <w:szCs w:val="32"/>
        </w:rPr>
        <w:t>2050</w:t>
      </w:r>
      <w:r>
        <w:rPr>
          <w:rFonts w:hint="eastAsia" w:ascii="宋体" w:hAnsi="宋体" w:eastAsia="宋体" w:cs="宋体"/>
          <w:sz w:val="32"/>
          <w:szCs w:val="32"/>
          <w:lang w:val="en-US" w:eastAsia="zh-CN"/>
        </w:rPr>
        <w:t>2</w:t>
      </w:r>
      <w:r>
        <w:rPr>
          <w:rFonts w:ascii="宋体" w:hAnsi="宋体" w:eastAsia="宋体" w:cs="宋体"/>
          <w:sz w:val="32"/>
          <w:szCs w:val="32"/>
        </w:rPr>
        <w:t>0</w:t>
      </w:r>
      <w:r>
        <w:rPr>
          <w:rFonts w:hint="eastAsia" w:ascii="宋体" w:hAnsi="宋体" w:eastAsia="宋体" w:cs="宋体"/>
          <w:sz w:val="32"/>
          <w:szCs w:val="32"/>
          <w:lang w:val="en-US" w:eastAsia="zh-CN"/>
        </w:rPr>
        <w:t>5</w:t>
      </w:r>
      <w:r>
        <w:rPr>
          <w:rFonts w:hint="eastAsia" w:ascii="宋体" w:hAnsi="宋体" w:eastAsia="宋体" w:cs="宋体"/>
          <w:sz w:val="32"/>
          <w:szCs w:val="32"/>
        </w:rPr>
        <w:t>）</w:t>
      </w:r>
    </w:p>
    <w:p>
      <w:pPr>
        <w:pStyle w:val="9"/>
        <w:ind w:firstLine="960" w:firstLineChars="300"/>
        <w:rPr>
          <w:rFonts w:hint="eastAsia" w:asciiTheme="minorEastAsia" w:hAnsiTheme="minorEastAsia" w:eastAsiaTheme="minorEastAsia"/>
          <w:color w:val="auto"/>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万元，支出决算为112万元，完成年初预算的130.22</w:t>
      </w:r>
      <w:r>
        <w:rPr>
          <w:rFonts w:ascii="宋体" w:hAnsi="宋体" w:eastAsia="宋体" w:cs="宋体"/>
          <w:sz w:val="32"/>
          <w:szCs w:val="32"/>
        </w:rPr>
        <w:t>%</w:t>
      </w:r>
      <w:r>
        <w:rPr>
          <w:rFonts w:hint="eastAsia" w:ascii="宋体" w:hAnsi="宋体" w:eastAsia="宋体" w:cs="宋体"/>
          <w:sz w:val="32"/>
          <w:szCs w:val="32"/>
        </w:rPr>
        <w:t>。主要是临时增加专用材料费用。</w:t>
      </w:r>
    </w:p>
    <w:p>
      <w:pPr>
        <w:pStyle w:val="9"/>
        <w:numPr>
          <w:ilvl w:val="0"/>
          <w:numId w:val="3"/>
        </w:numPr>
        <w:ind w:firstLine="800"/>
        <w:rPr>
          <w:rFonts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）普通教育（2050</w:t>
      </w:r>
      <w:r>
        <w:rPr>
          <w:rFonts w:hint="eastAsia" w:ascii="宋体" w:hAnsi="宋体" w:eastAsia="宋体" w:cs="宋体"/>
          <w:sz w:val="32"/>
          <w:szCs w:val="32"/>
          <w:lang w:val="en-US" w:eastAsia="zh-CN"/>
        </w:rPr>
        <w:t>2</w:t>
      </w:r>
      <w:r>
        <w:rPr>
          <w:rFonts w:hint="eastAsia" w:ascii="宋体" w:hAnsi="宋体" w:eastAsia="宋体" w:cs="宋体"/>
          <w:sz w:val="32"/>
          <w:szCs w:val="32"/>
        </w:rPr>
        <w:t>）其他普通教育支出（2050299）</w:t>
      </w:r>
    </w:p>
    <w:p>
      <w:pPr>
        <w:pStyle w:val="9"/>
        <w:ind w:firstLine="960" w:firstLineChars="300"/>
        <w:rPr>
          <w:rFonts w:hint="eastAsia" w:eastAsia="宋体" w:asciiTheme="minorEastAsia" w:hAnsiTheme="minorEastAsia"/>
          <w:color w:val="auto"/>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万元，支出决算为2928.9万元，</w:t>
      </w:r>
      <w:r>
        <w:rPr>
          <w:rFonts w:hint="eastAsia" w:ascii="宋体" w:hAnsi="宋体" w:eastAsia="宋体" w:cs="宋体"/>
          <w:sz w:val="32"/>
          <w:szCs w:val="32"/>
          <w:lang w:eastAsia="zh-CN"/>
        </w:rPr>
        <w:t>主要用于乡村教师生活补助、校车奖补资金、雅堂芙蓉学校农民工工资性支出。</w:t>
      </w:r>
    </w:p>
    <w:p>
      <w:pPr>
        <w:pStyle w:val="9"/>
        <w:numPr>
          <w:ilvl w:val="0"/>
          <w:numId w:val="3"/>
        </w:numPr>
        <w:ind w:firstLine="800"/>
        <w:rPr>
          <w:rFonts w:hint="eastAsia" w:ascii="宋体" w:hAnsi="宋体" w:eastAsia="宋体" w:cs="宋体"/>
          <w:sz w:val="32"/>
          <w:szCs w:val="32"/>
        </w:rPr>
      </w:pPr>
      <w:r>
        <w:rPr>
          <w:rFonts w:hint="eastAsia" w:ascii="宋体" w:hAnsi="宋体" w:eastAsia="宋体" w:cs="宋体"/>
          <w:sz w:val="32"/>
          <w:szCs w:val="32"/>
        </w:rPr>
        <w:t>教育支出（</w:t>
      </w:r>
      <w:r>
        <w:rPr>
          <w:rFonts w:ascii="宋体" w:hAnsi="宋体" w:eastAsia="宋体" w:cs="宋体"/>
          <w:sz w:val="32"/>
          <w:szCs w:val="32"/>
        </w:rPr>
        <w:t>205</w:t>
      </w:r>
      <w:r>
        <w:rPr>
          <w:rFonts w:hint="eastAsia" w:ascii="宋体" w:hAnsi="宋体" w:eastAsia="宋体" w:cs="宋体"/>
          <w:sz w:val="32"/>
          <w:szCs w:val="32"/>
        </w:rPr>
        <w:t xml:space="preserve">）其他教育支出（20599） 其他教育支出（2059999） </w:t>
      </w:r>
    </w:p>
    <w:p>
      <w:pPr>
        <w:pStyle w:val="9"/>
        <w:numPr>
          <w:ilvl w:val="0"/>
          <w:numId w:val="0"/>
        </w:numPr>
        <w:ind w:firstLine="960" w:firstLineChars="3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万元，支出决算为2555.68万元，</w:t>
      </w:r>
      <w:r>
        <w:rPr>
          <w:rFonts w:hint="eastAsia" w:ascii="宋体" w:hAnsi="宋体" w:eastAsia="宋体" w:cs="宋体"/>
          <w:sz w:val="32"/>
          <w:szCs w:val="32"/>
          <w:lang w:eastAsia="zh-CN"/>
        </w:rPr>
        <w:t>主要用于圣达学校工程款、二三幼儿园设备款等。</w:t>
      </w:r>
    </w:p>
    <w:p>
      <w:pPr>
        <w:pStyle w:val="9"/>
        <w:ind w:firstLine="1120" w:firstLineChars="350"/>
        <w:rPr>
          <w:rFonts w:ascii="宋体" w:hAnsi="宋体" w:eastAsia="宋体" w:cs="Times New Roman"/>
          <w:sz w:val="32"/>
          <w:szCs w:val="32"/>
        </w:rPr>
      </w:pPr>
      <w:r>
        <w:rPr>
          <w:rFonts w:hint="eastAsia" w:ascii="宋体" w:hAnsi="宋体" w:eastAsia="宋体" w:cs="宋体"/>
          <w:sz w:val="32"/>
          <w:szCs w:val="32"/>
          <w:lang w:val="en-US" w:eastAsia="zh-CN"/>
        </w:rPr>
        <w:t>12</w:t>
      </w:r>
      <w:r>
        <w:rPr>
          <w:rFonts w:hint="eastAsia" w:ascii="宋体" w:hAnsi="宋体" w:eastAsia="宋体" w:cs="宋体"/>
          <w:sz w:val="32"/>
          <w:szCs w:val="32"/>
        </w:rPr>
        <w:t>、社会保障和就业支出（</w:t>
      </w:r>
      <w:r>
        <w:rPr>
          <w:rFonts w:ascii="宋体" w:hAnsi="宋体" w:eastAsia="宋体" w:cs="宋体"/>
          <w:sz w:val="32"/>
          <w:szCs w:val="32"/>
        </w:rPr>
        <w:t>208</w:t>
      </w:r>
      <w:r>
        <w:rPr>
          <w:rFonts w:hint="eastAsia" w:ascii="宋体" w:hAnsi="宋体" w:eastAsia="宋体" w:cs="宋体"/>
          <w:sz w:val="32"/>
          <w:szCs w:val="32"/>
        </w:rPr>
        <w:t>）行政事业单位养老支出（20805）机关事业单位基本养老保险缴费支出（2080505）。</w:t>
      </w:r>
    </w:p>
    <w:p>
      <w:pPr>
        <w:pStyle w:val="9"/>
        <w:ind w:firstLine="960" w:firstLineChars="300"/>
        <w:rPr>
          <w:rFonts w:hint="eastAsia" w:ascii="宋体" w:hAnsi="宋体" w:eastAsia="宋体" w:cs="宋体"/>
          <w:sz w:val="32"/>
          <w:szCs w:val="32"/>
          <w:lang w:eastAsia="zh-CN"/>
        </w:rPr>
      </w:pPr>
      <w:r>
        <w:rPr>
          <w:rFonts w:hint="eastAsia" w:ascii="宋体" w:hAnsi="宋体" w:eastAsia="宋体" w:cs="宋体"/>
          <w:sz w:val="32"/>
          <w:szCs w:val="32"/>
        </w:rPr>
        <w:t>支出决算为23.1万元，</w:t>
      </w:r>
      <w:r>
        <w:rPr>
          <w:rFonts w:hint="eastAsia" w:asciiTheme="minorEastAsia" w:hAnsiTheme="minorEastAsia" w:eastAsiaTheme="minorEastAsia"/>
          <w:sz w:val="32"/>
          <w:szCs w:val="32"/>
        </w:rPr>
        <w:t>决算数大于年初预算数</w:t>
      </w:r>
      <w:r>
        <w:rPr>
          <w:rFonts w:hint="eastAsia" w:ascii="宋体" w:hAnsi="宋体" w:eastAsia="宋体" w:cs="宋体"/>
          <w:sz w:val="32"/>
          <w:szCs w:val="32"/>
        </w:rPr>
        <w:t>主要原因是预算依上年度实际支出数为基础，与本年度实际支出相差较大。</w:t>
      </w:r>
    </w:p>
    <w:p>
      <w:pPr>
        <w:pStyle w:val="9"/>
        <w:ind w:firstLine="1120" w:firstLineChars="350"/>
        <w:rPr>
          <w:rFonts w:ascii="宋体" w:hAnsi="宋体" w:eastAsia="宋体" w:cs="Times New Roman"/>
          <w:sz w:val="32"/>
          <w:szCs w:val="32"/>
        </w:rPr>
      </w:pPr>
      <w:r>
        <w:rPr>
          <w:rFonts w:hint="eastAsia" w:ascii="宋体" w:hAnsi="宋体" w:eastAsia="宋体" w:cs="宋体"/>
          <w:sz w:val="32"/>
          <w:szCs w:val="32"/>
          <w:lang w:val="en-US" w:eastAsia="zh-CN"/>
        </w:rPr>
        <w:t>13</w:t>
      </w:r>
      <w:r>
        <w:rPr>
          <w:rFonts w:hint="eastAsia" w:ascii="宋体" w:hAnsi="宋体" w:eastAsia="宋体" w:cs="宋体"/>
          <w:sz w:val="32"/>
          <w:szCs w:val="32"/>
        </w:rPr>
        <w:t>、社会保障和就业支出（</w:t>
      </w:r>
      <w:r>
        <w:rPr>
          <w:rFonts w:ascii="宋体" w:hAnsi="宋体" w:eastAsia="宋体" w:cs="宋体"/>
          <w:sz w:val="32"/>
          <w:szCs w:val="32"/>
        </w:rPr>
        <w:t>208</w:t>
      </w:r>
      <w:r>
        <w:rPr>
          <w:rFonts w:hint="eastAsia" w:ascii="宋体" w:hAnsi="宋体" w:eastAsia="宋体" w:cs="宋体"/>
          <w:sz w:val="32"/>
          <w:szCs w:val="32"/>
        </w:rPr>
        <w:t>）抚恤（20808）死亡抚恤（</w:t>
      </w:r>
      <w:r>
        <w:rPr>
          <w:rFonts w:ascii="宋体" w:hAnsi="宋体" w:eastAsia="宋体" w:cs="宋体"/>
          <w:sz w:val="32"/>
          <w:szCs w:val="32"/>
        </w:rPr>
        <w:t>2080801</w:t>
      </w:r>
      <w:r>
        <w:rPr>
          <w:rFonts w:hint="eastAsia" w:ascii="宋体" w:hAnsi="宋体" w:eastAsia="宋体" w:cs="宋体"/>
          <w:sz w:val="32"/>
          <w:szCs w:val="32"/>
        </w:rPr>
        <w:t>）。</w:t>
      </w:r>
    </w:p>
    <w:p>
      <w:pPr>
        <w:pStyle w:val="9"/>
        <w:ind w:firstLine="960" w:firstLineChars="300"/>
        <w:rPr>
          <w:rFonts w:ascii="宋体" w:hAnsi="宋体" w:eastAsia="宋体" w:cs="宋体"/>
          <w:sz w:val="32"/>
          <w:szCs w:val="32"/>
        </w:rPr>
      </w:pPr>
      <w:r>
        <w:rPr>
          <w:rFonts w:hint="eastAsia" w:ascii="宋体" w:hAnsi="宋体" w:eastAsia="宋体" w:cs="宋体"/>
          <w:sz w:val="32"/>
          <w:szCs w:val="32"/>
        </w:rPr>
        <w:t>支出决算为25.12万元，</w:t>
      </w:r>
      <w:r>
        <w:rPr>
          <w:rFonts w:hint="eastAsia" w:asciiTheme="minorEastAsia" w:hAnsiTheme="minorEastAsia" w:eastAsiaTheme="minorEastAsia"/>
          <w:sz w:val="32"/>
          <w:szCs w:val="32"/>
        </w:rPr>
        <w:t>决算数大于年初预算数</w:t>
      </w:r>
      <w:r>
        <w:rPr>
          <w:rFonts w:hint="eastAsia" w:ascii="宋体" w:hAnsi="宋体" w:eastAsia="宋体" w:cs="宋体"/>
          <w:sz w:val="32"/>
          <w:szCs w:val="32"/>
        </w:rPr>
        <w:t>主要原因是预算依上年度实际支出数为基础，与本年度实际支出相差较大。</w:t>
      </w:r>
    </w:p>
    <w:p>
      <w:pPr>
        <w:pStyle w:val="9"/>
        <w:ind w:firstLine="1280" w:firstLineChars="400"/>
        <w:rPr>
          <w:rFonts w:ascii="宋体" w:hAnsi="宋体" w:eastAsia="宋体" w:cs="宋体"/>
          <w:sz w:val="32"/>
          <w:szCs w:val="32"/>
        </w:rPr>
      </w:pPr>
      <w:r>
        <w:rPr>
          <w:rFonts w:hint="eastAsia" w:ascii="宋体" w:hAnsi="宋体" w:eastAsia="宋体" w:cs="宋体"/>
          <w:sz w:val="32"/>
          <w:szCs w:val="32"/>
          <w:lang w:val="en-US" w:eastAsia="zh-CN"/>
        </w:rPr>
        <w:t>14</w:t>
      </w:r>
      <w:r>
        <w:rPr>
          <w:rFonts w:hint="eastAsia" w:ascii="宋体" w:hAnsi="宋体" w:eastAsia="宋体" w:cs="宋体"/>
          <w:sz w:val="32"/>
          <w:szCs w:val="32"/>
        </w:rPr>
        <w:t>、卫生健康支出（210）行政事业单位医疗（21011）行政单位医疗（2101101）</w:t>
      </w:r>
    </w:p>
    <w:p>
      <w:pPr>
        <w:pStyle w:val="9"/>
        <w:ind w:firstLine="960" w:firstLineChars="300"/>
        <w:rPr>
          <w:rFonts w:ascii="宋体" w:hAnsi="宋体" w:eastAsia="宋体" w:cs="宋体"/>
          <w:sz w:val="32"/>
          <w:szCs w:val="32"/>
        </w:rPr>
      </w:pP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12.18</w:t>
      </w:r>
      <w:r>
        <w:rPr>
          <w:rFonts w:hint="eastAsia" w:asciiTheme="minorEastAsia" w:hAnsiTheme="minorEastAsia" w:eastAsiaTheme="minorEastAsia"/>
          <w:sz w:val="32"/>
          <w:szCs w:val="32"/>
        </w:rPr>
        <w:t>万元，决算数大于年初预算数</w:t>
      </w:r>
      <w:r>
        <w:rPr>
          <w:rFonts w:hint="eastAsia" w:ascii="宋体" w:hAnsi="宋体" w:eastAsia="宋体" w:cs="宋体"/>
          <w:sz w:val="32"/>
          <w:szCs w:val="32"/>
        </w:rPr>
        <w:t>主要原因是预算依上年度实际支出数为基础，与本年度实际支出相差较大。</w:t>
      </w:r>
    </w:p>
    <w:p>
      <w:pPr>
        <w:pStyle w:val="9"/>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、住房保障支出（221）住房改革支出（22102）住房公积金（2210201）</w:t>
      </w:r>
    </w:p>
    <w:p>
      <w:pPr>
        <w:pStyle w:val="9"/>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支出决算为10.29万元，决算数大于年初预算数的主要原因是：财政配套的住房公积金没有纳入财政年初预算。</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年度财政拨款基本支出5828.37万元，其中：</w:t>
      </w:r>
    </w:p>
    <w:p>
      <w:pPr>
        <w:pStyle w:val="9"/>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Theme="minorEastAsia" w:hAnsiTheme="minorEastAsia" w:eastAsiaTheme="minorEastAsia"/>
          <w:color w:val="auto"/>
          <w:sz w:val="32"/>
          <w:szCs w:val="32"/>
        </w:rPr>
        <w:t>人员经费5134.39万元，占基本支出的</w:t>
      </w:r>
      <w:r>
        <w:rPr>
          <w:rFonts w:hint="eastAsia" w:asciiTheme="minorEastAsia" w:hAnsiTheme="minorEastAsia" w:eastAsiaTheme="minorEastAsia"/>
          <w:color w:val="auto"/>
          <w:sz w:val="32"/>
          <w:szCs w:val="32"/>
          <w:lang w:val="en-US" w:eastAsia="zh-CN"/>
        </w:rPr>
        <w:t>88.09</w:t>
      </w:r>
      <w:r>
        <w:rPr>
          <w:rFonts w:hint="eastAsia" w:asciiTheme="minorEastAsia" w:hAnsiTheme="minorEastAsia" w:eastAsiaTheme="minorEastAsia"/>
          <w:color w:val="auto"/>
          <w:sz w:val="32"/>
          <w:szCs w:val="32"/>
        </w:rPr>
        <w:t>%,</w:t>
      </w:r>
      <w:r>
        <w:rPr>
          <w:rFonts w:hint="eastAsia" w:ascii="宋体" w:hAnsi="宋体" w:eastAsia="宋体" w:cs="宋体"/>
          <w:color w:val="auto"/>
          <w:sz w:val="32"/>
          <w:szCs w:val="32"/>
        </w:rPr>
        <w:t>主要包括基本工资</w:t>
      </w:r>
      <w:r>
        <w:rPr>
          <w:rFonts w:hint="eastAsia" w:ascii="宋体" w:hAnsi="宋体" w:eastAsia="宋体" w:cs="宋体"/>
          <w:color w:val="auto"/>
          <w:sz w:val="32"/>
          <w:szCs w:val="32"/>
          <w:lang w:val="en-US" w:eastAsia="zh-CN"/>
        </w:rPr>
        <w:t>730.33万元</w:t>
      </w:r>
      <w:r>
        <w:rPr>
          <w:rFonts w:hint="eastAsia" w:ascii="宋体" w:hAnsi="宋体" w:eastAsia="宋体" w:cs="宋体"/>
          <w:color w:val="auto"/>
          <w:sz w:val="32"/>
          <w:szCs w:val="32"/>
        </w:rPr>
        <w:t>、津贴补贴</w:t>
      </w:r>
      <w:r>
        <w:rPr>
          <w:rFonts w:hint="eastAsia" w:ascii="宋体" w:hAnsi="宋体" w:eastAsia="宋体" w:cs="宋体"/>
          <w:color w:val="auto"/>
          <w:sz w:val="32"/>
          <w:szCs w:val="32"/>
          <w:lang w:val="en-US" w:eastAsia="zh-CN"/>
        </w:rPr>
        <w:t>257.19万元</w:t>
      </w:r>
      <w:r>
        <w:rPr>
          <w:rFonts w:hint="eastAsia" w:ascii="宋体" w:hAnsi="宋体" w:eastAsia="宋体" w:cs="宋体"/>
          <w:color w:val="auto"/>
          <w:sz w:val="32"/>
          <w:szCs w:val="32"/>
        </w:rPr>
        <w:t>、</w:t>
      </w:r>
      <w:r>
        <w:rPr>
          <w:rFonts w:hint="eastAsia" w:ascii="宋体" w:hAnsi="宋体" w:eastAsia="宋体" w:cs="宋体"/>
          <w:color w:val="000000" w:themeColor="text1"/>
          <w:sz w:val="32"/>
          <w:szCs w:val="32"/>
          <w14:textFill>
            <w14:solidFill>
              <w14:schemeClr w14:val="tx1"/>
            </w14:solidFill>
          </w14:textFill>
        </w:rPr>
        <w:t>奖金</w:t>
      </w:r>
      <w:r>
        <w:rPr>
          <w:rFonts w:hint="eastAsia" w:ascii="宋体" w:hAnsi="宋体" w:eastAsia="宋体" w:cs="宋体"/>
          <w:color w:val="000000" w:themeColor="text1"/>
          <w:sz w:val="32"/>
          <w:szCs w:val="32"/>
          <w:lang w:val="en-US" w:eastAsia="zh-CN"/>
          <w14:textFill>
            <w14:solidFill>
              <w14:schemeClr w14:val="tx1"/>
            </w14:solidFill>
          </w14:textFill>
        </w:rPr>
        <w:t>12.96万元</w:t>
      </w:r>
      <w:r>
        <w:rPr>
          <w:rFonts w:hint="eastAsia" w:ascii="宋体" w:hAnsi="宋体" w:eastAsia="宋体" w:cs="宋体"/>
          <w:color w:val="000000" w:themeColor="text1"/>
          <w:sz w:val="32"/>
          <w:szCs w:val="32"/>
          <w14:textFill>
            <w14:solidFill>
              <w14:schemeClr w14:val="tx1"/>
            </w14:solidFill>
          </w14:textFill>
        </w:rPr>
        <w:t>、伙食补助费30.72</w:t>
      </w:r>
      <w:r>
        <w:rPr>
          <w:rFonts w:hint="eastAsia" w:ascii="宋体" w:hAnsi="宋体" w:eastAsia="宋体" w:cs="宋体"/>
          <w:color w:val="000000" w:themeColor="text1"/>
          <w:sz w:val="32"/>
          <w:szCs w:val="32"/>
          <w:lang w:eastAsia="zh-CN"/>
          <w14:textFill>
            <w14:solidFill>
              <w14:schemeClr w14:val="tx1"/>
            </w14:solidFill>
          </w14:textFill>
        </w:rPr>
        <w:t>万元、绩效工资151.03万元、机关事业单位基本养老保险缴费</w:t>
      </w:r>
      <w:r>
        <w:rPr>
          <w:rFonts w:hint="eastAsia" w:ascii="宋体" w:hAnsi="宋体" w:eastAsia="宋体" w:cs="宋体"/>
          <w:color w:val="000000" w:themeColor="text1"/>
          <w:sz w:val="32"/>
          <w:szCs w:val="32"/>
          <w:lang w:val="en-US" w:eastAsia="zh-CN"/>
          <w14:textFill>
            <w14:solidFill>
              <w14:schemeClr w14:val="tx1"/>
            </w14:solidFill>
          </w14:textFill>
        </w:rPr>
        <w:t>144.95万元、职工</w:t>
      </w:r>
      <w:r>
        <w:rPr>
          <w:rFonts w:hint="eastAsia" w:ascii="宋体" w:hAnsi="宋体" w:eastAsia="宋体" w:cs="宋体"/>
          <w:color w:val="000000" w:themeColor="text1"/>
          <w:sz w:val="32"/>
          <w:szCs w:val="32"/>
          <w14:textFill>
            <w14:solidFill>
              <w14:schemeClr w14:val="tx1"/>
            </w14:solidFill>
          </w14:textFill>
        </w:rPr>
        <w:t>基本养老缴费</w:t>
      </w:r>
      <w:r>
        <w:rPr>
          <w:rFonts w:hint="eastAsia" w:ascii="宋体" w:hAnsi="宋体" w:eastAsia="宋体" w:cs="宋体"/>
          <w:color w:val="000000" w:themeColor="text1"/>
          <w:sz w:val="32"/>
          <w:szCs w:val="32"/>
          <w:lang w:val="en-US" w:eastAsia="zh-CN"/>
          <w14:textFill>
            <w14:solidFill>
              <w14:schemeClr w14:val="tx1"/>
            </w14:solidFill>
          </w14:textFill>
        </w:rPr>
        <w:t>0万元</w:t>
      </w:r>
      <w:r>
        <w:rPr>
          <w:rFonts w:hint="eastAsia" w:ascii="宋体" w:hAnsi="宋体" w:eastAsia="宋体" w:cs="宋体"/>
          <w:color w:val="000000" w:themeColor="text1"/>
          <w:sz w:val="32"/>
          <w:szCs w:val="32"/>
          <w14:textFill>
            <w14:solidFill>
              <w14:schemeClr w14:val="tx1"/>
            </w14:solidFill>
          </w14:textFill>
        </w:rPr>
        <w:t>、职工基本医疗保险缴费76.68</w:t>
      </w:r>
      <w:r>
        <w:rPr>
          <w:rFonts w:hint="eastAsia" w:ascii="宋体" w:hAnsi="宋体" w:eastAsia="宋体" w:cs="宋体"/>
          <w:color w:val="000000" w:themeColor="text1"/>
          <w:sz w:val="32"/>
          <w:szCs w:val="32"/>
          <w:lang w:eastAsia="zh-CN"/>
          <w14:textFill>
            <w14:solidFill>
              <w14:schemeClr w14:val="tx1"/>
            </w14:solidFill>
          </w14:textFill>
        </w:rPr>
        <w:t>万元、其他社会保障缴费</w:t>
      </w:r>
      <w:r>
        <w:rPr>
          <w:rFonts w:hint="eastAsia" w:ascii="宋体" w:hAnsi="宋体" w:eastAsia="宋体" w:cs="宋体"/>
          <w:color w:val="000000" w:themeColor="text1"/>
          <w:sz w:val="32"/>
          <w:szCs w:val="32"/>
          <w:lang w:val="en-US" w:eastAsia="zh-CN"/>
          <w14:textFill>
            <w14:solidFill>
              <w14:schemeClr w14:val="tx1"/>
            </w14:solidFill>
          </w14:textFill>
        </w:rPr>
        <w:t>184.12万元、</w:t>
      </w:r>
      <w:r>
        <w:rPr>
          <w:rFonts w:hint="eastAsia" w:ascii="宋体" w:hAnsi="宋体" w:eastAsia="宋体" w:cs="宋体"/>
          <w:color w:val="000000" w:themeColor="text1"/>
          <w:sz w:val="32"/>
          <w:szCs w:val="32"/>
          <w14:textFill>
            <w14:solidFill>
              <w14:schemeClr w14:val="tx1"/>
            </w14:solidFill>
          </w14:textFill>
        </w:rPr>
        <w:t>住房公积金</w:t>
      </w:r>
      <w:r>
        <w:rPr>
          <w:rFonts w:hint="eastAsia" w:ascii="宋体" w:hAnsi="宋体" w:eastAsia="宋体" w:cs="宋体"/>
          <w:color w:val="000000" w:themeColor="text1"/>
          <w:sz w:val="32"/>
          <w:szCs w:val="32"/>
          <w:lang w:val="en-US" w:eastAsia="zh-CN"/>
          <w14:textFill>
            <w14:solidFill>
              <w14:schemeClr w14:val="tx1"/>
            </w14:solidFill>
          </w14:textFill>
        </w:rPr>
        <w:t>68.34万元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其他工资福利支出</w:t>
      </w:r>
      <w:r>
        <w:rPr>
          <w:rFonts w:hint="eastAsia" w:ascii="宋体" w:hAnsi="宋体" w:eastAsia="宋体" w:cs="宋体"/>
          <w:color w:val="000000" w:themeColor="text1"/>
          <w:sz w:val="32"/>
          <w:szCs w:val="32"/>
          <w:lang w:val="en-US" w:eastAsia="zh-CN"/>
          <w14:textFill>
            <w14:solidFill>
              <w14:schemeClr w14:val="tx1"/>
            </w14:solidFill>
          </w14:textFill>
        </w:rPr>
        <w:t>13.45万元，</w:t>
      </w:r>
      <w:r>
        <w:rPr>
          <w:rFonts w:hint="eastAsia" w:ascii="宋体" w:hAnsi="宋体" w:eastAsia="宋体" w:cs="宋体"/>
          <w:color w:val="000000" w:themeColor="text1"/>
          <w:sz w:val="32"/>
          <w:szCs w:val="32"/>
          <w14:textFill>
            <w14:solidFill>
              <w14:schemeClr w14:val="tx1"/>
            </w14:solidFill>
          </w14:textFill>
        </w:rPr>
        <w:t>对个人和家庭补助</w:t>
      </w:r>
      <w:r>
        <w:rPr>
          <w:rFonts w:hint="eastAsia" w:ascii="宋体" w:hAnsi="宋体" w:eastAsia="宋体" w:cs="宋体"/>
          <w:color w:val="000000" w:themeColor="text1"/>
          <w:sz w:val="32"/>
          <w:szCs w:val="32"/>
          <w:lang w:val="en-US" w:eastAsia="zh-CN"/>
          <w14:textFill>
            <w14:solidFill>
              <w14:schemeClr w14:val="tx1"/>
            </w14:solidFill>
          </w14:textFill>
        </w:rPr>
        <w:t>3464.62万元</w:t>
      </w:r>
      <w:r>
        <w:rPr>
          <w:rFonts w:hint="eastAsia" w:ascii="宋体" w:hAnsi="宋体" w:eastAsia="宋体" w:cs="宋体"/>
          <w:color w:val="000000" w:themeColor="text1"/>
          <w:sz w:val="32"/>
          <w:szCs w:val="32"/>
          <w14:textFill>
            <w14:solidFill>
              <w14:schemeClr w14:val="tx1"/>
            </w14:solidFill>
          </w14:textFill>
        </w:rPr>
        <w:t>等；</w:t>
      </w:r>
    </w:p>
    <w:p>
      <w:pPr>
        <w:pStyle w:val="9"/>
        <w:ind w:firstLine="640" w:firstLineChars="200"/>
        <w:rPr>
          <w:rFonts w:hint="eastAsia" w:ascii="宋体" w:hAnsi="宋体" w:eastAsia="宋体" w:cs="Times New Roman"/>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公用经费693.98万元，占基本支出的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11.91</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主要包括办公费</w:t>
      </w:r>
      <w:r>
        <w:rPr>
          <w:rFonts w:hint="eastAsia" w:ascii="宋体" w:hAnsi="宋体" w:eastAsia="宋体" w:cs="宋体"/>
          <w:color w:val="000000" w:themeColor="text1"/>
          <w:sz w:val="32"/>
          <w:szCs w:val="32"/>
          <w:lang w:val="en-US" w:eastAsia="zh-CN"/>
          <w14:textFill>
            <w14:solidFill>
              <w14:schemeClr w14:val="tx1"/>
            </w14:solidFill>
          </w14:textFill>
        </w:rPr>
        <w:t>86.38万元</w:t>
      </w:r>
      <w:r>
        <w:rPr>
          <w:rFonts w:hint="eastAsia" w:ascii="宋体" w:hAnsi="宋体" w:eastAsia="宋体" w:cs="宋体"/>
          <w:color w:val="000000" w:themeColor="text1"/>
          <w:sz w:val="32"/>
          <w:szCs w:val="32"/>
          <w14:textFill>
            <w14:solidFill>
              <w14:schemeClr w14:val="tx1"/>
            </w14:solidFill>
          </w14:textFill>
        </w:rPr>
        <w:t>、印刷费</w:t>
      </w:r>
      <w:r>
        <w:rPr>
          <w:rFonts w:hint="eastAsia" w:ascii="宋体" w:hAnsi="宋体" w:eastAsia="宋体" w:cs="宋体"/>
          <w:color w:val="000000" w:themeColor="text1"/>
          <w:sz w:val="32"/>
          <w:szCs w:val="32"/>
          <w:lang w:val="en-US" w:eastAsia="zh-CN"/>
          <w14:textFill>
            <w14:solidFill>
              <w14:schemeClr w14:val="tx1"/>
            </w14:solidFill>
          </w14:textFill>
        </w:rPr>
        <w:t>10.34万元</w:t>
      </w:r>
      <w:r>
        <w:rPr>
          <w:rFonts w:hint="eastAsia" w:ascii="宋体" w:hAnsi="宋体" w:eastAsia="宋体" w:cs="宋体"/>
          <w:color w:val="000000" w:themeColor="text1"/>
          <w:sz w:val="32"/>
          <w:szCs w:val="32"/>
          <w14:textFill>
            <w14:solidFill>
              <w14:schemeClr w14:val="tx1"/>
            </w14:solidFill>
          </w14:textFill>
        </w:rPr>
        <w:t>、咨询费</w:t>
      </w:r>
      <w:r>
        <w:rPr>
          <w:rFonts w:hint="eastAsia" w:ascii="宋体" w:hAnsi="宋体" w:eastAsia="宋体" w:cs="宋体"/>
          <w:color w:val="000000" w:themeColor="text1"/>
          <w:sz w:val="32"/>
          <w:szCs w:val="32"/>
          <w:lang w:val="en-US" w:eastAsia="zh-CN"/>
          <w14:textFill>
            <w14:solidFill>
              <w14:schemeClr w14:val="tx1"/>
            </w14:solidFill>
          </w14:textFill>
        </w:rPr>
        <w:t>0万元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水费</w:t>
      </w:r>
      <w:r>
        <w:rPr>
          <w:rFonts w:hint="eastAsia" w:ascii="宋体" w:hAnsi="宋体" w:eastAsia="宋体" w:cs="宋体"/>
          <w:color w:val="000000" w:themeColor="text1"/>
          <w:sz w:val="32"/>
          <w:szCs w:val="32"/>
          <w:lang w:val="en-US" w:eastAsia="zh-CN"/>
          <w14:textFill>
            <w14:solidFill>
              <w14:schemeClr w14:val="tx1"/>
            </w14:solidFill>
          </w14:textFill>
        </w:rPr>
        <w:t>1.12万元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电费</w:t>
      </w:r>
      <w:r>
        <w:rPr>
          <w:rFonts w:hint="eastAsia" w:ascii="宋体" w:hAnsi="宋体" w:eastAsia="宋体" w:cs="宋体"/>
          <w:color w:val="000000" w:themeColor="text1"/>
          <w:sz w:val="32"/>
          <w:szCs w:val="32"/>
          <w:lang w:val="en-US" w:eastAsia="zh-CN"/>
          <w14:textFill>
            <w14:solidFill>
              <w14:schemeClr w14:val="tx1"/>
            </w14:solidFill>
          </w14:textFill>
        </w:rPr>
        <w:t>6.89万元、邮电费0.52万元、</w:t>
      </w:r>
      <w:r>
        <w:rPr>
          <w:rFonts w:hint="eastAsia" w:ascii="宋体" w:hAnsi="宋体" w:eastAsia="宋体" w:cs="宋体"/>
          <w:color w:val="000000" w:themeColor="text1"/>
          <w:sz w:val="32"/>
          <w:szCs w:val="32"/>
          <w14:textFill>
            <w14:solidFill>
              <w14:schemeClr w14:val="tx1"/>
            </w14:solidFill>
          </w14:textFill>
        </w:rPr>
        <w:t>差旅</w:t>
      </w:r>
      <w:r>
        <w:rPr>
          <w:rFonts w:hint="eastAsia" w:ascii="宋体" w:hAnsi="宋体" w:eastAsia="宋体" w:cs="宋体"/>
          <w:color w:val="000000" w:themeColor="text1"/>
          <w:sz w:val="32"/>
          <w:szCs w:val="32"/>
          <w:lang w:val="en-US" w:eastAsia="zh-CN"/>
          <w14:textFill>
            <w14:solidFill>
              <w14:schemeClr w14:val="tx1"/>
            </w14:solidFill>
          </w14:textFill>
        </w:rPr>
        <w:t>17.74万元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维修费</w:t>
      </w:r>
      <w:r>
        <w:rPr>
          <w:rFonts w:hint="eastAsia" w:ascii="宋体" w:hAnsi="宋体" w:eastAsia="宋体" w:cs="宋体"/>
          <w:color w:val="000000" w:themeColor="text1"/>
          <w:sz w:val="32"/>
          <w:szCs w:val="32"/>
          <w:lang w:val="en-US" w:eastAsia="zh-CN"/>
          <w14:textFill>
            <w14:solidFill>
              <w14:schemeClr w14:val="tx1"/>
            </w14:solidFill>
          </w14:textFill>
        </w:rPr>
        <w:t>0.77万元、租赁费0.75万元、会议费6.06万元、培训费0万元、公务接待费0.5万元、劳务费140.72万元</w:t>
      </w:r>
      <w:r>
        <w:rPr>
          <w:rFonts w:hint="eastAsia" w:ascii="宋体" w:hAnsi="宋体" w:eastAsia="宋体" w:cs="宋体"/>
          <w:color w:val="000000" w:themeColor="text1"/>
          <w:sz w:val="32"/>
          <w:szCs w:val="32"/>
          <w14:textFill>
            <w14:solidFill>
              <w14:schemeClr w14:val="tx1"/>
            </w14:solidFill>
          </w14:textFill>
        </w:rPr>
        <w:t>、工会经费</w:t>
      </w:r>
      <w:r>
        <w:rPr>
          <w:rFonts w:hint="eastAsia" w:ascii="宋体" w:hAnsi="宋体" w:eastAsia="宋体" w:cs="宋体"/>
          <w:color w:val="000000" w:themeColor="text1"/>
          <w:sz w:val="32"/>
          <w:szCs w:val="32"/>
          <w:lang w:val="en-US" w:eastAsia="zh-CN"/>
          <w14:textFill>
            <w14:solidFill>
              <w14:schemeClr w14:val="tx1"/>
            </w14:solidFill>
          </w14:textFill>
        </w:rPr>
        <w:t>48.23万元</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lang w:eastAsia="zh-CN"/>
          <w14:textFill>
            <w14:solidFill>
              <w14:schemeClr w14:val="tx1"/>
            </w14:solidFill>
          </w14:textFill>
        </w:rPr>
        <w:t>福利费</w:t>
      </w:r>
      <w:r>
        <w:rPr>
          <w:rFonts w:hint="eastAsia" w:ascii="宋体" w:hAnsi="宋体" w:eastAsia="宋体" w:cs="宋体"/>
          <w:color w:val="000000" w:themeColor="text1"/>
          <w:sz w:val="32"/>
          <w:szCs w:val="32"/>
          <w:lang w:val="en-US" w:eastAsia="zh-CN"/>
          <w14:textFill>
            <w14:solidFill>
              <w14:schemeClr w14:val="tx1"/>
            </w14:solidFill>
          </w14:textFill>
        </w:rPr>
        <w:t>0万元、其他交通费用72.48万元、</w:t>
      </w:r>
      <w:r>
        <w:rPr>
          <w:rFonts w:hint="eastAsia" w:ascii="宋体" w:hAnsi="宋体" w:eastAsia="宋体" w:cs="宋体"/>
          <w:color w:val="000000" w:themeColor="text1"/>
          <w:sz w:val="32"/>
          <w:szCs w:val="32"/>
          <w14:textFill>
            <w14:solidFill>
              <w14:schemeClr w14:val="tx1"/>
            </w14:solidFill>
          </w14:textFill>
        </w:rPr>
        <w:t>其他商品和服务支出</w:t>
      </w:r>
      <w:r>
        <w:rPr>
          <w:rFonts w:hint="eastAsia" w:ascii="宋体" w:hAnsi="宋体" w:eastAsia="宋体" w:cs="宋体"/>
          <w:color w:val="000000" w:themeColor="text1"/>
          <w:sz w:val="32"/>
          <w:szCs w:val="32"/>
          <w:lang w:val="en-US" w:eastAsia="zh-CN"/>
          <w14:textFill>
            <w14:solidFill>
              <w14:schemeClr w14:val="tx1"/>
            </w14:solidFill>
          </w14:textFill>
        </w:rPr>
        <w:t>163.69万元</w:t>
      </w:r>
      <w:r>
        <w:rPr>
          <w:rFonts w:hint="eastAsia" w:ascii="宋体" w:hAnsi="宋体" w:eastAsia="宋体" w:cs="宋体"/>
          <w:color w:val="000000" w:themeColor="text1"/>
          <w:sz w:val="32"/>
          <w:szCs w:val="32"/>
          <w14:textFill>
            <w14:solidFill>
              <w14:schemeClr w14:val="tx1"/>
            </w14:solidFill>
          </w14:textFill>
        </w:rPr>
        <w:t>。资本性支出137.78</w:t>
      </w:r>
      <w:r>
        <w:rPr>
          <w:rFonts w:hint="eastAsia" w:ascii="宋体" w:hAnsi="宋体" w:eastAsia="宋体" w:cs="宋体"/>
          <w:color w:val="000000" w:themeColor="text1"/>
          <w:sz w:val="32"/>
          <w:szCs w:val="32"/>
          <w:lang w:eastAsia="zh-CN"/>
          <w14:textFill>
            <w14:solidFill>
              <w14:schemeClr w14:val="tx1"/>
            </w14:solidFill>
          </w14:textFill>
        </w:rPr>
        <w:t>万元。</w:t>
      </w:r>
    </w:p>
    <w:p>
      <w:pPr>
        <w:pStyle w:val="9"/>
        <w:rPr>
          <w:rFonts w:asciiTheme="minorEastAsia" w:hAnsiTheme="minorEastAsia" w:eastAsiaTheme="minorEastAsia"/>
          <w:i/>
          <w:color w:val="FF0000"/>
          <w:sz w:val="32"/>
          <w:szCs w:val="32"/>
        </w:rPr>
      </w:pP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5万元，支出决算为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因公出国（境）费支出预算为0万元，支出决算为0万元，完成预算的0%，决算数等于预算数，与上年相比没有增减。</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5万元，支出决算为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4.31万元</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3.81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88.39</w:t>
      </w:r>
      <w:r>
        <w:rPr>
          <w:rFonts w:hint="eastAsia" w:asciiTheme="minorEastAsia" w:hAnsiTheme="minorEastAsia" w:eastAsiaTheme="minorEastAsia"/>
          <w:sz w:val="32"/>
          <w:szCs w:val="32"/>
        </w:rPr>
        <w:t>%,减少的主要原因是严格执行八项规定，厉行节约。</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公务用车购置费支出预算为0万元，支出决算为0万元，完成预算的0%，决算数等于预算数，与上年相比没有增减。</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公务用车运行维护费</w:t>
      </w:r>
      <w:r>
        <w:rPr>
          <w:rFonts w:hint="eastAsia" w:asciiTheme="minorEastAsia" w:hAnsiTheme="minorEastAsia" w:eastAsiaTheme="minorEastAsia"/>
          <w:sz w:val="32"/>
          <w:szCs w:val="32"/>
        </w:rPr>
        <w:t>支出预算为0万元，支出决算为0万元，完成预算的0%，决算数等于预算数，</w:t>
      </w:r>
      <w:r>
        <w:rPr>
          <w:rFonts w:hint="eastAsia" w:ascii="宋体" w:hAnsi="宋体" w:eastAsia="宋体" w:cs="宋体"/>
          <w:sz w:val="32"/>
          <w:szCs w:val="32"/>
        </w:rPr>
        <w:t>与上年相比没有增减</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2022</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万元，占100%,因公出国（境）费支出决算0万元，占0%,公务用车购置费及运行维护费支出决算0万元，占0%。其中：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2、公务接待费支出决算为4.31万元，全年共接待来访团组57个、来宾320人次，主要是发生的上级防溺水督查和上级教育督导接待支出。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sz w:val="32"/>
          <w:szCs w:val="32"/>
          <w:lang w:eastAsia="zh-CN"/>
        </w:rPr>
        <w:t>，</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辆。公务用车运行维护费0万元，截止</w:t>
      </w:r>
      <w:r>
        <w:rPr>
          <w:rFonts w:hint="eastAsia" w:asciiTheme="minorEastAsia" w:hAnsiTheme="minorEastAsia"/>
          <w:sz w:val="32"/>
          <w:szCs w:val="32"/>
          <w:lang w:eastAsia="zh-CN"/>
        </w:rPr>
        <w:t>2022</w:t>
      </w:r>
      <w:r>
        <w:rPr>
          <w:rFonts w:hint="eastAsia" w:asciiTheme="minorEastAsia" w:hAnsiTheme="minorEastAsia"/>
          <w:sz w:val="32"/>
          <w:szCs w:val="32"/>
        </w:rPr>
        <w:t>年12月31日，我单位开支财政拨款的公务用车保有量为0辆。</w:t>
      </w:r>
    </w:p>
    <w:p>
      <w:pPr>
        <w:ind w:firstLine="800" w:firstLineChars="250"/>
        <w:rPr>
          <w:rFonts w:cs="黑体" w:asciiTheme="minorEastAsia" w:hAnsiTheme="minorEastAsia"/>
          <w:color w:val="000000"/>
          <w:kern w:val="0"/>
          <w:sz w:val="32"/>
          <w:szCs w:val="32"/>
        </w:rPr>
      </w:pP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年度政府性基金预算财政拨款收入1970万元；年初结转和结余0万元；支出1970万元，其中基本支出4</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万元，项目支出1970万元；年末结转和结余0万元。具体情况如下：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1、其他支出（229）其他政府性基金及对应专项债务收入安排的支出（22904）其他地方自行试点项目收益专项债券收入安排的支出（2290402）。</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年初预算为0万元，支出决算为1970万元，决算数大于年初预算数的主要原因是：追加</w:t>
      </w:r>
      <w:r>
        <w:rPr>
          <w:rFonts w:hint="eastAsia" w:asciiTheme="minorEastAsia" w:hAnsiTheme="minorEastAsia" w:eastAsiaTheme="minorEastAsia"/>
          <w:sz w:val="32"/>
          <w:szCs w:val="32"/>
          <w:lang w:eastAsia="zh-CN"/>
        </w:rPr>
        <w:t>县幼儿园基本建设支出</w:t>
      </w:r>
      <w:r>
        <w:rPr>
          <w:rFonts w:hint="eastAsia" w:asciiTheme="minorEastAsia" w:hAnsiTheme="minorEastAsia" w:eastAsiaTheme="minorEastAsia"/>
          <w:sz w:val="32"/>
          <w:szCs w:val="32"/>
        </w:rPr>
        <w:t>。</w:t>
      </w:r>
    </w:p>
    <w:p>
      <w:pPr>
        <w:pStyle w:val="9"/>
        <w:ind w:firstLine="627" w:firstLineChars="196"/>
        <w:rPr>
          <w:rFonts w:hAnsi="黑体"/>
          <w:b/>
          <w:sz w:val="32"/>
          <w:szCs w:val="32"/>
        </w:rPr>
      </w:pPr>
      <w:r>
        <w:rPr>
          <w:rFonts w:hint="eastAsia" w:hAnsi="黑体"/>
          <w:b/>
          <w:sz w:val="32"/>
          <w:szCs w:val="32"/>
        </w:rPr>
        <w:t>九、机关运行经费支出说明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693.98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w:t>
      </w:r>
      <w:r>
        <w:rPr>
          <w:rFonts w:hint="eastAsia" w:asciiTheme="minorEastAsia" w:hAnsiTheme="minorEastAsia" w:eastAsiaTheme="minorEastAsia"/>
          <w:sz w:val="32"/>
          <w:szCs w:val="32"/>
        </w:rPr>
        <w:t>上年决算数增加</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15.28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劳务费及其他商品服务费支出</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eastAsia="zh-CN"/>
        </w:rPr>
        <w:t>。</w:t>
      </w:r>
    </w:p>
    <w:p>
      <w:pPr>
        <w:pStyle w:val="9"/>
        <w:ind w:firstLine="627" w:firstLineChars="196"/>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本部门开支会议费6.06万元，用于召开教育教学、安全视频、职称评审等会议，人数1200余人次，内容为会议场地租赁和职称评审专家的住宿伙食等；用于开展文明城市创建培训，人数6人次，内容为培训资料、专家授课劳务费；</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没有开办此类型活动。</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年度政府采购支出总额0万元，其中：政府采购货物支出0万元、政府采购工程支出0 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十三、关于</w:t>
      </w:r>
      <w:r>
        <w:rPr>
          <w:rFonts w:hint="eastAsia" w:ascii="Times New Roman" w:hAnsi="Times New Roman" w:eastAsia="仿宋_GB2312"/>
          <w:b/>
          <w:bCs w:val="0"/>
          <w:color w:val="auto"/>
          <w:sz w:val="32"/>
          <w:szCs w:val="32"/>
        </w:rPr>
        <w:t>202</w:t>
      </w:r>
      <w:r>
        <w:rPr>
          <w:rFonts w:hint="eastAsia" w:ascii="Times New Roman" w:hAnsi="Times New Roman" w:eastAsia="仿宋_GB2312"/>
          <w:b/>
          <w:bCs w:val="0"/>
          <w:color w:val="auto"/>
          <w:sz w:val="32"/>
          <w:szCs w:val="32"/>
          <w:lang w:val="en-US" w:eastAsia="zh-CN"/>
        </w:rPr>
        <w:t>2</w:t>
      </w:r>
      <w:r>
        <w:rPr>
          <w:rFonts w:hint="eastAsia" w:ascii="黑体" w:hAnsi="黑体" w:eastAsia="黑体" w:cs="黑体"/>
          <w:b/>
          <w:bCs w:val="0"/>
          <w:color w:val="auto"/>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部门整体支出绩效情况</w:t>
      </w:r>
    </w:p>
    <w:p>
      <w:pPr>
        <w:spacing w:line="500" w:lineRule="exact"/>
        <w:ind w:firstLine="720" w:firstLineChars="22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年，县教育局突出抓改革、强教育、促发展，各方面工作稳步推进，根据《部门整体支出绩效评价指标》评分表自评得分</w:t>
      </w:r>
      <w:r>
        <w:rPr>
          <w:rFonts w:ascii="仿宋" w:hAnsi="仿宋" w:eastAsia="仿宋" w:cs="仿宋"/>
          <w:color w:val="auto"/>
          <w:sz w:val="32"/>
          <w:szCs w:val="32"/>
        </w:rPr>
        <w:t>9</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分，财政支出绩</w:t>
      </w:r>
      <w:r>
        <w:rPr>
          <w:rFonts w:hint="eastAsia" w:ascii="仿宋" w:hAnsi="仿宋" w:eastAsia="仿宋" w:cs="仿宋"/>
          <w:color w:val="auto"/>
          <w:sz w:val="32"/>
          <w:szCs w:val="32"/>
          <w:lang w:val="en-US" w:eastAsia="zh-CN"/>
        </w:rPr>
        <w:t>效为“优秀”。主要绩效如下：</w:t>
      </w:r>
    </w:p>
    <w:p>
      <w:pPr>
        <w:spacing w:line="500" w:lineRule="exact"/>
        <w:ind w:firstLine="720" w:firstLineChars="22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（1）行政运转保障。在单位的日常经费管理工作中首先保障单位基本运转，保障人员支出和日常公用经费，确保本部门</w:t>
      </w:r>
      <w:bookmarkStart w:id="6" w:name="_GoBack"/>
      <w:bookmarkEnd w:id="6"/>
      <w:r>
        <w:rPr>
          <w:rFonts w:hint="eastAsia" w:ascii="仿宋" w:hAnsi="仿宋" w:eastAsia="仿宋" w:cs="仿宋"/>
          <w:color w:val="auto"/>
          <w:sz w:val="32"/>
          <w:szCs w:val="32"/>
          <w:lang w:val="en-US" w:eastAsia="zh-CN"/>
        </w:rPr>
        <w:t xml:space="preserve">教育管理工作的正常运转和人员稳定，在资金有保证的情况下着力改善办公条件。 </w:t>
      </w:r>
    </w:p>
    <w:p>
      <w:pPr>
        <w:spacing w:line="500" w:lineRule="exact"/>
        <w:ind w:firstLine="720" w:firstLineChars="22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（2）机关厉行节约。在保障基本运转的前提下，大力倡导厉行节约，把有限的资金用在刀刃上。202</w:t>
      </w:r>
      <w:r>
        <w:rPr>
          <w:rFonts w:hint="eastAsia" w:ascii="仿宋" w:hAnsi="仿宋" w:eastAsia="仿宋" w:cs="仿宋"/>
          <w:color w:val="auto"/>
          <w:sz w:val="32"/>
          <w:szCs w:val="32"/>
          <w:lang w:val="en-US" w:eastAsia="zh-CN"/>
        </w:rPr>
        <w:t>2年全年无因公出国（境）费用，公车运行维护费用全年为0万元，公务接待经费全年为</w:t>
      </w:r>
      <w:r>
        <w:rPr>
          <w:rFonts w:hint="eastAsia" w:ascii="仿宋" w:hAnsi="仿宋" w:eastAsia="仿宋" w:cs="仿宋"/>
          <w:color w:val="auto"/>
          <w:sz w:val="32"/>
          <w:szCs w:val="32"/>
          <w:lang w:val="en-US" w:eastAsia="zh-CN"/>
        </w:rPr>
        <w:t xml:space="preserve">0.5万元。 </w:t>
      </w:r>
    </w:p>
    <w:p>
      <w:pPr>
        <w:spacing w:line="500" w:lineRule="exact"/>
        <w:ind w:firstLine="720" w:firstLineChars="22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（3）预决算公开情况。按照相关规定，本部门预决算、“三公”经费预决算、其他重要财政资金使用情况均已公开公示。 </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存在的问题及</w:t>
      </w:r>
      <w:r>
        <w:rPr>
          <w:rFonts w:hint="eastAsia" w:ascii="楷体" w:hAnsi="楷体" w:eastAsia="楷体" w:cs="楷体"/>
          <w:b/>
          <w:bCs/>
          <w:color w:val="auto"/>
          <w:sz w:val="32"/>
          <w:szCs w:val="32"/>
          <w:lang w:eastAsia="zh-CN"/>
        </w:rPr>
        <w:t>原因分析</w:t>
      </w:r>
    </w:p>
    <w:p>
      <w:pPr>
        <w:pStyle w:val="9"/>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1、年初预算支出与实际支出执行偏差较大。主要原因是年初预算编制内容不全面不具体，编制合理性不够，预估的真实性和完整性不够。</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olor w:val="auto"/>
          <w:sz w:val="32"/>
          <w:szCs w:val="32"/>
        </w:rPr>
        <w:t>2.预算执行约束有待进一步加强。在预算执行过</w:t>
      </w:r>
      <w:r>
        <w:rPr>
          <w:rFonts w:hint="eastAsia" w:ascii="Times New Roman" w:hAnsi="Times New Roman" w:eastAsia="仿宋_GB2312"/>
          <w:sz w:val="32"/>
          <w:szCs w:val="32"/>
        </w:rPr>
        <w:t>程中，加强对专项资金使用的监控，定期追踪资金使用情况，及时纠正偏差预以调整。</w:t>
      </w:r>
    </w:p>
    <w:p>
      <w:pPr>
        <w:pStyle w:val="9"/>
        <w:spacing w:line="600" w:lineRule="exact"/>
        <w:ind w:firstLine="640" w:firstLineChars="200"/>
        <w:rPr>
          <w:rFonts w:ascii="Times New Roman" w:hAnsi="Times New Roman" w:eastAsia="仿宋_GB2312"/>
          <w:sz w:val="32"/>
          <w:szCs w:val="32"/>
        </w:rPr>
      </w:pPr>
    </w:p>
    <w:p>
      <w:pPr>
        <w:pStyle w:val="9"/>
        <w:spacing w:line="600" w:lineRule="exact"/>
        <w:ind w:firstLine="640" w:firstLineChars="200"/>
        <w:rPr>
          <w:rFonts w:ascii="Times New Roman" w:hAnsi="Times New Roman" w:eastAsia="仿宋_GB2312"/>
          <w:sz w:val="32"/>
          <w:szCs w:val="32"/>
        </w:rPr>
      </w:pPr>
    </w:p>
    <w:p>
      <w:pPr>
        <w:pStyle w:val="9"/>
        <w:spacing w:line="600" w:lineRule="exact"/>
        <w:ind w:firstLine="640" w:firstLineChars="200"/>
        <w:rPr>
          <w:rFonts w:ascii="Times New Roman" w:hAnsi="Times New Roman" w:eastAsia="仿宋_GB2312"/>
          <w:sz w:val="32"/>
          <w:szCs w:val="32"/>
        </w:rPr>
      </w:pPr>
    </w:p>
    <w:p>
      <w:pPr>
        <w:pStyle w:val="9"/>
        <w:spacing w:line="600" w:lineRule="exact"/>
        <w:ind w:firstLine="640" w:firstLineChars="200"/>
        <w:rPr>
          <w:rFonts w:ascii="Times New Roman" w:hAnsi="Times New Roman" w:eastAsia="仿宋_GB2312"/>
          <w:sz w:val="32"/>
          <w:szCs w:val="32"/>
        </w:rPr>
      </w:pPr>
    </w:p>
    <w:p>
      <w:pPr>
        <w:pStyle w:val="9"/>
        <w:spacing w:line="600" w:lineRule="exact"/>
        <w:ind w:firstLine="640" w:firstLineChars="200"/>
        <w:rPr>
          <w:rFonts w:ascii="Times New Roman" w:hAnsi="Times New Roman" w:eastAsia="仿宋_GB2312"/>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pStyle w:val="9"/>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1.</w:t>
      </w:r>
      <w:r>
        <w:rPr>
          <w:rFonts w:ascii="宋体" w:hAnsi="宋体" w:cs="黑体"/>
          <w:color w:val="000000"/>
          <w:kern w:val="0"/>
          <w:sz w:val="32"/>
          <w:szCs w:val="32"/>
        </w:rPr>
        <w:t>三公经费</w:t>
      </w:r>
      <w:r>
        <w:rPr>
          <w:rFonts w:hint="eastAsia" w:ascii="宋体" w:hAnsi="宋体" w:cs="黑体"/>
          <w:color w:val="000000"/>
          <w:kern w:val="0"/>
          <w:sz w:val="32"/>
          <w:szCs w:val="32"/>
        </w:rPr>
        <w:t>：指政府部门人员因公出国（境）经费、公务车购置及运行费、公务招待费产生的消费，是当前公共行政领域亟待解决的问题之一。</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2.</w:t>
      </w:r>
      <w:r>
        <w:rPr>
          <w:rFonts w:ascii="宋体" w:hAnsi="宋体" w:cs="黑体"/>
          <w:color w:val="000000"/>
          <w:kern w:val="0"/>
          <w:sz w:val="32"/>
          <w:szCs w:val="32"/>
        </w:rPr>
        <w:t>机关运行经费：</w:t>
      </w:r>
      <w:r>
        <w:rPr>
          <w:rFonts w:hint="eastAsia" w:ascii="宋体" w:hAnsi="宋体" w:cs="黑体"/>
          <w:color w:val="000000"/>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960" w:firstLineChars="300"/>
        <w:rPr>
          <w:rFonts w:ascii="宋体" w:cs="Times New Roman"/>
          <w:b/>
          <w:bCs/>
          <w:color w:val="000000"/>
          <w:kern w:val="0"/>
          <w:sz w:val="32"/>
          <w:szCs w:val="32"/>
        </w:rPr>
      </w:pPr>
      <w:r>
        <w:rPr>
          <w:rFonts w:hint="eastAsia" w:ascii="宋体" w:hAnsi="宋体" w:cs="宋体"/>
          <w:b/>
          <w:bCs/>
          <w:color w:val="000000"/>
          <w:kern w:val="0"/>
          <w:sz w:val="32"/>
          <w:szCs w:val="32"/>
        </w:rPr>
        <w:t>溆浦县教育局机关202</w:t>
      </w:r>
      <w:r>
        <w:rPr>
          <w:rFonts w:hint="eastAsia" w:ascii="宋体" w:hAnsi="宋体" w:cs="宋体"/>
          <w:b/>
          <w:bCs/>
          <w:color w:val="000000"/>
          <w:kern w:val="0"/>
          <w:sz w:val="32"/>
          <w:szCs w:val="32"/>
          <w:lang w:val="en-US" w:eastAsia="zh-CN"/>
        </w:rPr>
        <w:t>2</w:t>
      </w:r>
      <w:r>
        <w:rPr>
          <w:rFonts w:hint="eastAsia" w:ascii="宋体" w:hAnsi="宋体" w:cs="宋体"/>
          <w:b/>
          <w:bCs/>
          <w:color w:val="000000"/>
          <w:kern w:val="0"/>
          <w:sz w:val="32"/>
          <w:szCs w:val="32"/>
        </w:rPr>
        <w:t>年度部门整体支出绩效评价报告</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一、部门概况</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（一）部门基本情况</w:t>
      </w:r>
    </w:p>
    <w:p>
      <w:pPr>
        <w:widowControl/>
        <w:spacing w:line="600" w:lineRule="exact"/>
        <w:ind w:firstLine="800" w:firstLineChars="250"/>
        <w:rPr>
          <w:rFonts w:ascii="仿宋" w:hAnsi="仿宋" w:eastAsia="仿宋" w:cs="仿宋"/>
          <w:kern w:val="0"/>
          <w:sz w:val="32"/>
          <w:szCs w:val="32"/>
        </w:rPr>
      </w:pPr>
      <w:r>
        <w:rPr>
          <w:rFonts w:hint="eastAsia" w:ascii="仿宋" w:hAnsi="仿宋" w:eastAsia="仿宋" w:cs="仿宋"/>
          <w:sz w:val="32"/>
          <w:szCs w:val="32"/>
        </w:rPr>
        <w:t>溆浦县教育局机关是隶属溆浦县人民政府管理全县教育教学的行政职能部门，其主要职责是贯彻落实国家教育工作方针、政策和法律、法规、规章，制定实施意见并监督执行，负责全县幼儿教育、基础教育、职业教育和民办教育的教育教学及管理等工作以及全县教育行政管理工作和本部门各学校的财政收支预算编制及资金拨付工作。</w:t>
      </w:r>
      <w:r>
        <w:rPr>
          <w:rFonts w:hint="eastAsia" w:ascii="仿宋" w:hAnsi="仿宋" w:eastAsia="仿宋" w:cs="仿宋"/>
          <w:kern w:val="0"/>
          <w:sz w:val="32"/>
          <w:szCs w:val="32"/>
        </w:rPr>
        <w:t>溆浦县教育局机关内设机构行政股室包括：办公室、人事股、计财股、普教股、行政审批（法制股）、教育督导、职成股、党建办。二级事业单位9个包括：档案管理室1个，电教仪器站1个、教育教研室1个，就业指导中心1个，考试中心1个，勤工站1个，信息网络中心1个，学生资助中心1个，职称改革事务中心1个。</w:t>
      </w:r>
    </w:p>
    <w:p>
      <w:pPr>
        <w:spacing w:line="500" w:lineRule="exact"/>
        <w:ind w:firstLine="720" w:firstLineChars="225"/>
        <w:rPr>
          <w:rFonts w:ascii="仿宋" w:hAnsi="仿宋" w:eastAsia="仿宋" w:cs="Times New Roman"/>
          <w:sz w:val="32"/>
          <w:szCs w:val="32"/>
          <w:highlight w:val="yellow"/>
        </w:rPr>
      </w:pPr>
      <w:r>
        <w:rPr>
          <w:rFonts w:hint="eastAsia" w:ascii="仿宋" w:hAnsi="仿宋" w:eastAsia="仿宋" w:cs="仿宋"/>
          <w:sz w:val="32"/>
          <w:szCs w:val="32"/>
        </w:rPr>
        <w:t>至202</w:t>
      </w:r>
      <w:r>
        <w:rPr>
          <w:rFonts w:hint="eastAsia" w:ascii="仿宋" w:hAnsi="仿宋" w:eastAsia="仿宋" w:cs="仿宋"/>
          <w:sz w:val="32"/>
          <w:szCs w:val="32"/>
          <w:lang w:val="en-US" w:eastAsia="zh-CN"/>
        </w:rPr>
        <w:t>2</w:t>
      </w:r>
      <w:r>
        <w:rPr>
          <w:rFonts w:hint="eastAsia" w:ascii="仿宋" w:hAnsi="仿宋" w:eastAsia="仿宋" w:cs="仿宋"/>
          <w:sz w:val="32"/>
          <w:szCs w:val="32"/>
        </w:rPr>
        <w:t>年底，县教育局机关人员编制</w:t>
      </w:r>
      <w:r>
        <w:rPr>
          <w:rFonts w:ascii="仿宋" w:hAnsi="仿宋" w:eastAsia="仿宋" w:cs="仿宋"/>
          <w:sz w:val="32"/>
          <w:szCs w:val="32"/>
        </w:rPr>
        <w:t>1</w:t>
      </w:r>
      <w:r>
        <w:rPr>
          <w:rFonts w:hint="eastAsia" w:ascii="仿宋" w:hAnsi="仿宋" w:eastAsia="仿宋" w:cs="仿宋"/>
          <w:sz w:val="32"/>
          <w:szCs w:val="32"/>
        </w:rPr>
        <w:t>10个，其中行政编制</w:t>
      </w:r>
      <w:r>
        <w:rPr>
          <w:rFonts w:ascii="仿宋" w:hAnsi="仿宋" w:eastAsia="仿宋" w:cs="仿宋"/>
          <w:sz w:val="32"/>
          <w:szCs w:val="32"/>
        </w:rPr>
        <w:t>12</w:t>
      </w:r>
      <w:r>
        <w:rPr>
          <w:rFonts w:hint="eastAsia" w:ascii="仿宋" w:hAnsi="仿宋" w:eastAsia="仿宋" w:cs="仿宋"/>
          <w:sz w:val="32"/>
          <w:szCs w:val="32"/>
        </w:rPr>
        <w:t>个，事业编制98个，实有人员</w:t>
      </w:r>
      <w:r>
        <w:rPr>
          <w:rFonts w:hint="eastAsia" w:ascii="仿宋" w:hAnsi="仿宋" w:eastAsia="仿宋" w:cs="仿宋"/>
          <w:sz w:val="32"/>
          <w:szCs w:val="32"/>
          <w:lang w:val="en-US" w:eastAsia="zh-CN"/>
        </w:rPr>
        <w:t>102</w:t>
      </w:r>
      <w:r>
        <w:rPr>
          <w:rFonts w:hint="eastAsia" w:ascii="仿宋" w:hAnsi="仿宋" w:eastAsia="仿宋" w:cs="仿宋"/>
          <w:sz w:val="32"/>
          <w:szCs w:val="32"/>
        </w:rPr>
        <w:t>人。</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（二）部门整体支出情况</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年全年收入为14736.74万元，其中，公共财政拨款收入12334.65万元，政府性基金预算财政拨款收入1970万元，其他收入432.09万元。202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全年决算支出为14736.74万元，其中：基本支出6260.46万元，项目支出8476.28万元。按经济科目分：一般公共服务支出2.4万元、教育支出12261.45万元、社会保障和就业支出48.22万元、卫生健康支出12.28万元、住房保障支出10.29万元、其他支出</w:t>
      </w:r>
      <w:r>
        <w:rPr>
          <w:rFonts w:hint="eastAsia" w:ascii="仿宋" w:hAnsi="仿宋" w:eastAsia="仿宋" w:cs="仿宋"/>
          <w:sz w:val="32"/>
          <w:szCs w:val="32"/>
          <w:lang w:val="en-US" w:eastAsia="zh-CN"/>
        </w:rPr>
        <w:t>2402.10</w:t>
      </w:r>
      <w:r>
        <w:rPr>
          <w:rFonts w:hint="eastAsia" w:ascii="仿宋" w:hAnsi="仿宋" w:eastAsia="仿宋" w:cs="仿宋"/>
          <w:sz w:val="32"/>
          <w:szCs w:val="32"/>
        </w:rPr>
        <w:t>万元。</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二、部门整体支出管理及使用情况</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（一）基本支出</w:t>
      </w:r>
    </w:p>
    <w:p>
      <w:pPr>
        <w:spacing w:line="500" w:lineRule="exact"/>
        <w:ind w:firstLine="720" w:firstLineChars="225"/>
        <w:rPr>
          <w:rFonts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基本支出用于为保障机构正常运转、完成日常工作任务而发生的支出，包括人员经费和公用经费。202</w:t>
      </w:r>
      <w:r>
        <w:rPr>
          <w:rFonts w:hint="eastAsia" w:ascii="仿宋" w:hAnsi="仿宋" w:eastAsia="仿宋" w:cs="仿宋"/>
          <w:sz w:val="32"/>
          <w:szCs w:val="32"/>
          <w:lang w:val="en-US" w:eastAsia="zh-CN"/>
        </w:rPr>
        <w:t>2</w:t>
      </w:r>
      <w:r>
        <w:rPr>
          <w:rFonts w:hint="eastAsia" w:ascii="仿宋" w:hAnsi="仿宋" w:eastAsia="仿宋" w:cs="仿宋"/>
          <w:sz w:val="32"/>
          <w:szCs w:val="32"/>
        </w:rPr>
        <w:t>年全年收入为14736.74万元，决算基本支出为</w:t>
      </w:r>
      <w:bookmarkStart w:id="0" w:name="OLE_LINK3"/>
      <w:r>
        <w:rPr>
          <w:rFonts w:hint="eastAsia" w:ascii="仿宋" w:hAnsi="仿宋" w:eastAsia="仿宋" w:cs="仿宋"/>
          <w:sz w:val="32"/>
          <w:szCs w:val="32"/>
        </w:rPr>
        <w:t>6260.46万元，项目支出为8476.28万元</w:t>
      </w:r>
      <w:r>
        <w:rPr>
          <w:rFonts w:hint="eastAsia" w:ascii="仿宋" w:hAnsi="仿宋" w:eastAsia="仿宋" w:cs="仿宋"/>
          <w:sz w:val="32"/>
          <w:szCs w:val="32"/>
          <w:lang w:eastAsia="zh-CN"/>
        </w:rPr>
        <w:t>。</w:t>
      </w:r>
      <w:r>
        <w:rPr>
          <w:rFonts w:hint="eastAsia" w:ascii="仿宋" w:hAnsi="仿宋" w:eastAsia="仿宋" w:cs="仿宋"/>
          <w:sz w:val="32"/>
          <w:szCs w:val="32"/>
        </w:rPr>
        <w:t>按经济科目分：一般公共服务支出2.4万元、教育支出12261.45万元、社会保障和就业支出48.22万元、卫生健康支出12.28万元、住房保障支出10.29万元、其他支出</w:t>
      </w:r>
      <w:r>
        <w:rPr>
          <w:rFonts w:hint="eastAsia" w:ascii="仿宋" w:hAnsi="仿宋" w:eastAsia="仿宋" w:cs="仿宋"/>
          <w:sz w:val="32"/>
          <w:szCs w:val="32"/>
          <w:lang w:val="en-US" w:eastAsia="zh-CN"/>
        </w:rPr>
        <w:t>2402.10</w:t>
      </w:r>
      <w:r>
        <w:rPr>
          <w:rFonts w:hint="eastAsia" w:ascii="仿宋" w:hAnsi="仿宋" w:eastAsia="仿宋" w:cs="仿宋"/>
          <w:sz w:val="32"/>
          <w:szCs w:val="32"/>
        </w:rPr>
        <w:t>万元。其中：工资福利支出</w:t>
      </w:r>
      <w:bookmarkEnd w:id="0"/>
      <w:r>
        <w:rPr>
          <w:rFonts w:hint="eastAsia" w:ascii="仿宋" w:hAnsi="仿宋" w:eastAsia="仿宋" w:cs="仿宋"/>
          <w:sz w:val="32"/>
          <w:szCs w:val="32"/>
        </w:rPr>
        <w:t>1669.77万元、商品和服务支出556.2</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bookmarkStart w:id="1" w:name="OLE_LINK4"/>
      <w:bookmarkStart w:id="2" w:name="OLE_LINK5"/>
      <w:r>
        <w:rPr>
          <w:rFonts w:hint="eastAsia" w:ascii="仿宋" w:hAnsi="仿宋" w:eastAsia="仿宋" w:cs="仿宋"/>
          <w:sz w:val="32"/>
          <w:szCs w:val="32"/>
        </w:rPr>
        <w:t>对个人和家庭的补助3464.62万元</w:t>
      </w:r>
      <w:bookmarkEnd w:id="1"/>
      <w:bookmarkEnd w:id="2"/>
      <w:r>
        <w:rPr>
          <w:rFonts w:hint="eastAsia" w:ascii="仿宋" w:hAnsi="仿宋" w:eastAsia="仿宋" w:cs="仿宋"/>
          <w:sz w:val="32"/>
          <w:szCs w:val="32"/>
        </w:rPr>
        <w:t>，其它220.90万元。202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年决算支出“三公”经费为</w:t>
      </w:r>
      <w:r>
        <w:rPr>
          <w:rFonts w:hint="eastAsia" w:ascii="仿宋" w:hAnsi="仿宋" w:eastAsia="仿宋" w:cs="仿宋"/>
          <w:sz w:val="32"/>
          <w:szCs w:val="32"/>
          <w:lang w:val="en-US" w:eastAsia="zh-CN"/>
        </w:rPr>
        <w:t>0.5</w:t>
      </w:r>
      <w:r>
        <w:rPr>
          <w:rFonts w:hint="eastAsia" w:ascii="仿宋" w:hAnsi="仿宋" w:eastAsia="仿宋" w:cs="仿宋"/>
          <w:sz w:val="32"/>
          <w:szCs w:val="32"/>
        </w:rPr>
        <w:t>万元，其中：公车运行维护费</w:t>
      </w:r>
      <w:r>
        <w:rPr>
          <w:rFonts w:ascii="仿宋" w:hAnsi="仿宋" w:eastAsia="仿宋" w:cs="仿宋"/>
          <w:sz w:val="32"/>
          <w:szCs w:val="32"/>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0.5</w:t>
      </w:r>
      <w:r>
        <w:rPr>
          <w:rFonts w:hint="eastAsia" w:ascii="仿宋" w:hAnsi="仿宋" w:eastAsia="仿宋" w:cs="仿宋"/>
          <w:sz w:val="32"/>
          <w:szCs w:val="32"/>
        </w:rPr>
        <w:t>万元、出国考察经费</w:t>
      </w:r>
      <w:r>
        <w:rPr>
          <w:rFonts w:ascii="仿宋" w:hAnsi="仿宋" w:eastAsia="仿宋" w:cs="仿宋"/>
          <w:sz w:val="32"/>
          <w:szCs w:val="32"/>
        </w:rPr>
        <w:t>0</w:t>
      </w:r>
      <w:r>
        <w:rPr>
          <w:rFonts w:hint="eastAsia" w:ascii="仿宋" w:hAnsi="仿宋" w:eastAsia="仿宋" w:cs="仿宋"/>
          <w:sz w:val="32"/>
          <w:szCs w:val="32"/>
        </w:rPr>
        <w:t>万元。</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（二）专项支出</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年专项支出8476.28万元。主要用于</w:t>
      </w:r>
      <w:r>
        <w:rPr>
          <w:rFonts w:hint="eastAsia" w:ascii="仿宋" w:hAnsi="仿宋" w:eastAsia="仿宋" w:cs="仿宋"/>
          <w:sz w:val="32"/>
          <w:szCs w:val="32"/>
          <w:lang w:eastAsia="zh-CN"/>
        </w:rPr>
        <w:t>圣达学校和县幼儿园工程及设备款</w:t>
      </w:r>
      <w:r>
        <w:rPr>
          <w:rFonts w:hint="eastAsia" w:ascii="仿宋" w:hAnsi="仿宋" w:eastAsia="仿宋" w:cs="仿宋"/>
          <w:sz w:val="32"/>
          <w:szCs w:val="32"/>
        </w:rPr>
        <w:t>，绩效评估良好。</w:t>
      </w:r>
    </w:p>
    <w:p>
      <w:pPr>
        <w:spacing w:line="500" w:lineRule="exact"/>
        <w:ind w:firstLine="480" w:firstLineChars="150"/>
        <w:rPr>
          <w:rFonts w:ascii="黑体" w:hAnsi="黑体" w:eastAsia="黑体" w:cs="Times New Roman"/>
          <w:sz w:val="32"/>
          <w:szCs w:val="32"/>
        </w:rPr>
      </w:pPr>
      <w:r>
        <w:rPr>
          <w:rFonts w:hint="eastAsia" w:ascii="黑体" w:hAnsi="黑体" w:eastAsia="黑体" w:cs="黑体"/>
          <w:sz w:val="32"/>
          <w:szCs w:val="32"/>
        </w:rPr>
        <w:t>三、</w:t>
      </w:r>
      <w:bookmarkStart w:id="3" w:name="OLE_LINK8"/>
      <w:bookmarkStart w:id="4" w:name="OLE_LINK9"/>
      <w:r>
        <w:rPr>
          <w:rFonts w:hint="eastAsia" w:ascii="黑体" w:hAnsi="黑体" w:eastAsia="黑体" w:cs="黑体"/>
          <w:sz w:val="32"/>
          <w:szCs w:val="32"/>
        </w:rPr>
        <w:t>资产管理情况</w:t>
      </w:r>
      <w:bookmarkEnd w:id="3"/>
      <w:bookmarkEnd w:id="4"/>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（一）提高认识，注重业务学习，夯实管理基础</w:t>
      </w:r>
      <w:r>
        <w:rPr>
          <w:rFonts w:ascii="宋体" w:hAnsi="宋体" w:eastAsia="楷体" w:cs="Times New Roman"/>
          <w:b/>
          <w:bCs/>
          <w:sz w:val="32"/>
          <w:szCs w:val="32"/>
        </w:rPr>
        <w:t> </w:t>
      </w:r>
    </w:p>
    <w:p>
      <w:pPr>
        <w:spacing w:line="500" w:lineRule="exact"/>
        <w:ind w:firstLine="720" w:firstLineChars="225"/>
        <w:rPr>
          <w:rFonts w:ascii="宋体" w:cs="Times New Roman"/>
          <w:sz w:val="32"/>
          <w:szCs w:val="32"/>
        </w:rPr>
      </w:pPr>
      <w:r>
        <w:rPr>
          <w:rFonts w:hint="eastAsia" w:ascii="仿宋" w:hAnsi="仿宋" w:eastAsia="仿宋" w:cs="仿宋"/>
          <w:sz w:val="32"/>
          <w:szCs w:val="32"/>
        </w:rPr>
        <w:t>为加强和规范行政事业单位国有资产管理，提高财政资金使用效益，保证单位国有资产的安全完整，进一步提高资产管理水平，我局认真学习《行政事业单位国有资产管理暂行办法》、《事业单位国有资产管理暂行办法》等有关文件，明确了工作职责与工作要求，力求做到规范管理、科学统筹，不断提高资产使用效率。</w:t>
      </w:r>
      <w:r>
        <w:rPr>
          <w:rFonts w:ascii="宋体" w:cs="Times New Roman"/>
          <w:sz w:val="32"/>
          <w:szCs w:val="32"/>
        </w:rPr>
        <w:t> </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（二）完善资产管理制度，提高资产管理水平</w:t>
      </w:r>
      <w:r>
        <w:rPr>
          <w:rFonts w:ascii="宋体" w:hAnsi="宋体" w:eastAsia="楷体" w:cs="Times New Roman"/>
          <w:b/>
          <w:bCs/>
          <w:sz w:val="32"/>
          <w:szCs w:val="32"/>
        </w:rPr>
        <w:t> </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事业单位国有资产管理工作需要有相应的配套管理办法来支持实施，构筑完善的制度体系是建立事业单位国有资产管理长效机制的基础。我局为进一步提高资产管理水平，防止国有资产流失，维护国有资产的安全和完整，在工作中结合本院实际情况，积极探索与之相适应的资产管理配套实施办法，新修订了资产管理制度，加大了资产管理力度。</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（三）加强日常资产管理，规范管理程序</w:t>
      </w:r>
      <w:r>
        <w:rPr>
          <w:rFonts w:ascii="楷体" w:hAnsi="楷体" w:eastAsia="楷体" w:cs="Times New Roman"/>
          <w:b/>
          <w:bCs/>
          <w:sz w:val="32"/>
          <w:szCs w:val="32"/>
        </w:rPr>
        <w:t> </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在资产的日常管理方面，将单位国有资产层次化、集中化管理，优化国有资产的配置和分布，提升了国有资产的管理水平。</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实施“单位资产动态兼管，资源共享，资产管理与预算管理、资金管理相结合”的管理办法。</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新增（购买、接收捐赠）资产及时入账，落实保管制度，责任到人。</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资产盘亏、报废由局办公室盘点后提出资产盘亏、报废申请报告，并会同财务部门核查落实后，报财政部门审批，严格规范资产处置程序。</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落实检查制度，对各</w:t>
      </w:r>
      <w:bookmarkStart w:id="5" w:name="OLE_LINK2"/>
      <w:r>
        <w:rPr>
          <w:rFonts w:hint="eastAsia" w:ascii="仿宋" w:hAnsi="仿宋" w:eastAsia="仿宋" w:cs="仿宋"/>
          <w:sz w:val="32"/>
          <w:szCs w:val="32"/>
        </w:rPr>
        <w:t>学校、</w:t>
      </w:r>
      <w:bookmarkEnd w:id="5"/>
      <w:r>
        <w:rPr>
          <w:rFonts w:hint="eastAsia" w:ascii="仿宋" w:hAnsi="仿宋" w:eastAsia="仿宋" w:cs="仿宋"/>
          <w:sz w:val="32"/>
          <w:szCs w:val="32"/>
        </w:rPr>
        <w:t>科室资产的调配、使用、保管进行定期和不定期检查，特别是对易携带、易丢失、已损坏资产的检查，通过检查未发现有出租、出借、私自带走单位资产的现象，各学校、科室基本做到了账实相符，存放地点清楚，责任人员明确。</w:t>
      </w:r>
      <w:r>
        <w:rPr>
          <w:rFonts w:ascii="宋体" w:cs="Times New Roman"/>
          <w:sz w:val="32"/>
          <w:szCs w:val="32"/>
        </w:rPr>
        <w:t> </w:t>
      </w:r>
    </w:p>
    <w:p>
      <w:pPr>
        <w:spacing w:line="500" w:lineRule="exact"/>
        <w:ind w:firstLine="720" w:firstLineChars="225"/>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各科室均加强了安全措施，本年度无资产被盗现象，使用管理人员都能做好检查维护工作，确保资产的使用性能。</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五、部门整体支出绩效情况</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年，县教育局突出抓改革、强教育、促发展，各方面工作稳步推进，根据《部门整体支出绩效评价指标》评分表自评得分</w:t>
      </w:r>
      <w:r>
        <w:rPr>
          <w:rFonts w:ascii="仿宋" w:hAnsi="仿宋" w:eastAsia="仿宋" w:cs="仿宋"/>
          <w:sz w:val="32"/>
          <w:szCs w:val="32"/>
        </w:rPr>
        <w:t>9</w:t>
      </w:r>
      <w:r>
        <w:rPr>
          <w:rFonts w:hint="eastAsia" w:ascii="仿宋" w:hAnsi="仿宋" w:eastAsia="仿宋" w:cs="仿宋"/>
          <w:sz w:val="32"/>
          <w:szCs w:val="32"/>
        </w:rPr>
        <w:t>0分，财政支出绩效为“优秀”。主要绩效如下：</w:t>
      </w:r>
    </w:p>
    <w:p>
      <w:pPr>
        <w:spacing w:line="500" w:lineRule="exact"/>
        <w:ind w:firstLine="720" w:firstLineChars="225"/>
        <w:rPr>
          <w:rFonts w:ascii="楷体" w:hAnsi="楷体" w:eastAsia="楷体" w:cs="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、部门支出绩效。</w:t>
      </w:r>
      <w:r>
        <w:rPr>
          <w:rFonts w:ascii="楷体" w:hAnsi="楷体" w:eastAsia="楷体" w:cs="楷体"/>
          <w:b/>
          <w:bCs/>
          <w:sz w:val="32"/>
          <w:szCs w:val="32"/>
        </w:rPr>
        <w:t xml:space="preserve"> </w:t>
      </w:r>
    </w:p>
    <w:p>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1</w:t>
      </w:r>
      <w:r>
        <w:rPr>
          <w:rFonts w:hint="eastAsia" w:ascii="仿宋" w:hAnsi="仿宋" w:eastAsia="仿宋" w:cs="仿宋"/>
          <w:b/>
          <w:bCs/>
          <w:sz w:val="32"/>
          <w:szCs w:val="32"/>
        </w:rPr>
        <w:t>）行政运转保障。</w:t>
      </w:r>
      <w:r>
        <w:rPr>
          <w:rFonts w:hint="eastAsia" w:ascii="仿宋" w:hAnsi="仿宋" w:eastAsia="仿宋" w:cs="仿宋"/>
          <w:sz w:val="32"/>
          <w:szCs w:val="32"/>
        </w:rPr>
        <w:t>在单位的日常经费管理工作中首先保障单位基本运转，保障人员支出和日常公用经费，确保本部门教育管理工作的正常运转和人员稳定，在资金有保证的情况下着力改善办公条件。</w:t>
      </w:r>
      <w:r>
        <w:rPr>
          <w:rFonts w:ascii="仿宋" w:hAnsi="仿宋" w:eastAsia="仿宋" w:cs="仿宋"/>
          <w:sz w:val="32"/>
          <w:szCs w:val="32"/>
        </w:rPr>
        <w:t xml:space="preserve"> </w:t>
      </w:r>
    </w:p>
    <w:p>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2</w:t>
      </w:r>
      <w:r>
        <w:rPr>
          <w:rFonts w:hint="eastAsia" w:ascii="仿宋" w:hAnsi="仿宋" w:eastAsia="仿宋" w:cs="仿宋"/>
          <w:b/>
          <w:bCs/>
          <w:sz w:val="32"/>
          <w:szCs w:val="32"/>
        </w:rPr>
        <w:t>）机关厉行节约。</w:t>
      </w:r>
      <w:r>
        <w:rPr>
          <w:rFonts w:hint="eastAsia" w:ascii="仿宋" w:hAnsi="仿宋" w:eastAsia="仿宋" w:cs="仿宋"/>
          <w:sz w:val="32"/>
          <w:szCs w:val="32"/>
        </w:rPr>
        <w:t>在保障基本运转的前提下，大力倡导厉行节约，把有限的资金用在刀刃上。202</w:t>
      </w:r>
      <w:r>
        <w:rPr>
          <w:rFonts w:hint="eastAsia" w:ascii="仿宋" w:hAnsi="仿宋" w:eastAsia="仿宋" w:cs="仿宋"/>
          <w:sz w:val="32"/>
          <w:szCs w:val="32"/>
          <w:lang w:val="en-US" w:eastAsia="zh-CN"/>
        </w:rPr>
        <w:t>2</w:t>
      </w:r>
      <w:r>
        <w:rPr>
          <w:rFonts w:hint="eastAsia" w:ascii="仿宋" w:hAnsi="仿宋" w:eastAsia="仿宋" w:cs="仿宋"/>
          <w:sz w:val="32"/>
          <w:szCs w:val="32"/>
        </w:rPr>
        <w:t>年全年无因公出国（境）费用，公车运行维护费用全年为</w:t>
      </w:r>
      <w:r>
        <w:rPr>
          <w:rFonts w:ascii="仿宋" w:hAnsi="仿宋" w:eastAsia="仿宋" w:cs="仿宋"/>
          <w:sz w:val="32"/>
          <w:szCs w:val="32"/>
        </w:rPr>
        <w:t>0</w:t>
      </w:r>
      <w:r>
        <w:rPr>
          <w:rFonts w:hint="eastAsia" w:ascii="仿宋" w:hAnsi="仿宋" w:eastAsia="仿宋" w:cs="仿宋"/>
          <w:sz w:val="32"/>
          <w:szCs w:val="32"/>
        </w:rPr>
        <w:t>万元，公务接待经费全年为</w:t>
      </w:r>
      <w:r>
        <w:rPr>
          <w:rFonts w:hint="eastAsia" w:ascii="仿宋" w:hAnsi="仿宋" w:eastAsia="仿宋" w:cs="仿宋"/>
          <w:sz w:val="32"/>
          <w:szCs w:val="32"/>
          <w:lang w:val="en-US" w:eastAsia="zh-CN"/>
        </w:rPr>
        <w:t>0.5</w:t>
      </w:r>
      <w:r>
        <w:rPr>
          <w:rFonts w:hint="eastAsia" w:ascii="仿宋" w:hAnsi="仿宋" w:eastAsia="仿宋" w:cs="仿宋"/>
          <w:sz w:val="32"/>
          <w:szCs w:val="32"/>
        </w:rPr>
        <w:t>万元。</w:t>
      </w:r>
      <w:r>
        <w:rPr>
          <w:rFonts w:ascii="仿宋" w:hAnsi="仿宋" w:eastAsia="仿宋" w:cs="仿宋"/>
          <w:sz w:val="32"/>
          <w:szCs w:val="32"/>
        </w:rPr>
        <w:t xml:space="preserve"> </w:t>
      </w:r>
    </w:p>
    <w:p>
      <w:pPr>
        <w:spacing w:line="500" w:lineRule="exact"/>
        <w:ind w:firstLine="720" w:firstLineChars="225"/>
        <w:rPr>
          <w:rFonts w:ascii="仿宋" w:hAnsi="仿宋" w:eastAsia="仿宋" w:cs="Times New Roman"/>
          <w:b/>
          <w:bCs/>
          <w:sz w:val="32"/>
          <w:szCs w:val="32"/>
        </w:rPr>
      </w:pPr>
      <w:r>
        <w:rPr>
          <w:rFonts w:hint="eastAsia" w:ascii="仿宋" w:hAnsi="仿宋" w:eastAsia="仿宋" w:cs="仿宋"/>
          <w:b/>
          <w:bCs/>
          <w:sz w:val="32"/>
          <w:szCs w:val="32"/>
        </w:rPr>
        <w:t>（</w:t>
      </w:r>
      <w:r>
        <w:rPr>
          <w:rFonts w:ascii="仿宋" w:hAnsi="仿宋" w:eastAsia="仿宋" w:cs="仿宋"/>
          <w:b/>
          <w:bCs/>
          <w:sz w:val="32"/>
          <w:szCs w:val="32"/>
        </w:rPr>
        <w:t>3</w:t>
      </w:r>
      <w:r>
        <w:rPr>
          <w:rFonts w:hint="eastAsia" w:ascii="仿宋" w:hAnsi="仿宋" w:eastAsia="仿宋" w:cs="仿宋"/>
          <w:b/>
          <w:bCs/>
          <w:sz w:val="32"/>
          <w:szCs w:val="32"/>
        </w:rPr>
        <w:t>）预决算公开情况。</w:t>
      </w:r>
      <w:r>
        <w:rPr>
          <w:rFonts w:hint="eastAsia" w:ascii="仿宋" w:hAnsi="仿宋" w:eastAsia="仿宋" w:cs="仿宋"/>
          <w:sz w:val="32"/>
          <w:szCs w:val="32"/>
        </w:rPr>
        <w:t>按照相关规定，本部门预决算、“三公”经费预决算、其他重要财政资金使用情况均已公开公示。</w:t>
      </w:r>
      <w:r>
        <w:rPr>
          <w:rFonts w:ascii="仿宋" w:hAnsi="仿宋" w:eastAsia="仿宋" w:cs="仿宋"/>
          <w:sz w:val="32"/>
          <w:szCs w:val="32"/>
        </w:rPr>
        <w:t xml:space="preserve"> </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六、存在的主要问题</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由于财政资金紧张，有时在资金安排和下达上较晚，部门在运用资金时受到一定的限制</w:t>
      </w:r>
      <w:r>
        <w:rPr>
          <w:rFonts w:ascii="仿宋" w:hAnsi="仿宋" w:eastAsia="仿宋" w:cs="仿宋"/>
          <w:sz w:val="32"/>
          <w:szCs w:val="32"/>
        </w:rPr>
        <w:t>,</w:t>
      </w:r>
      <w:r>
        <w:rPr>
          <w:rFonts w:hint="eastAsia" w:ascii="仿宋" w:hAnsi="仿宋" w:eastAsia="仿宋" w:cs="仿宋"/>
          <w:sz w:val="32"/>
          <w:szCs w:val="32"/>
        </w:rPr>
        <w:t>资金执行进度未按照预算逐月使用。</w:t>
      </w:r>
    </w:p>
    <w:p>
      <w:pPr>
        <w:spacing w:line="500" w:lineRule="exact"/>
        <w:ind w:firstLine="720" w:firstLineChars="225"/>
        <w:rPr>
          <w:rFonts w:ascii="黑体" w:hAnsi="黑体" w:eastAsia="黑体" w:cs="Times New Roman"/>
          <w:sz w:val="32"/>
          <w:szCs w:val="32"/>
        </w:rPr>
      </w:pPr>
      <w:r>
        <w:rPr>
          <w:rFonts w:hint="eastAsia" w:ascii="黑体" w:hAnsi="黑体" w:eastAsia="黑体" w:cs="黑体"/>
          <w:sz w:val="32"/>
          <w:szCs w:val="32"/>
        </w:rPr>
        <w:t>七、改进措施和有关建议</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（一）加强新行政单位会计制度和新预算法学习培训</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加强新《预算法》、《行政单位会计制度》等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（二）规范账务处理，提高财务信息质量</w:t>
      </w:r>
    </w:p>
    <w:p>
      <w:pPr>
        <w:spacing w:line="500" w:lineRule="exact"/>
        <w:ind w:firstLine="720" w:firstLineChars="225"/>
        <w:rPr>
          <w:rFonts w:ascii="仿宋" w:hAnsi="仿宋" w:eastAsia="仿宋" w:cs="Times New Roman"/>
          <w:sz w:val="32"/>
          <w:szCs w:val="32"/>
        </w:rPr>
      </w:pPr>
      <w:r>
        <w:rPr>
          <w:rFonts w:hint="eastAsia" w:ascii="仿宋" w:hAnsi="仿宋" w:eastAsia="仿宋" w:cs="仿宋"/>
          <w:sz w:val="32"/>
          <w:szCs w:val="32"/>
        </w:rPr>
        <w:t>严格按照《会计法》、《行政单位会计制度》、《行政单位财务规则》等规定执行财务核算，并结合实际情况，完整、准确地披露相关信息，尽可能地做到决算与预算相衔接。</w:t>
      </w:r>
    </w:p>
    <w:p>
      <w:pPr>
        <w:spacing w:line="500" w:lineRule="exact"/>
        <w:ind w:firstLine="720" w:firstLineChars="225"/>
        <w:rPr>
          <w:rFonts w:ascii="楷体" w:hAnsi="楷体" w:eastAsia="楷体" w:cs="Times New Roman"/>
          <w:b/>
          <w:bCs/>
          <w:sz w:val="32"/>
          <w:szCs w:val="32"/>
        </w:rPr>
      </w:pPr>
      <w:r>
        <w:rPr>
          <w:rFonts w:hint="eastAsia" w:ascii="楷体" w:hAnsi="楷体" w:eastAsia="楷体" w:cs="楷体"/>
          <w:b/>
          <w:bCs/>
          <w:sz w:val="32"/>
          <w:szCs w:val="32"/>
        </w:rPr>
        <w:t>（三）完善管理制度，进一步加强资产管理</w:t>
      </w:r>
    </w:p>
    <w:p>
      <w:pPr>
        <w:jc w:val="left"/>
        <w:rPr>
          <w:rFonts w:ascii="宋体" w:cs="Times New Roman"/>
          <w:color w:val="000000"/>
          <w:kern w:val="0"/>
          <w:sz w:val="32"/>
          <w:szCs w:val="32"/>
        </w:rPr>
      </w:pPr>
      <w:r>
        <w:rPr>
          <w:rFonts w:hint="eastAsia" w:ascii="仿宋" w:hAnsi="仿宋" w:eastAsia="仿宋" w:cs="仿宋"/>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ind w:firstLine="640" w:firstLineChars="200"/>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0CDB"/>
    <w:multiLevelType w:val="singleLevel"/>
    <w:tmpl w:val="9BDD0CDB"/>
    <w:lvl w:ilvl="0" w:tentative="0">
      <w:start w:val="2"/>
      <w:numFmt w:val="chineseCounting"/>
      <w:suff w:val="nothing"/>
      <w:lvlText w:val="%1、"/>
      <w:lvlJc w:val="left"/>
      <w:rPr>
        <w:rFonts w:hint="eastAsia"/>
      </w:rPr>
    </w:lvl>
  </w:abstractNum>
  <w:abstractNum w:abstractNumId="1">
    <w:nsid w:val="F7BFA2EF"/>
    <w:multiLevelType w:val="singleLevel"/>
    <w:tmpl w:val="F7BFA2EF"/>
    <w:lvl w:ilvl="0" w:tentative="0">
      <w:start w:val="2"/>
      <w:numFmt w:val="decimal"/>
      <w:suff w:val="nothing"/>
      <w:lvlText w:val="%1、"/>
      <w:lvlJc w:val="left"/>
      <w:pPr>
        <w:ind w:left="25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A2A74"/>
    <w:rsid w:val="04AE03B0"/>
    <w:rsid w:val="07D9053B"/>
    <w:rsid w:val="0EE12810"/>
    <w:rsid w:val="10BB784F"/>
    <w:rsid w:val="111B3F66"/>
    <w:rsid w:val="11DF0A6D"/>
    <w:rsid w:val="14226A33"/>
    <w:rsid w:val="15185CA7"/>
    <w:rsid w:val="15EE50E0"/>
    <w:rsid w:val="176A7D3E"/>
    <w:rsid w:val="186F1B1E"/>
    <w:rsid w:val="1882198B"/>
    <w:rsid w:val="18846756"/>
    <w:rsid w:val="194A0DE8"/>
    <w:rsid w:val="1B1A7868"/>
    <w:rsid w:val="1BFD0019"/>
    <w:rsid w:val="1DF334D5"/>
    <w:rsid w:val="2157393F"/>
    <w:rsid w:val="23395F8A"/>
    <w:rsid w:val="27D77CE6"/>
    <w:rsid w:val="28937013"/>
    <w:rsid w:val="2B113B0E"/>
    <w:rsid w:val="2B361B54"/>
    <w:rsid w:val="2C2724C7"/>
    <w:rsid w:val="2E520C28"/>
    <w:rsid w:val="2EBD0234"/>
    <w:rsid w:val="300514EF"/>
    <w:rsid w:val="30146F4B"/>
    <w:rsid w:val="32BB1C83"/>
    <w:rsid w:val="35E96AB5"/>
    <w:rsid w:val="378B0797"/>
    <w:rsid w:val="383F1B57"/>
    <w:rsid w:val="39275B41"/>
    <w:rsid w:val="3A1B6270"/>
    <w:rsid w:val="414032D5"/>
    <w:rsid w:val="41414128"/>
    <w:rsid w:val="456B0341"/>
    <w:rsid w:val="4752316E"/>
    <w:rsid w:val="4B923C47"/>
    <w:rsid w:val="4D565C2E"/>
    <w:rsid w:val="4D792AED"/>
    <w:rsid w:val="524A03C8"/>
    <w:rsid w:val="5777D4F5"/>
    <w:rsid w:val="58C1657A"/>
    <w:rsid w:val="591304B3"/>
    <w:rsid w:val="59A55F73"/>
    <w:rsid w:val="5BFD7816"/>
    <w:rsid w:val="5C593045"/>
    <w:rsid w:val="5C5E21EF"/>
    <w:rsid w:val="5DB03139"/>
    <w:rsid w:val="5DFE1AF0"/>
    <w:rsid w:val="5E0C17D2"/>
    <w:rsid w:val="5FC6BB1E"/>
    <w:rsid w:val="5FF720F1"/>
    <w:rsid w:val="63402869"/>
    <w:rsid w:val="65217654"/>
    <w:rsid w:val="652E1DA5"/>
    <w:rsid w:val="66A852F5"/>
    <w:rsid w:val="67973300"/>
    <w:rsid w:val="67F02AB0"/>
    <w:rsid w:val="684079C6"/>
    <w:rsid w:val="6C6972D4"/>
    <w:rsid w:val="711223E7"/>
    <w:rsid w:val="71771B4C"/>
    <w:rsid w:val="72F378F8"/>
    <w:rsid w:val="737D59BA"/>
    <w:rsid w:val="738A4092"/>
    <w:rsid w:val="77C37683"/>
    <w:rsid w:val="77E257C8"/>
    <w:rsid w:val="79030169"/>
    <w:rsid w:val="79FF515B"/>
    <w:rsid w:val="7B722E89"/>
    <w:rsid w:val="7CBC1D82"/>
    <w:rsid w:val="7E9F11B4"/>
    <w:rsid w:val="7EE527EB"/>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10007</Words>
  <Characters>12314</Characters>
  <Lines>63</Lines>
  <Paragraphs>18</Paragraphs>
  <TotalTime>3</TotalTime>
  <ScaleCrop>false</ScaleCrop>
  <LinksUpToDate>false</LinksUpToDate>
  <CharactersWithSpaces>12391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2023-10-11T03:52:54Z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B6CD187065F944858D6728DC55C0306C_12</vt:lpwstr>
  </property>
</Properties>
</file>