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5C4B3">
      <w:pPr>
        <w:pStyle w:val="9"/>
        <w:jc w:val="center"/>
        <w:rPr>
          <w:sz w:val="56"/>
          <w:szCs w:val="56"/>
        </w:rPr>
      </w:pPr>
    </w:p>
    <w:p w14:paraId="7DDAB19B">
      <w:pPr>
        <w:pStyle w:val="9"/>
        <w:jc w:val="center"/>
        <w:rPr>
          <w:sz w:val="56"/>
          <w:szCs w:val="56"/>
        </w:rPr>
      </w:pPr>
    </w:p>
    <w:p w14:paraId="523D0FFE">
      <w:pPr>
        <w:pStyle w:val="9"/>
        <w:jc w:val="center"/>
        <w:rPr>
          <w:sz w:val="84"/>
          <w:szCs w:val="84"/>
        </w:rPr>
      </w:pPr>
    </w:p>
    <w:p w14:paraId="7FECB800">
      <w:pPr>
        <w:pStyle w:val="9"/>
        <w:jc w:val="center"/>
        <w:rPr>
          <w:sz w:val="84"/>
          <w:szCs w:val="84"/>
        </w:rPr>
      </w:pPr>
    </w:p>
    <w:p w14:paraId="0CDE67A2">
      <w:pPr>
        <w:pStyle w:val="9"/>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331B1AB7">
      <w:pPr>
        <w:pStyle w:val="9"/>
        <w:jc w:val="center"/>
        <w:rPr>
          <w:rFonts w:hint="eastAsia" w:ascii="方正小标宋_GBK" w:hAnsi="方正小标宋_GBK" w:eastAsia="方正小标宋_GBK" w:cs="方正小标宋_GBK"/>
          <w:b w:val="0"/>
          <w:bCs w:val="0"/>
          <w:sz w:val="72"/>
          <w:szCs w:val="72"/>
        </w:rPr>
      </w:pPr>
      <w:r>
        <w:rPr>
          <w:rFonts w:hint="eastAsia" w:ascii="方正小标宋_GBK" w:hAnsi="方正小标宋_GBK" w:eastAsia="方正小标宋_GBK" w:cs="方正小标宋_GBK"/>
          <w:b w:val="0"/>
          <w:bCs w:val="0"/>
          <w:sz w:val="72"/>
          <w:szCs w:val="72"/>
          <w:lang w:eastAsia="zh-CN"/>
        </w:rPr>
        <w:t>溆浦县教育局</w:t>
      </w:r>
      <w:r>
        <w:rPr>
          <w:rFonts w:hint="eastAsia" w:ascii="方正小标宋_GBK" w:hAnsi="方正小标宋_GBK" w:eastAsia="方正小标宋_GBK" w:cs="方正小标宋_GBK"/>
          <w:b w:val="0"/>
          <w:bCs w:val="0"/>
          <w:sz w:val="72"/>
          <w:szCs w:val="72"/>
        </w:rPr>
        <w:t>（</w:t>
      </w:r>
      <w:r>
        <w:rPr>
          <w:rFonts w:hint="eastAsia" w:ascii="方正小标宋_GBK" w:hAnsi="方正小标宋_GBK" w:eastAsia="方正小标宋_GBK" w:cs="方正小标宋_GBK"/>
          <w:b w:val="0"/>
          <w:bCs w:val="0"/>
          <w:sz w:val="72"/>
          <w:szCs w:val="72"/>
          <w:lang w:eastAsia="zh-CN"/>
        </w:rPr>
        <w:t>本级</w:t>
      </w:r>
      <w:r>
        <w:rPr>
          <w:rFonts w:hint="eastAsia" w:ascii="方正小标宋_GBK" w:hAnsi="方正小标宋_GBK" w:eastAsia="方正小标宋_GBK" w:cs="方正小标宋_GBK"/>
          <w:b w:val="0"/>
          <w:bCs w:val="0"/>
          <w:sz w:val="72"/>
          <w:szCs w:val="72"/>
        </w:rPr>
        <w:t>）</w:t>
      </w:r>
    </w:p>
    <w:p w14:paraId="2C0AA3DD">
      <w:pPr>
        <w:pStyle w:val="9"/>
        <w:jc w:val="center"/>
        <w:rPr>
          <w:rFonts w:hint="eastAsia" w:ascii="方正小标宋_GBK" w:hAnsi="方正小标宋_GBK" w:eastAsia="方正小标宋_GBK" w:cs="方正小标宋_GBK"/>
          <w:b w:val="0"/>
          <w:bCs w:val="0"/>
          <w:sz w:val="72"/>
          <w:szCs w:val="72"/>
        </w:rPr>
      </w:pPr>
      <w:r>
        <w:rPr>
          <w:rFonts w:hint="eastAsia" w:ascii="方正小标宋_GBK" w:hAnsi="方正小标宋_GBK" w:eastAsia="方正小标宋_GBK" w:cs="方正小标宋_GBK"/>
          <w:b w:val="0"/>
          <w:bCs w:val="0"/>
          <w:sz w:val="72"/>
          <w:szCs w:val="72"/>
        </w:rPr>
        <w:t>部门决算</w:t>
      </w:r>
    </w:p>
    <w:p w14:paraId="54F49E3A">
      <w:pPr>
        <w:pStyle w:val="9"/>
        <w:jc w:val="center"/>
        <w:rPr>
          <w:rFonts w:hint="eastAsia" w:ascii="方正小标宋_GBK" w:hAnsi="方正小标宋_GBK" w:eastAsia="方正小标宋_GBK" w:cs="方正小标宋_GBK"/>
          <w:sz w:val="56"/>
          <w:szCs w:val="56"/>
        </w:rPr>
      </w:pPr>
    </w:p>
    <w:p w14:paraId="468337C5">
      <w:pPr>
        <w:pStyle w:val="9"/>
        <w:jc w:val="center"/>
        <w:rPr>
          <w:sz w:val="56"/>
          <w:szCs w:val="56"/>
        </w:rPr>
      </w:pPr>
    </w:p>
    <w:p w14:paraId="6993A4DD">
      <w:pPr>
        <w:pStyle w:val="9"/>
        <w:jc w:val="center"/>
        <w:rPr>
          <w:sz w:val="56"/>
          <w:szCs w:val="56"/>
        </w:rPr>
      </w:pPr>
    </w:p>
    <w:p w14:paraId="158AFA31">
      <w:pPr>
        <w:pStyle w:val="9"/>
        <w:jc w:val="center"/>
        <w:rPr>
          <w:sz w:val="56"/>
          <w:szCs w:val="56"/>
        </w:rPr>
      </w:pPr>
    </w:p>
    <w:p w14:paraId="35B81DA9">
      <w:pPr>
        <w:pStyle w:val="9"/>
        <w:jc w:val="center"/>
        <w:rPr>
          <w:sz w:val="32"/>
          <w:szCs w:val="32"/>
        </w:rPr>
      </w:pPr>
    </w:p>
    <w:p w14:paraId="7CF28F66">
      <w:pPr>
        <w:pStyle w:val="9"/>
        <w:jc w:val="center"/>
        <w:rPr>
          <w:sz w:val="32"/>
          <w:szCs w:val="32"/>
        </w:rPr>
      </w:pPr>
    </w:p>
    <w:p w14:paraId="1D8E6C3E">
      <w:pPr>
        <w:pStyle w:val="9"/>
        <w:jc w:val="center"/>
        <w:rPr>
          <w:sz w:val="32"/>
          <w:szCs w:val="32"/>
        </w:rPr>
      </w:pPr>
    </w:p>
    <w:p w14:paraId="272D5125">
      <w:pPr>
        <w:pStyle w:val="9"/>
        <w:spacing w:line="500" w:lineRule="exact"/>
        <w:jc w:val="both"/>
        <w:rPr>
          <w:b/>
          <w:sz w:val="36"/>
          <w:szCs w:val="28"/>
        </w:rPr>
      </w:pPr>
    </w:p>
    <w:p w14:paraId="154EB61A">
      <w:pPr>
        <w:pStyle w:val="9"/>
        <w:spacing w:line="500" w:lineRule="exact"/>
        <w:jc w:val="center"/>
        <w:rPr>
          <w:b/>
          <w:sz w:val="36"/>
          <w:szCs w:val="28"/>
        </w:rPr>
      </w:pPr>
      <w:r>
        <w:rPr>
          <w:rFonts w:hint="eastAsia"/>
          <w:b/>
          <w:sz w:val="36"/>
          <w:szCs w:val="28"/>
        </w:rPr>
        <w:t>目录</w:t>
      </w:r>
    </w:p>
    <w:p w14:paraId="567D55BA">
      <w:pPr>
        <w:pStyle w:val="9"/>
        <w:spacing w:line="500" w:lineRule="exact"/>
        <w:rPr>
          <w:rFonts w:ascii="仿宋_GB2312" w:hAnsi="仿宋_GB2312" w:cs="仿宋_GB2312"/>
          <w:b w:val="0"/>
          <w:bCs/>
          <w:sz w:val="28"/>
          <w:szCs w:val="28"/>
        </w:rPr>
      </w:pPr>
      <w:r>
        <w:rPr>
          <w:rFonts w:hint="eastAsia"/>
          <w:b w:val="0"/>
          <w:bCs/>
          <w:sz w:val="28"/>
          <w:szCs w:val="28"/>
        </w:rPr>
        <w:t>第一部分溆浦县教育局</w:t>
      </w:r>
      <w:r>
        <w:rPr>
          <w:rFonts w:hint="eastAsia"/>
          <w:b w:val="0"/>
          <w:bCs/>
          <w:sz w:val="28"/>
          <w:szCs w:val="28"/>
          <w:lang w:eastAsia="zh-CN"/>
        </w:rPr>
        <w:t>（本级）</w:t>
      </w:r>
      <w:r>
        <w:rPr>
          <w:rFonts w:hint="eastAsia"/>
          <w:b w:val="0"/>
          <w:bCs/>
          <w:sz w:val="28"/>
          <w:szCs w:val="28"/>
        </w:rPr>
        <w:t>概况</w:t>
      </w:r>
    </w:p>
    <w:p w14:paraId="33564CD2">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B77C737">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2B2653E7">
      <w:pPr>
        <w:pStyle w:val="9"/>
        <w:spacing w:line="500" w:lineRule="exact"/>
        <w:rPr>
          <w:rFonts w:ascii="仿宋_GB2312" w:hAnsi="仿宋_GB2312" w:cs="仿宋_GB2312"/>
          <w:b w:val="0"/>
          <w:bCs/>
          <w:sz w:val="28"/>
          <w:szCs w:val="28"/>
        </w:rPr>
      </w:pPr>
      <w:r>
        <w:rPr>
          <w:rFonts w:hint="eastAsia" w:hAnsi="仿宋_GB2312"/>
          <w:b w:val="0"/>
          <w:bCs/>
          <w:sz w:val="28"/>
          <w:szCs w:val="28"/>
        </w:rPr>
        <w:t>第二部分202</w:t>
      </w:r>
      <w:r>
        <w:rPr>
          <w:rFonts w:hint="eastAsia" w:hAnsi="仿宋_GB2312"/>
          <w:b w:val="0"/>
          <w:bCs/>
          <w:sz w:val="28"/>
          <w:szCs w:val="28"/>
          <w:lang w:val="en-US" w:eastAsia="zh-CN"/>
        </w:rPr>
        <w:t>2</w:t>
      </w:r>
      <w:r>
        <w:rPr>
          <w:rFonts w:hint="eastAsia" w:hAnsi="仿宋_GB2312"/>
          <w:b w:val="0"/>
          <w:bCs/>
          <w:sz w:val="28"/>
          <w:szCs w:val="28"/>
        </w:rPr>
        <w:t>年度部门决算表</w:t>
      </w:r>
    </w:p>
    <w:p w14:paraId="32B67DFF">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93DBC85">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4CB67EC">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6624DD87">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21BA5C0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A505077">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9B576E6">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5CC5DE8">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1F0E49B">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57984EC">
      <w:pPr>
        <w:pStyle w:val="9"/>
        <w:spacing w:line="500" w:lineRule="exact"/>
        <w:rPr>
          <w:rFonts w:hint="eastAsia" w:hAnsi="仿宋_GB2312"/>
          <w:b w:val="0"/>
          <w:bCs/>
          <w:sz w:val="28"/>
          <w:szCs w:val="28"/>
        </w:rPr>
      </w:pPr>
      <w:r>
        <w:rPr>
          <w:rFonts w:hint="eastAsia" w:hAnsi="仿宋_GB2312"/>
          <w:b w:val="0"/>
          <w:bCs/>
          <w:sz w:val="28"/>
          <w:szCs w:val="28"/>
        </w:rPr>
        <w:t>第三部分</w:t>
      </w:r>
      <w:r>
        <w:rPr>
          <w:rFonts w:hint="eastAsia" w:hAnsi="仿宋_GB2312"/>
          <w:b w:val="0"/>
          <w:bCs/>
          <w:sz w:val="28"/>
          <w:szCs w:val="28"/>
          <w:lang w:eastAsia="zh-CN"/>
        </w:rPr>
        <w:t>2022</w:t>
      </w:r>
      <w:r>
        <w:rPr>
          <w:rFonts w:hint="eastAsia" w:hAnsi="仿宋_GB2312"/>
          <w:b w:val="0"/>
          <w:bCs/>
          <w:sz w:val="28"/>
          <w:szCs w:val="28"/>
        </w:rPr>
        <w:t>年度部门决算情况说明</w:t>
      </w:r>
    </w:p>
    <w:p w14:paraId="291B220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4D44EF2A">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82403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5B8AFFC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02908FE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809A9A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670150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6AC2939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197D0A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794703E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272CD5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AB73F15">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45134350">
      <w:pPr>
        <w:pStyle w:val="9"/>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40A38958">
      <w:pPr>
        <w:pStyle w:val="9"/>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7F79EA3">
      <w:pPr>
        <w:jc w:val="center"/>
        <w:rPr>
          <w:sz w:val="72"/>
          <w:szCs w:val="72"/>
        </w:rPr>
      </w:pPr>
    </w:p>
    <w:p w14:paraId="70CBFDDC">
      <w:pPr>
        <w:jc w:val="center"/>
        <w:rPr>
          <w:sz w:val="72"/>
          <w:szCs w:val="72"/>
        </w:rPr>
      </w:pPr>
    </w:p>
    <w:p w14:paraId="46FECDEA">
      <w:pPr>
        <w:jc w:val="center"/>
        <w:rPr>
          <w:sz w:val="72"/>
          <w:szCs w:val="72"/>
        </w:rPr>
      </w:pPr>
    </w:p>
    <w:p w14:paraId="4EEDF750">
      <w:pPr>
        <w:jc w:val="center"/>
        <w:rPr>
          <w:sz w:val="72"/>
          <w:szCs w:val="72"/>
        </w:rPr>
      </w:pPr>
    </w:p>
    <w:p w14:paraId="6CC1C753">
      <w:pPr>
        <w:rPr>
          <w:rFonts w:hint="eastAsia" w:ascii="方正小标宋_GBK" w:hAnsi="方正小标宋_GBK" w:eastAsia="方正小标宋_GBK" w:cs="方正小标宋_GBK"/>
          <w:sz w:val="72"/>
          <w:szCs w:val="72"/>
        </w:rPr>
      </w:pPr>
    </w:p>
    <w:p w14:paraId="35FE7E9A">
      <w:pPr>
        <w:pStyle w:val="9"/>
        <w:jc w:val="center"/>
        <w:rPr>
          <w:sz w:val="84"/>
          <w:szCs w:val="84"/>
        </w:rPr>
      </w:pPr>
      <w:r>
        <w:rPr>
          <w:rFonts w:hint="eastAsia"/>
          <w:sz w:val="84"/>
          <w:szCs w:val="84"/>
        </w:rPr>
        <w:t>第一部分</w:t>
      </w:r>
      <w:r>
        <w:rPr>
          <w:sz w:val="84"/>
          <w:szCs w:val="84"/>
        </w:rPr>
        <w:t xml:space="preserve"> </w:t>
      </w:r>
    </w:p>
    <w:p w14:paraId="3BAFC4C8">
      <w:pPr>
        <w:pStyle w:val="9"/>
        <w:jc w:val="center"/>
        <w:rPr>
          <w:sz w:val="84"/>
          <w:szCs w:val="84"/>
        </w:rPr>
      </w:pPr>
    </w:p>
    <w:p w14:paraId="3DAE7310">
      <w:pPr>
        <w:pStyle w:val="9"/>
        <w:jc w:val="center"/>
        <w:rPr>
          <w:rFonts w:hint="eastAsia"/>
          <w:sz w:val="84"/>
          <w:szCs w:val="84"/>
          <w:lang w:eastAsia="zh-CN"/>
        </w:rPr>
      </w:pPr>
      <w:r>
        <w:rPr>
          <w:rFonts w:hint="eastAsia"/>
          <w:sz w:val="84"/>
          <w:szCs w:val="84"/>
        </w:rPr>
        <w:t>溆浦县教育局</w:t>
      </w:r>
      <w:r>
        <w:rPr>
          <w:rFonts w:hint="eastAsia"/>
          <w:sz w:val="84"/>
          <w:szCs w:val="84"/>
          <w:lang w:eastAsia="zh-CN"/>
        </w:rPr>
        <w:t>（本级）</w:t>
      </w:r>
    </w:p>
    <w:p w14:paraId="0821BBC9">
      <w:pPr>
        <w:pStyle w:val="9"/>
        <w:jc w:val="center"/>
        <w:rPr>
          <w:sz w:val="84"/>
          <w:szCs w:val="84"/>
        </w:rPr>
      </w:pPr>
      <w:r>
        <w:rPr>
          <w:rFonts w:hint="eastAsia"/>
          <w:sz w:val="84"/>
          <w:szCs w:val="84"/>
        </w:rPr>
        <w:t>概况</w:t>
      </w:r>
    </w:p>
    <w:p w14:paraId="684C2E30">
      <w:pPr>
        <w:jc w:val="center"/>
        <w:rPr>
          <w:sz w:val="72"/>
          <w:szCs w:val="72"/>
        </w:rPr>
      </w:pPr>
    </w:p>
    <w:p w14:paraId="6FE99F26">
      <w:pPr>
        <w:jc w:val="center"/>
        <w:rPr>
          <w:sz w:val="72"/>
          <w:szCs w:val="72"/>
        </w:rPr>
      </w:pPr>
    </w:p>
    <w:p w14:paraId="1AA1E9D1">
      <w:pPr>
        <w:jc w:val="center"/>
        <w:rPr>
          <w:sz w:val="72"/>
          <w:szCs w:val="72"/>
        </w:rPr>
      </w:pPr>
    </w:p>
    <w:p w14:paraId="6B6DD26A">
      <w:pPr>
        <w:jc w:val="center"/>
        <w:rPr>
          <w:sz w:val="72"/>
          <w:szCs w:val="72"/>
        </w:rPr>
      </w:pPr>
    </w:p>
    <w:p w14:paraId="1B2F5BFB">
      <w:pPr>
        <w:jc w:val="center"/>
        <w:rPr>
          <w:sz w:val="72"/>
          <w:szCs w:val="72"/>
        </w:rPr>
      </w:pPr>
    </w:p>
    <w:p w14:paraId="41CF2C69">
      <w:pPr>
        <w:pStyle w:val="10"/>
        <w:ind w:left="720" w:firstLine="0" w:firstLineChars="0"/>
        <w:jc w:val="left"/>
        <w:rPr>
          <w:rFonts w:ascii="黑体" w:hAnsi="黑体" w:eastAsia="黑体"/>
          <w:sz w:val="32"/>
          <w:szCs w:val="32"/>
        </w:rPr>
      </w:pPr>
    </w:p>
    <w:p w14:paraId="40FD5631">
      <w:pPr>
        <w:pStyle w:val="10"/>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5B1455D9">
      <w:pPr>
        <w:jc w:val="left"/>
        <w:rPr>
          <w:rFonts w:ascii="宋体" w:cs="Times New Roman"/>
          <w:sz w:val="32"/>
          <w:szCs w:val="32"/>
        </w:rPr>
      </w:pPr>
      <w:r>
        <w:rPr>
          <w:rFonts w:hint="eastAsia" w:ascii="宋体" w:hAnsi="宋体" w:cs="宋体"/>
          <w:sz w:val="32"/>
          <w:szCs w:val="32"/>
        </w:rPr>
        <w:t>（一）</w:t>
      </w:r>
      <w:r>
        <w:rPr>
          <w:rFonts w:hint="eastAsia" w:ascii="宋体" w:hAnsi="宋体" w:cs="宋体"/>
          <w:color w:val="000000"/>
          <w:kern w:val="0"/>
          <w:sz w:val="28"/>
          <w:szCs w:val="28"/>
        </w:rPr>
        <w:t>、贯彻落实国家教育工作方针、政策和法律、法规、规章，制定。</w:t>
      </w:r>
    </w:p>
    <w:p w14:paraId="2B3C353F">
      <w:pPr>
        <w:jc w:val="left"/>
        <w:rPr>
          <w:rFonts w:ascii="宋体" w:hAnsi="宋体" w:cs="宋体"/>
          <w:color w:val="000000"/>
          <w:kern w:val="0"/>
          <w:sz w:val="28"/>
          <w:szCs w:val="28"/>
        </w:rPr>
      </w:pPr>
      <w:r>
        <w:rPr>
          <w:rFonts w:hint="eastAsia" w:ascii="宋体" w:hAnsi="宋体" w:cs="宋体"/>
          <w:sz w:val="32"/>
          <w:szCs w:val="32"/>
        </w:rPr>
        <w:t>（二）</w:t>
      </w:r>
      <w:r>
        <w:rPr>
          <w:rFonts w:hint="eastAsia" w:ascii="宋体" w:hAnsi="宋体" w:cs="宋体"/>
          <w:color w:val="000000"/>
          <w:kern w:val="0"/>
          <w:sz w:val="28"/>
          <w:szCs w:val="28"/>
        </w:rPr>
        <w:t>、负责教育局机关日常工作运行。</w:t>
      </w:r>
    </w:p>
    <w:p w14:paraId="1777B148">
      <w:pPr>
        <w:jc w:val="left"/>
        <w:rPr>
          <w:rFonts w:ascii="宋体" w:hAnsi="宋体" w:cs="宋体"/>
          <w:color w:val="000000"/>
          <w:kern w:val="0"/>
          <w:sz w:val="28"/>
          <w:szCs w:val="28"/>
        </w:rPr>
      </w:pPr>
    </w:p>
    <w:p w14:paraId="01A87E77">
      <w:pPr>
        <w:widowControl/>
        <w:numPr>
          <w:ilvl w:val="0"/>
          <w:numId w:val="2"/>
        </w:numPr>
        <w:spacing w:line="440" w:lineRule="exact"/>
        <w:rPr>
          <w:rFonts w:ascii="黑体" w:hAnsi="黑体" w:eastAsia="黑体"/>
          <w:sz w:val="32"/>
          <w:szCs w:val="32"/>
        </w:rPr>
      </w:pPr>
      <w:r>
        <w:rPr>
          <w:rFonts w:hint="eastAsia" w:ascii="黑体" w:hAnsi="黑体" w:eastAsia="黑体"/>
          <w:sz w:val="32"/>
          <w:szCs w:val="32"/>
        </w:rPr>
        <w:t>机构设置及决算单位构成</w:t>
      </w:r>
    </w:p>
    <w:p w14:paraId="23E18AC8">
      <w:pPr>
        <w:widowControl/>
        <w:spacing w:line="440" w:lineRule="exact"/>
        <w:rPr>
          <w:rFonts w:ascii="黑体" w:hAnsi="黑体" w:eastAsia="黑体"/>
          <w:sz w:val="32"/>
          <w:szCs w:val="32"/>
        </w:rPr>
      </w:pPr>
    </w:p>
    <w:p w14:paraId="1D756779">
      <w:pPr>
        <w:widowControl/>
        <w:spacing w:line="440" w:lineRule="exact"/>
        <w:ind w:firstLine="640" w:firstLineChars="200"/>
        <w:rPr>
          <w:rFonts w:ascii="宋体" w:hAnsi="宋体" w:cs="宋体"/>
          <w:kern w:val="0"/>
          <w:sz w:val="32"/>
          <w:szCs w:val="32"/>
        </w:rPr>
      </w:pPr>
      <w:r>
        <w:rPr>
          <w:rFonts w:hint="eastAsia" w:ascii="宋体" w:hAnsi="宋体" w:cs="宋体"/>
          <w:kern w:val="0"/>
          <w:sz w:val="32"/>
          <w:szCs w:val="32"/>
        </w:rPr>
        <w:t>（一）内设机构设置。溆浦县教育局机关内设机构行政股室包括：办公室、人事股、计财股、普教股、行政审批（法制股）、教育督导、职成股、党建办。二级事业单位9个包括：档案室1个，电教仪器站1个、教研室1个，就业指导中心1个，考试中心1个，勤工站1个，信息网络中心1个，学生资助中心1个，职称改革事务中心1个。</w:t>
      </w:r>
    </w:p>
    <w:p w14:paraId="58508FC7">
      <w:pPr>
        <w:widowControl/>
        <w:spacing w:line="440" w:lineRule="exact"/>
        <w:ind w:firstLine="640" w:firstLineChars="200"/>
        <w:rPr>
          <w:rFonts w:ascii="宋体" w:cs="Times New Roman"/>
          <w:kern w:val="0"/>
          <w:sz w:val="28"/>
          <w:szCs w:val="28"/>
        </w:rPr>
      </w:pPr>
      <w:r>
        <w:rPr>
          <w:rFonts w:hint="eastAsia" w:ascii="宋体" w:hAnsi="宋体" w:cs="宋体"/>
          <w:kern w:val="0"/>
          <w:sz w:val="32"/>
          <w:szCs w:val="32"/>
        </w:rPr>
        <w:t>（二）决算单位构成。</w:t>
      </w:r>
      <w:r>
        <w:rPr>
          <w:rFonts w:hint="eastAsia" w:ascii="宋体" w:cs="宋体"/>
          <w:kern w:val="0"/>
          <w:sz w:val="32"/>
          <w:szCs w:val="32"/>
        </w:rPr>
        <w:t>溆浦县教育局机关</w:t>
      </w:r>
      <w:r>
        <w:rPr>
          <w:rFonts w:hint="eastAsia" w:ascii="宋体" w:hAnsi="宋体" w:cs="宋体"/>
          <w:kern w:val="0"/>
          <w:sz w:val="32"/>
          <w:szCs w:val="32"/>
          <w:lang w:eastAsia="zh-CN"/>
        </w:rPr>
        <w:t>2022</w:t>
      </w:r>
      <w:r>
        <w:rPr>
          <w:rFonts w:hint="eastAsia" w:ascii="宋体" w:hAnsi="宋体" w:cs="宋体"/>
          <w:kern w:val="0"/>
          <w:sz w:val="32"/>
          <w:szCs w:val="32"/>
        </w:rPr>
        <w:t>年部门决算汇总公开单位构成包括：</w:t>
      </w:r>
      <w:r>
        <w:rPr>
          <w:rFonts w:hint="eastAsia" w:ascii="宋体" w:cs="宋体"/>
          <w:kern w:val="0"/>
          <w:sz w:val="32"/>
          <w:szCs w:val="32"/>
        </w:rPr>
        <w:t>溆浦县教育局机关</w:t>
      </w:r>
      <w:r>
        <w:rPr>
          <w:rFonts w:hint="eastAsia" w:ascii="宋体" w:hAnsi="宋体" w:cs="宋体"/>
          <w:kern w:val="0"/>
          <w:sz w:val="32"/>
          <w:szCs w:val="32"/>
        </w:rPr>
        <w:t>本级</w:t>
      </w:r>
      <w:r>
        <w:rPr>
          <w:rFonts w:hint="eastAsia" w:ascii="宋体" w:hAnsi="宋体" w:cs="宋体"/>
          <w:kern w:val="0"/>
          <w:sz w:val="28"/>
          <w:szCs w:val="28"/>
        </w:rPr>
        <w:t>及二级事业单位共</w:t>
      </w:r>
      <w:r>
        <w:rPr>
          <w:rFonts w:ascii="宋体" w:hAnsi="宋体" w:cs="宋体"/>
          <w:kern w:val="0"/>
          <w:sz w:val="28"/>
          <w:szCs w:val="28"/>
        </w:rPr>
        <w:t xml:space="preserve">  10</w:t>
      </w:r>
      <w:r>
        <w:rPr>
          <w:rFonts w:hint="eastAsia" w:ascii="宋体" w:hAnsi="宋体" w:cs="宋体"/>
          <w:kern w:val="0"/>
          <w:sz w:val="28"/>
          <w:szCs w:val="28"/>
        </w:rPr>
        <w:t>个，其中行政单位</w:t>
      </w:r>
      <w:r>
        <w:rPr>
          <w:rFonts w:ascii="宋体" w:hAnsi="宋体" w:cs="宋体"/>
          <w:kern w:val="0"/>
          <w:sz w:val="28"/>
          <w:szCs w:val="28"/>
        </w:rPr>
        <w:t>1</w:t>
      </w:r>
      <w:r>
        <w:rPr>
          <w:rFonts w:hint="eastAsia" w:ascii="宋体" w:hAnsi="宋体" w:cs="宋体"/>
          <w:kern w:val="0"/>
          <w:sz w:val="28"/>
          <w:szCs w:val="28"/>
        </w:rPr>
        <w:t>个、档案管理室</w:t>
      </w:r>
      <w:r>
        <w:rPr>
          <w:rFonts w:ascii="宋体" w:hAnsi="宋体" w:cs="宋体"/>
          <w:kern w:val="0"/>
          <w:sz w:val="28"/>
          <w:szCs w:val="28"/>
        </w:rPr>
        <w:t>1</w:t>
      </w:r>
      <w:r>
        <w:rPr>
          <w:rFonts w:hint="eastAsia" w:ascii="宋体" w:hAnsi="宋体" w:cs="宋体"/>
          <w:kern w:val="0"/>
          <w:sz w:val="28"/>
          <w:szCs w:val="28"/>
        </w:rPr>
        <w:t>个，电教仪器站</w:t>
      </w:r>
      <w:r>
        <w:rPr>
          <w:rFonts w:ascii="宋体" w:hAnsi="宋体" w:cs="宋体"/>
          <w:kern w:val="0"/>
          <w:sz w:val="28"/>
          <w:szCs w:val="28"/>
        </w:rPr>
        <w:t>1</w:t>
      </w:r>
      <w:r>
        <w:rPr>
          <w:rFonts w:hint="eastAsia" w:ascii="宋体" w:hAnsi="宋体" w:cs="宋体"/>
          <w:kern w:val="0"/>
          <w:sz w:val="28"/>
          <w:szCs w:val="28"/>
        </w:rPr>
        <w:t>个、教育教研室</w:t>
      </w:r>
      <w:r>
        <w:rPr>
          <w:rFonts w:ascii="宋体" w:hAnsi="宋体" w:cs="宋体"/>
          <w:kern w:val="0"/>
          <w:sz w:val="28"/>
          <w:szCs w:val="28"/>
        </w:rPr>
        <w:t>1</w:t>
      </w:r>
      <w:r>
        <w:rPr>
          <w:rFonts w:hint="eastAsia" w:ascii="宋体" w:hAnsi="宋体" w:cs="宋体"/>
          <w:kern w:val="0"/>
          <w:sz w:val="28"/>
          <w:szCs w:val="28"/>
        </w:rPr>
        <w:t>个，就业指导中心</w:t>
      </w:r>
      <w:r>
        <w:rPr>
          <w:rFonts w:ascii="宋体" w:hAnsi="宋体" w:cs="宋体"/>
          <w:kern w:val="0"/>
          <w:sz w:val="28"/>
          <w:szCs w:val="28"/>
        </w:rPr>
        <w:t>1</w:t>
      </w:r>
      <w:r>
        <w:rPr>
          <w:rFonts w:hint="eastAsia" w:ascii="宋体" w:hAnsi="宋体" w:cs="宋体"/>
          <w:kern w:val="0"/>
          <w:sz w:val="28"/>
          <w:szCs w:val="28"/>
        </w:rPr>
        <w:t>个，考试中心</w:t>
      </w:r>
      <w:r>
        <w:rPr>
          <w:rFonts w:ascii="宋体" w:hAnsi="宋体" w:cs="宋体"/>
          <w:kern w:val="0"/>
          <w:sz w:val="28"/>
          <w:szCs w:val="28"/>
        </w:rPr>
        <w:t>1</w:t>
      </w:r>
      <w:r>
        <w:rPr>
          <w:rFonts w:hint="eastAsia" w:ascii="宋体" w:hAnsi="宋体" w:cs="宋体"/>
          <w:kern w:val="0"/>
          <w:sz w:val="28"/>
          <w:szCs w:val="28"/>
        </w:rPr>
        <w:t>个，勤工站</w:t>
      </w:r>
      <w:r>
        <w:rPr>
          <w:rFonts w:ascii="宋体" w:hAnsi="宋体" w:cs="宋体"/>
          <w:kern w:val="0"/>
          <w:sz w:val="28"/>
          <w:szCs w:val="28"/>
        </w:rPr>
        <w:t>1</w:t>
      </w:r>
      <w:r>
        <w:rPr>
          <w:rFonts w:hint="eastAsia" w:ascii="宋体" w:hAnsi="宋体" w:cs="宋体"/>
          <w:kern w:val="0"/>
          <w:sz w:val="28"/>
          <w:szCs w:val="28"/>
        </w:rPr>
        <w:t>个，信息网络中心</w:t>
      </w:r>
      <w:r>
        <w:rPr>
          <w:rFonts w:ascii="宋体" w:hAnsi="宋体" w:cs="宋体"/>
          <w:kern w:val="0"/>
          <w:sz w:val="28"/>
          <w:szCs w:val="28"/>
        </w:rPr>
        <w:t>1</w:t>
      </w:r>
      <w:r>
        <w:rPr>
          <w:rFonts w:hint="eastAsia" w:ascii="宋体" w:hAnsi="宋体" w:cs="宋体"/>
          <w:kern w:val="0"/>
          <w:sz w:val="28"/>
          <w:szCs w:val="28"/>
        </w:rPr>
        <w:t>个，学生资助中心</w:t>
      </w:r>
      <w:r>
        <w:rPr>
          <w:rFonts w:ascii="宋体" w:hAnsi="宋体" w:cs="宋体"/>
          <w:kern w:val="0"/>
          <w:sz w:val="28"/>
          <w:szCs w:val="28"/>
        </w:rPr>
        <w:t>1</w:t>
      </w:r>
      <w:r>
        <w:rPr>
          <w:rFonts w:hint="eastAsia" w:ascii="宋体" w:hAnsi="宋体" w:cs="宋体"/>
          <w:kern w:val="0"/>
          <w:sz w:val="28"/>
          <w:szCs w:val="28"/>
        </w:rPr>
        <w:t>个，职称改革事务中心</w:t>
      </w:r>
      <w:r>
        <w:rPr>
          <w:rFonts w:ascii="宋体" w:hAnsi="宋体" w:cs="宋体"/>
          <w:kern w:val="0"/>
          <w:sz w:val="28"/>
          <w:szCs w:val="28"/>
        </w:rPr>
        <w:t>1</w:t>
      </w:r>
      <w:r>
        <w:rPr>
          <w:rFonts w:hint="eastAsia" w:ascii="宋体" w:hAnsi="宋体" w:cs="宋体"/>
          <w:kern w:val="0"/>
          <w:sz w:val="28"/>
          <w:szCs w:val="28"/>
        </w:rPr>
        <w:t>个。</w:t>
      </w:r>
    </w:p>
    <w:p w14:paraId="5741BD59">
      <w:pPr>
        <w:widowControl/>
        <w:spacing w:line="600" w:lineRule="exact"/>
        <w:rPr>
          <w:rFonts w:ascii="宋体" w:cs="Times New Roman"/>
          <w:kern w:val="0"/>
          <w:sz w:val="32"/>
          <w:szCs w:val="32"/>
        </w:rPr>
      </w:pPr>
    </w:p>
    <w:p w14:paraId="517F2928">
      <w:pPr>
        <w:jc w:val="center"/>
        <w:rPr>
          <w:rFonts w:ascii="黑体" w:hAnsi="黑体" w:eastAsia="黑体"/>
          <w:sz w:val="28"/>
          <w:szCs w:val="28"/>
        </w:rPr>
      </w:pPr>
    </w:p>
    <w:p w14:paraId="7CB5BE7E">
      <w:pPr>
        <w:jc w:val="center"/>
        <w:rPr>
          <w:rFonts w:ascii="黑体" w:hAnsi="黑体" w:eastAsia="黑体"/>
          <w:sz w:val="28"/>
          <w:szCs w:val="28"/>
        </w:rPr>
      </w:pPr>
    </w:p>
    <w:p w14:paraId="69325E98">
      <w:pPr>
        <w:pStyle w:val="9"/>
        <w:jc w:val="center"/>
        <w:rPr>
          <w:rFonts w:hint="eastAsia" w:ascii="方正小标宋_GBK" w:hAnsi="方正小标宋_GBK" w:eastAsia="方正小标宋_GBK" w:cs="方正小标宋_GBK"/>
          <w:sz w:val="84"/>
          <w:szCs w:val="84"/>
        </w:rPr>
      </w:pPr>
    </w:p>
    <w:p w14:paraId="65BCFDA4">
      <w:pPr>
        <w:pStyle w:val="9"/>
        <w:jc w:val="center"/>
        <w:rPr>
          <w:rFonts w:hint="eastAsia" w:ascii="方正小标宋_GBK" w:hAnsi="方正小标宋_GBK" w:eastAsia="方正小标宋_GBK" w:cs="方正小标宋_GBK"/>
          <w:sz w:val="84"/>
          <w:szCs w:val="84"/>
        </w:rPr>
      </w:pPr>
    </w:p>
    <w:p w14:paraId="6D3762FF">
      <w:pPr>
        <w:pStyle w:val="9"/>
        <w:jc w:val="center"/>
        <w:rPr>
          <w:rFonts w:hint="eastAsia" w:ascii="方正小标宋_GBK" w:hAnsi="方正小标宋_GBK" w:eastAsia="方正小标宋_GBK" w:cs="方正小标宋_GBK"/>
          <w:sz w:val="84"/>
          <w:szCs w:val="84"/>
        </w:rPr>
      </w:pPr>
    </w:p>
    <w:p w14:paraId="771E9483">
      <w:pPr>
        <w:jc w:val="both"/>
        <w:rPr>
          <w:rFonts w:ascii="黑体" w:hAnsi="黑体" w:eastAsia="黑体"/>
          <w:sz w:val="28"/>
          <w:szCs w:val="28"/>
        </w:rPr>
      </w:pPr>
    </w:p>
    <w:p w14:paraId="41A6F1C1">
      <w:pPr>
        <w:jc w:val="center"/>
        <w:rPr>
          <w:rFonts w:ascii="黑体" w:hAnsi="黑体" w:eastAsia="黑体"/>
          <w:sz w:val="28"/>
          <w:szCs w:val="28"/>
        </w:rPr>
      </w:pPr>
    </w:p>
    <w:p w14:paraId="4BD1CC1E">
      <w:pPr>
        <w:jc w:val="center"/>
        <w:rPr>
          <w:rFonts w:ascii="黑体" w:hAnsi="黑体" w:eastAsia="黑体"/>
          <w:sz w:val="28"/>
          <w:szCs w:val="28"/>
        </w:rPr>
      </w:pPr>
    </w:p>
    <w:p w14:paraId="5ED9BB72">
      <w:pPr>
        <w:jc w:val="center"/>
        <w:rPr>
          <w:rFonts w:ascii="黑体" w:hAnsi="黑体" w:eastAsia="黑体"/>
          <w:sz w:val="28"/>
          <w:szCs w:val="28"/>
        </w:rPr>
      </w:pPr>
    </w:p>
    <w:p w14:paraId="0D809509">
      <w:pPr>
        <w:jc w:val="center"/>
        <w:rPr>
          <w:rFonts w:ascii="黑体" w:hAnsi="黑体" w:eastAsia="黑体"/>
          <w:sz w:val="28"/>
          <w:szCs w:val="28"/>
        </w:rPr>
      </w:pPr>
    </w:p>
    <w:p w14:paraId="5BC39CB6">
      <w:pPr>
        <w:jc w:val="center"/>
        <w:rPr>
          <w:sz w:val="72"/>
          <w:szCs w:val="72"/>
        </w:rPr>
      </w:pPr>
    </w:p>
    <w:p w14:paraId="4755F136">
      <w:pPr>
        <w:jc w:val="center"/>
        <w:rPr>
          <w:sz w:val="72"/>
          <w:szCs w:val="72"/>
        </w:rPr>
      </w:pPr>
    </w:p>
    <w:p w14:paraId="6AB02937">
      <w:pPr>
        <w:pStyle w:val="9"/>
        <w:ind w:firstLine="4200" w:firstLineChars="5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6B3A4E3C">
      <w:pPr>
        <w:pStyle w:val="9"/>
        <w:jc w:val="both"/>
        <w:rPr>
          <w:rFonts w:hint="eastAsia" w:ascii="方正小标宋_GBK" w:hAnsi="方正小标宋_GBK" w:eastAsia="方正小标宋_GBK" w:cs="方正小标宋_GBK"/>
          <w:sz w:val="84"/>
          <w:szCs w:val="84"/>
        </w:rPr>
      </w:pPr>
    </w:p>
    <w:p w14:paraId="604DEE5F">
      <w:pPr>
        <w:pStyle w:val="9"/>
        <w:ind w:firstLine="3360" w:firstLineChars="400"/>
        <w:jc w:val="both"/>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D8F2D84">
      <w:pPr>
        <w:jc w:val="center"/>
        <w:rPr>
          <w:sz w:val="72"/>
          <w:szCs w:val="72"/>
        </w:rPr>
      </w:pPr>
    </w:p>
    <w:p w14:paraId="4F4038A7">
      <w:pPr>
        <w:jc w:val="center"/>
        <w:rPr>
          <w:sz w:val="72"/>
          <w:szCs w:val="72"/>
        </w:rPr>
      </w:pPr>
    </w:p>
    <w:p w14:paraId="73FBD736">
      <w:pPr>
        <w:jc w:val="center"/>
        <w:rPr>
          <w:sz w:val="72"/>
          <w:szCs w:val="72"/>
        </w:rPr>
      </w:pPr>
    </w:p>
    <w:p w14:paraId="5031504E">
      <w:pPr>
        <w:jc w:val="center"/>
        <w:rPr>
          <w:sz w:val="72"/>
          <w:szCs w:val="72"/>
        </w:rPr>
      </w:pPr>
    </w:p>
    <w:p w14:paraId="5E57BC89">
      <w:pPr>
        <w:jc w:val="center"/>
        <w:rPr>
          <w:sz w:val="72"/>
          <w:szCs w:val="72"/>
        </w:rPr>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W w:w="0" w:type="auto"/>
        <w:tblInd w:w="2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3736"/>
        <w:gridCol w:w="656"/>
        <w:gridCol w:w="1913"/>
        <w:gridCol w:w="2809"/>
        <w:gridCol w:w="2835"/>
        <w:gridCol w:w="2340"/>
      </w:tblGrid>
      <w:tr w14:paraId="7AA58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PrEx>
        <w:trPr>
          <w:trHeight w:val="450" w:hRule="exact"/>
        </w:trPr>
        <w:tc>
          <w:tcPr>
            <w:tcW w:w="14289" w:type="dxa"/>
            <w:gridSpan w:val="6"/>
            <w:tcBorders>
              <w:top w:val="nil"/>
              <w:left w:val="nil"/>
              <w:bottom w:val="nil"/>
              <w:right w:val="nil"/>
            </w:tcBorders>
            <w:shd w:val="clear" w:color="auto" w:fill="FFFFFF" w:themeFill="background1"/>
            <w:noWrap/>
            <w:vAlign w:val="bottom"/>
          </w:tcPr>
          <w:p w14:paraId="584D9B71">
            <w:pPr>
              <w:keepNext w:val="0"/>
              <w:keepLines w:val="0"/>
              <w:widowControl/>
              <w:suppressLineNumbers w:val="0"/>
              <w:spacing w:line="240" w:lineRule="auto"/>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0FD71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nil"/>
              <w:bottom w:val="nil"/>
              <w:right w:val="nil"/>
            </w:tcBorders>
            <w:shd w:val="clear" w:color="auto" w:fill="FFFFFF" w:themeFill="background1"/>
            <w:noWrap/>
            <w:vAlign w:val="bottom"/>
          </w:tcPr>
          <w:p w14:paraId="5BEB6B43">
            <w:pPr>
              <w:spacing w:line="240" w:lineRule="auto"/>
              <w:rPr>
                <w:rFonts w:hint="eastAsia" w:ascii="Arial" w:hAnsi="Arial" w:cs="Arial"/>
                <w:i w:val="0"/>
                <w:iCs w:val="0"/>
                <w:color w:val="000000"/>
                <w:sz w:val="20"/>
                <w:szCs w:val="20"/>
                <w:u w:val="none"/>
              </w:rPr>
            </w:pPr>
          </w:p>
        </w:tc>
        <w:tc>
          <w:tcPr>
            <w:tcW w:w="656" w:type="dxa"/>
            <w:tcBorders>
              <w:top w:val="nil"/>
              <w:left w:val="nil"/>
              <w:bottom w:val="nil"/>
              <w:right w:val="nil"/>
            </w:tcBorders>
            <w:shd w:val="clear" w:color="auto" w:fill="FFFFFF" w:themeFill="background1"/>
            <w:noWrap/>
            <w:vAlign w:val="bottom"/>
          </w:tcPr>
          <w:p w14:paraId="7C1FA35D">
            <w:pPr>
              <w:spacing w:line="240" w:lineRule="auto"/>
              <w:rPr>
                <w:rFonts w:hint="default" w:ascii="Arial" w:hAnsi="Arial" w:cs="Arial"/>
                <w:i w:val="0"/>
                <w:iCs w:val="0"/>
                <w:color w:val="000000"/>
                <w:sz w:val="20"/>
                <w:szCs w:val="20"/>
                <w:u w:val="none"/>
              </w:rPr>
            </w:pPr>
          </w:p>
        </w:tc>
        <w:tc>
          <w:tcPr>
            <w:tcW w:w="1913" w:type="dxa"/>
            <w:tcBorders>
              <w:top w:val="nil"/>
              <w:left w:val="nil"/>
              <w:bottom w:val="nil"/>
              <w:right w:val="nil"/>
            </w:tcBorders>
            <w:shd w:val="clear" w:color="auto" w:fill="FFFFFF" w:themeFill="background1"/>
            <w:noWrap/>
            <w:vAlign w:val="bottom"/>
          </w:tcPr>
          <w:p w14:paraId="1CA1FB9C">
            <w:pPr>
              <w:spacing w:line="240" w:lineRule="auto"/>
              <w:rPr>
                <w:rFonts w:hint="default" w:ascii="Arial" w:hAnsi="Arial" w:cs="Arial"/>
                <w:i w:val="0"/>
                <w:iCs w:val="0"/>
                <w:color w:val="000000"/>
                <w:sz w:val="20"/>
                <w:szCs w:val="20"/>
                <w:u w:val="none"/>
              </w:rPr>
            </w:pPr>
          </w:p>
        </w:tc>
        <w:tc>
          <w:tcPr>
            <w:tcW w:w="2809" w:type="dxa"/>
            <w:tcBorders>
              <w:top w:val="nil"/>
              <w:left w:val="nil"/>
              <w:bottom w:val="nil"/>
              <w:right w:val="nil"/>
            </w:tcBorders>
            <w:shd w:val="clear" w:color="auto" w:fill="FFFFFF" w:themeFill="background1"/>
            <w:noWrap/>
            <w:vAlign w:val="bottom"/>
          </w:tcPr>
          <w:p w14:paraId="71741E45">
            <w:pPr>
              <w:spacing w:line="240" w:lineRule="auto"/>
              <w:rPr>
                <w:rFonts w:hint="default" w:ascii="Arial" w:hAnsi="Arial" w:cs="Arial"/>
                <w:i w:val="0"/>
                <w:iCs w:val="0"/>
                <w:color w:val="000000"/>
                <w:sz w:val="20"/>
                <w:szCs w:val="20"/>
                <w:u w:val="none"/>
              </w:rPr>
            </w:pPr>
          </w:p>
        </w:tc>
        <w:tc>
          <w:tcPr>
            <w:tcW w:w="2835" w:type="dxa"/>
            <w:tcBorders>
              <w:top w:val="nil"/>
              <w:left w:val="nil"/>
              <w:bottom w:val="nil"/>
              <w:right w:val="nil"/>
            </w:tcBorders>
            <w:shd w:val="clear" w:color="auto" w:fill="FFFFFF" w:themeFill="background1"/>
            <w:noWrap/>
            <w:vAlign w:val="bottom"/>
          </w:tcPr>
          <w:p w14:paraId="4B5AA327">
            <w:pPr>
              <w:spacing w:line="240" w:lineRule="auto"/>
              <w:rPr>
                <w:rFonts w:hint="default" w:ascii="Arial" w:hAnsi="Arial" w:cs="Arial"/>
                <w:i w:val="0"/>
                <w:iCs w:val="0"/>
                <w:color w:val="000000"/>
                <w:sz w:val="20"/>
                <w:szCs w:val="20"/>
                <w:u w:val="none"/>
              </w:rPr>
            </w:pPr>
          </w:p>
        </w:tc>
        <w:tc>
          <w:tcPr>
            <w:tcW w:w="2340" w:type="dxa"/>
            <w:tcBorders>
              <w:top w:val="nil"/>
              <w:left w:val="nil"/>
              <w:bottom w:val="nil"/>
              <w:right w:val="nil"/>
            </w:tcBorders>
            <w:shd w:val="clear" w:color="auto" w:fill="FFFFFF" w:themeFill="background1"/>
            <w:noWrap/>
            <w:vAlign w:val="bottom"/>
          </w:tcPr>
          <w:p w14:paraId="34155031">
            <w:pPr>
              <w:keepNext w:val="0"/>
              <w:keepLines w:val="0"/>
              <w:widowControl/>
              <w:suppressLineNumbers w:val="0"/>
              <w:spacing w:line="240" w:lineRule="auto"/>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09393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nil"/>
              <w:bottom w:val="nil"/>
              <w:right w:val="nil"/>
            </w:tcBorders>
            <w:shd w:val="clear" w:color="auto" w:fill="FFFFFF" w:themeFill="background1"/>
            <w:noWrap/>
            <w:vAlign w:val="bottom"/>
          </w:tcPr>
          <w:p w14:paraId="557D646B">
            <w:pPr>
              <w:keepNext w:val="0"/>
              <w:keepLines w:val="0"/>
              <w:widowControl/>
              <w:suppressLineNumbers w:val="0"/>
              <w:spacing w:line="240" w:lineRule="auto"/>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部门：溆浦县教育局（本级）</w:t>
            </w:r>
          </w:p>
        </w:tc>
        <w:tc>
          <w:tcPr>
            <w:tcW w:w="656" w:type="dxa"/>
            <w:tcBorders>
              <w:top w:val="nil"/>
              <w:left w:val="nil"/>
              <w:bottom w:val="nil"/>
              <w:right w:val="nil"/>
            </w:tcBorders>
            <w:shd w:val="clear" w:color="auto" w:fill="FFFFFF" w:themeFill="background1"/>
            <w:noWrap/>
            <w:vAlign w:val="bottom"/>
          </w:tcPr>
          <w:p w14:paraId="37BC799E">
            <w:pPr>
              <w:spacing w:line="240" w:lineRule="auto"/>
              <w:rPr>
                <w:rFonts w:hint="default" w:ascii="Arial" w:hAnsi="Arial" w:cs="Arial"/>
                <w:i w:val="0"/>
                <w:iCs w:val="0"/>
                <w:color w:val="000000"/>
                <w:sz w:val="20"/>
                <w:szCs w:val="20"/>
                <w:u w:val="none"/>
              </w:rPr>
            </w:pPr>
          </w:p>
        </w:tc>
        <w:tc>
          <w:tcPr>
            <w:tcW w:w="1913" w:type="dxa"/>
            <w:tcBorders>
              <w:top w:val="nil"/>
              <w:left w:val="nil"/>
              <w:bottom w:val="nil"/>
              <w:right w:val="nil"/>
            </w:tcBorders>
            <w:shd w:val="clear" w:color="auto" w:fill="FFFFFF" w:themeFill="background1"/>
            <w:noWrap/>
            <w:vAlign w:val="bottom"/>
          </w:tcPr>
          <w:p w14:paraId="339192EA">
            <w:pPr>
              <w:spacing w:line="240" w:lineRule="auto"/>
              <w:rPr>
                <w:rFonts w:hint="default" w:ascii="Arial" w:hAnsi="Arial" w:cs="Arial"/>
                <w:i w:val="0"/>
                <w:iCs w:val="0"/>
                <w:color w:val="000000"/>
                <w:sz w:val="20"/>
                <w:szCs w:val="20"/>
                <w:u w:val="none"/>
              </w:rPr>
            </w:pPr>
          </w:p>
        </w:tc>
        <w:tc>
          <w:tcPr>
            <w:tcW w:w="2809" w:type="dxa"/>
            <w:tcBorders>
              <w:top w:val="nil"/>
              <w:left w:val="nil"/>
              <w:bottom w:val="nil"/>
              <w:right w:val="nil"/>
            </w:tcBorders>
            <w:shd w:val="clear" w:color="auto" w:fill="FFFFFF" w:themeFill="background1"/>
            <w:noWrap/>
            <w:vAlign w:val="bottom"/>
          </w:tcPr>
          <w:p w14:paraId="22554384">
            <w:pPr>
              <w:spacing w:line="240" w:lineRule="auto"/>
              <w:rPr>
                <w:rFonts w:hint="default" w:ascii="Arial" w:hAnsi="Arial" w:cs="Arial"/>
                <w:i w:val="0"/>
                <w:iCs w:val="0"/>
                <w:color w:val="000000"/>
                <w:sz w:val="20"/>
                <w:szCs w:val="20"/>
                <w:u w:val="none"/>
              </w:rPr>
            </w:pPr>
          </w:p>
        </w:tc>
        <w:tc>
          <w:tcPr>
            <w:tcW w:w="2835" w:type="dxa"/>
            <w:tcBorders>
              <w:top w:val="nil"/>
              <w:left w:val="nil"/>
              <w:bottom w:val="nil"/>
              <w:right w:val="nil"/>
            </w:tcBorders>
            <w:shd w:val="clear" w:color="auto" w:fill="FFFFFF" w:themeFill="background1"/>
            <w:noWrap/>
            <w:vAlign w:val="bottom"/>
          </w:tcPr>
          <w:p w14:paraId="59ADFACE">
            <w:pPr>
              <w:spacing w:line="240" w:lineRule="auto"/>
              <w:rPr>
                <w:rFonts w:hint="default" w:ascii="Arial" w:hAnsi="Arial" w:cs="Arial"/>
                <w:i w:val="0"/>
                <w:iCs w:val="0"/>
                <w:color w:val="000000"/>
                <w:sz w:val="20"/>
                <w:szCs w:val="20"/>
                <w:u w:val="none"/>
              </w:rPr>
            </w:pPr>
          </w:p>
        </w:tc>
        <w:tc>
          <w:tcPr>
            <w:tcW w:w="2340" w:type="dxa"/>
            <w:tcBorders>
              <w:top w:val="nil"/>
              <w:left w:val="nil"/>
              <w:bottom w:val="nil"/>
              <w:right w:val="nil"/>
            </w:tcBorders>
            <w:shd w:val="clear" w:color="auto" w:fill="FFFFFF" w:themeFill="background1"/>
            <w:noWrap/>
            <w:vAlign w:val="bottom"/>
          </w:tcPr>
          <w:p w14:paraId="23CB77FA">
            <w:pPr>
              <w:keepNext w:val="0"/>
              <w:keepLines w:val="0"/>
              <w:widowControl/>
              <w:suppressLineNumbers w:val="0"/>
              <w:spacing w:line="240" w:lineRule="auto"/>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AF11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6305" w:type="dxa"/>
            <w:gridSpan w:val="3"/>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054AFC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984" w:type="dxa"/>
            <w:gridSpan w:val="3"/>
            <w:tcBorders>
              <w:top w:val="single" w:color="000000" w:sz="4" w:space="0"/>
              <w:left w:val="nil"/>
              <w:bottom w:val="single" w:color="000000" w:sz="4" w:space="0"/>
              <w:right w:val="single" w:color="000000" w:sz="4" w:space="0"/>
            </w:tcBorders>
            <w:shd w:val="clear" w:color="auto" w:fill="FFFFFF" w:themeFill="background1"/>
            <w:noWrap/>
            <w:vAlign w:val="center"/>
          </w:tcPr>
          <w:p w14:paraId="404157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18934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5E80DC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2B1F0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512C061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11D69C2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5DD9E8A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57C487A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43FC4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30"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B796E9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C1F80DD">
            <w:pPr>
              <w:spacing w:line="240" w:lineRule="auto"/>
              <w:jc w:val="center"/>
              <w:rPr>
                <w:rFonts w:hint="eastAsia" w:ascii="宋体" w:hAnsi="宋体" w:eastAsia="宋体" w:cs="宋体"/>
                <w:i w:val="0"/>
                <w:iCs w:val="0"/>
                <w:color w:val="000000"/>
                <w:sz w:val="22"/>
                <w:szCs w:val="22"/>
                <w:u w:val="none"/>
              </w:rPr>
            </w:pP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2DFD7D2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16EE451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4D98393D">
            <w:pPr>
              <w:spacing w:line="240" w:lineRule="auto"/>
              <w:jc w:val="center"/>
              <w:rPr>
                <w:rFonts w:hint="eastAsia" w:ascii="宋体" w:hAnsi="宋体" w:eastAsia="宋体" w:cs="宋体"/>
                <w:i w:val="0"/>
                <w:iCs w:val="0"/>
                <w:color w:val="000000"/>
                <w:sz w:val="22"/>
                <w:szCs w:val="22"/>
                <w:u w:val="none"/>
              </w:rPr>
            </w:pP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3C82A9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40093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A8031A9">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459A17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28854F34">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12,334.65</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44CA8214">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23554F9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4C6714DA">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r>
      <w:tr w14:paraId="0BEB0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E2273D8">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43050C2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0EAE31B1">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3827204B">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5C65D31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20B591B8">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AFB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F7282B9">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7EB9DFA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3827BFE3">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497D145C">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1C6E799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7704AC37">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94D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C3354D2">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0EE826A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25DF9DA5">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7C973498">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4EFAE73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42180517">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19D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42E5112">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6A240C9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4C9C6AC4">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4C590179">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002FEAA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43D4F1C2">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12,693.54</w:t>
            </w:r>
          </w:p>
        </w:tc>
      </w:tr>
      <w:tr w14:paraId="4DFD7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F65B346">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33823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1F98A8EE">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4FF11BD8">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5024E86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1C2A256C">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42F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D557D63">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0A3D40B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22996814">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3048817D">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6725272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5E5776DA">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F71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7993BB6">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6F44DD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45881550">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432.09</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4FAC4503">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75D422F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0726F61E">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48.22</w:t>
            </w:r>
          </w:p>
        </w:tc>
      </w:tr>
      <w:tr w14:paraId="5D26F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0FD7723">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69B73D3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667CCAFD">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7F2E2546">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0E4814A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796E03F6">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12.28</w:t>
            </w:r>
          </w:p>
        </w:tc>
      </w:tr>
      <w:tr w14:paraId="1BDE6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05F7C93">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E81A0F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1F5C8768">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7934E525">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155A32F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230DC066">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500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E4E7B07">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654EB6F5">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2EB864C1">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7AD94D5D">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315C9650">
            <w:pPr>
              <w:keepNext w:val="0"/>
              <w:keepLines w:val="0"/>
              <w:widowControl/>
              <w:suppressLineNumbers w:val="0"/>
              <w:tabs>
                <w:tab w:val="left" w:pos="533"/>
                <w:tab w:val="center" w:pos="1369"/>
              </w:tabs>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b/>
            </w:r>
            <w:r>
              <w:rPr>
                <w:rFonts w:hint="eastAsia" w:ascii="宋体" w:hAnsi="宋体" w:eastAsia="宋体" w:cs="宋体"/>
                <w:i w:val="0"/>
                <w:iCs w:val="0"/>
                <w:color w:val="000000"/>
                <w:kern w:val="0"/>
                <w:sz w:val="22"/>
                <w:szCs w:val="22"/>
                <w:u w:val="none"/>
                <w:lang w:val="en-US" w:eastAsia="zh-CN" w:bidi="ar"/>
              </w:rPr>
              <w:tab/>
            </w:r>
            <w:r>
              <w:rPr>
                <w:rFonts w:hint="eastAsia" w:ascii="宋体" w:hAnsi="宋体" w:eastAsia="宋体" w:cs="宋体"/>
                <w:i w:val="0"/>
                <w:iCs w:val="0"/>
                <w:color w:val="000000"/>
                <w:kern w:val="0"/>
                <w:sz w:val="22"/>
                <w:szCs w:val="22"/>
                <w:u w:val="none"/>
                <w:lang w:val="en-US" w:eastAsia="zh-CN" w:bidi="ar"/>
              </w:rPr>
              <w:t>42</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74F252C3">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214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638685A">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BE6A9D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25C50E2B">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3CC26967">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76DAD23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1553A4AC">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754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62C01E9">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68CD4C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10BBB72E">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41496831">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79E554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529BAC19">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961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6FB7EF9">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57D9BE1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31BB42D1">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top"/>
          </w:tcPr>
          <w:p w14:paraId="1E36B1C3">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52C95AB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1A3B8ADE">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C41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8BBBDC0">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74E6931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715344B5">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769AA952">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52C2924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44114136">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943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C89D257">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B0ADDF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034DD816">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624793B0">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5A7AD06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7573E956">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96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6BFD2CE9">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448C16A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437288AF">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62E5074A">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3574A34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2C219652">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119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834EF1B">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450C9BF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1CC4BBA1">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79A2466E">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1BB94B3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1DD4C960">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4A9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B8B479F">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55D830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6B36E4C3">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4D489086">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440B76A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055893A5">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w:t>
            </w:r>
          </w:p>
        </w:tc>
      </w:tr>
      <w:tr w14:paraId="6FDC9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4EF17202">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57B52189">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636E5005">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5A3C8033">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47AC9AF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2E7BADE5">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6BF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14646F5">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415444D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7D6D65CB">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65C0002A">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4A77C90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71C75DCA">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92B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5AAE0537">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AA51F1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614EC257">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25DF04B6">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3325A5B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53ED4E54">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D96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12863C27">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5C8FB5C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65A616A9">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54E16BAC">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15B1255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57CA7D3A">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r>
      <w:tr w14:paraId="7A459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C2F4A7A">
            <w:pPr>
              <w:spacing w:line="240" w:lineRule="auto"/>
              <w:jc w:val="center"/>
              <w:rPr>
                <w:rFonts w:hint="eastAsia" w:ascii="宋体" w:hAnsi="宋体" w:eastAsia="宋体" w:cs="宋体"/>
                <w:b/>
                <w:bCs/>
                <w:i w:val="0"/>
                <w:iCs w:val="0"/>
                <w:color w:val="000000"/>
                <w:sz w:val="20"/>
                <w:szCs w:val="20"/>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198A2B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0FC7E44E">
            <w:pPr>
              <w:spacing w:line="240" w:lineRule="auto"/>
              <w:jc w:val="right"/>
              <w:rPr>
                <w:rFonts w:hint="eastAsia" w:ascii="宋体" w:hAnsi="宋体" w:eastAsia="宋体" w:cs="宋体"/>
                <w:i w:val="0"/>
                <w:iCs w:val="0"/>
                <w:color w:val="000000"/>
                <w:sz w:val="20"/>
                <w:szCs w:val="20"/>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123D684B">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120B1856">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4FDB9A90">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3D9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DEBAB1F">
            <w:pPr>
              <w:spacing w:line="240" w:lineRule="auto"/>
              <w:jc w:val="left"/>
              <w:rPr>
                <w:rFonts w:hint="eastAsia" w:ascii="宋体" w:hAnsi="宋体" w:eastAsia="宋体" w:cs="宋体"/>
                <w:i w:val="0"/>
                <w:iCs w:val="0"/>
                <w:color w:val="000000"/>
                <w:sz w:val="20"/>
                <w:szCs w:val="20"/>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152083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27B068C4">
            <w:pPr>
              <w:spacing w:line="240" w:lineRule="auto"/>
              <w:jc w:val="right"/>
              <w:rPr>
                <w:rFonts w:hint="eastAsia" w:ascii="宋体" w:hAnsi="宋体" w:eastAsia="宋体" w:cs="宋体"/>
                <w:i w:val="0"/>
                <w:iCs w:val="0"/>
                <w:color w:val="000000"/>
                <w:sz w:val="20"/>
                <w:szCs w:val="20"/>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26DC19BC">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0A014E4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0FD1CD3F">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00E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4BB2949">
            <w:pPr>
              <w:spacing w:line="240" w:lineRule="auto"/>
              <w:jc w:val="left"/>
              <w:rPr>
                <w:rFonts w:hint="eastAsia" w:ascii="宋体" w:hAnsi="宋体" w:eastAsia="宋体" w:cs="宋体"/>
                <w:i w:val="0"/>
                <w:iCs w:val="0"/>
                <w:color w:val="000000"/>
                <w:sz w:val="20"/>
                <w:szCs w:val="20"/>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72B6384">
            <w:pPr>
              <w:keepNext w:val="0"/>
              <w:keepLines w:val="0"/>
              <w:widowControl/>
              <w:suppressLineNumbers w:val="0"/>
              <w:spacing w:line="24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121998ED">
            <w:pPr>
              <w:spacing w:line="240" w:lineRule="auto"/>
              <w:jc w:val="right"/>
              <w:rPr>
                <w:rFonts w:hint="eastAsia" w:ascii="宋体" w:hAnsi="宋体" w:eastAsia="宋体" w:cs="宋体"/>
                <w:i w:val="0"/>
                <w:iCs w:val="0"/>
                <w:color w:val="000000"/>
                <w:sz w:val="20"/>
                <w:szCs w:val="20"/>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52959051">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5B7837E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4A99E113">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DFD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35A5D4F0">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652F575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0480F11F">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14,736.74</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40DAC533">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2989D69F">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2A5BDF6D">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14,736.74</w:t>
            </w:r>
          </w:p>
        </w:tc>
      </w:tr>
      <w:tr w14:paraId="62F3B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7EFED742">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3B4F350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2E87D947">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0401A322">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1288CF9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7F8B0607">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5F6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8475331">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608EB10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6CCB00E3">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7AE06E64">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5765D9A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2BFC3DC7">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EE5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09FEE7E1">
            <w:pPr>
              <w:spacing w:line="240" w:lineRule="auto"/>
              <w:jc w:val="left"/>
              <w:rPr>
                <w:rFonts w:hint="eastAsia" w:ascii="宋体" w:hAnsi="宋体" w:eastAsia="宋体" w:cs="宋体"/>
                <w:i w:val="0"/>
                <w:iCs w:val="0"/>
                <w:color w:val="000000"/>
                <w:sz w:val="22"/>
                <w:szCs w:val="22"/>
                <w:u w:val="none"/>
              </w:rPr>
            </w:pP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1B865C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6C00A438">
            <w:pPr>
              <w:spacing w:line="240" w:lineRule="auto"/>
              <w:jc w:val="right"/>
              <w:rPr>
                <w:rFonts w:hint="eastAsia" w:ascii="宋体" w:hAnsi="宋体" w:eastAsia="宋体" w:cs="宋体"/>
                <w:i w:val="0"/>
                <w:iCs w:val="0"/>
                <w:color w:val="000000"/>
                <w:sz w:val="22"/>
                <w:szCs w:val="22"/>
                <w:u w:val="none"/>
              </w:rPr>
            </w:pP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04608540">
            <w:pPr>
              <w:spacing w:line="240" w:lineRule="auto"/>
              <w:jc w:val="left"/>
              <w:rPr>
                <w:rFonts w:hint="eastAsia" w:ascii="宋体" w:hAnsi="宋体" w:eastAsia="宋体" w:cs="宋体"/>
                <w:i w:val="0"/>
                <w:iCs w:val="0"/>
                <w:color w:val="000000"/>
                <w:sz w:val="22"/>
                <w:szCs w:val="22"/>
                <w:u w:val="none"/>
              </w:rPr>
            </w:pP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0ACB746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475A15C5">
            <w:pPr>
              <w:spacing w:line="240" w:lineRule="auto"/>
              <w:jc w:val="left"/>
              <w:rPr>
                <w:rFonts w:hint="eastAsia" w:ascii="宋体" w:hAnsi="宋体" w:eastAsia="宋体" w:cs="宋体"/>
                <w:i w:val="0"/>
                <w:iCs w:val="0"/>
                <w:color w:val="000000"/>
                <w:sz w:val="22"/>
                <w:szCs w:val="22"/>
                <w:u w:val="none"/>
              </w:rPr>
            </w:pPr>
          </w:p>
        </w:tc>
      </w:tr>
      <w:tr w14:paraId="5B9BB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3736" w:type="dxa"/>
            <w:tcBorders>
              <w:top w:val="nil"/>
              <w:left w:val="single" w:color="000000" w:sz="4" w:space="0"/>
              <w:bottom w:val="single" w:color="000000" w:sz="4" w:space="0"/>
              <w:right w:val="single" w:color="000000" w:sz="4" w:space="0"/>
            </w:tcBorders>
            <w:shd w:val="clear" w:color="auto" w:fill="FFFFFF" w:themeFill="background1"/>
            <w:noWrap/>
            <w:vAlign w:val="center"/>
          </w:tcPr>
          <w:p w14:paraId="2880306B">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656" w:type="dxa"/>
            <w:tcBorders>
              <w:top w:val="nil"/>
              <w:left w:val="nil"/>
              <w:bottom w:val="single" w:color="000000" w:sz="4" w:space="0"/>
              <w:right w:val="single" w:color="000000" w:sz="4" w:space="0"/>
            </w:tcBorders>
            <w:shd w:val="clear" w:color="auto" w:fill="FFFFFF" w:themeFill="background1"/>
            <w:noWrap/>
            <w:vAlign w:val="center"/>
          </w:tcPr>
          <w:p w14:paraId="2B6306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913" w:type="dxa"/>
            <w:tcBorders>
              <w:top w:val="nil"/>
              <w:left w:val="nil"/>
              <w:bottom w:val="single" w:color="000000" w:sz="4" w:space="0"/>
              <w:right w:val="single" w:color="000000" w:sz="4" w:space="0"/>
            </w:tcBorders>
            <w:shd w:val="clear" w:color="auto" w:fill="FFFFFF" w:themeFill="background1"/>
            <w:noWrap/>
            <w:vAlign w:val="center"/>
          </w:tcPr>
          <w:p w14:paraId="036C8260">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14,736.74</w:t>
            </w:r>
          </w:p>
        </w:tc>
        <w:tc>
          <w:tcPr>
            <w:tcW w:w="2809" w:type="dxa"/>
            <w:tcBorders>
              <w:top w:val="nil"/>
              <w:left w:val="nil"/>
              <w:bottom w:val="single" w:color="000000" w:sz="4" w:space="0"/>
              <w:right w:val="single" w:color="000000" w:sz="4" w:space="0"/>
            </w:tcBorders>
            <w:shd w:val="clear" w:color="auto" w:fill="FFFFFF" w:themeFill="background1"/>
            <w:noWrap/>
            <w:vAlign w:val="center"/>
          </w:tcPr>
          <w:p w14:paraId="5AA42873">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2835" w:type="dxa"/>
            <w:tcBorders>
              <w:top w:val="nil"/>
              <w:left w:val="nil"/>
              <w:bottom w:val="single" w:color="000000" w:sz="4" w:space="0"/>
              <w:right w:val="single" w:color="000000" w:sz="4" w:space="0"/>
            </w:tcBorders>
            <w:shd w:val="clear" w:color="auto" w:fill="FFFFFF" w:themeFill="background1"/>
            <w:noWrap/>
            <w:vAlign w:val="center"/>
          </w:tcPr>
          <w:p w14:paraId="029F2E9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2340" w:type="dxa"/>
            <w:tcBorders>
              <w:top w:val="nil"/>
              <w:left w:val="nil"/>
              <w:bottom w:val="single" w:color="000000" w:sz="4" w:space="0"/>
              <w:right w:val="single" w:color="000000" w:sz="4" w:space="0"/>
            </w:tcBorders>
            <w:shd w:val="clear" w:color="auto" w:fill="FFFFFF" w:themeFill="background1"/>
            <w:noWrap/>
            <w:vAlign w:val="center"/>
          </w:tcPr>
          <w:p w14:paraId="7B1ACA0B">
            <w:pPr>
              <w:keepNext w:val="0"/>
              <w:keepLines w:val="0"/>
              <w:widowControl/>
              <w:suppressLineNumbers w:val="0"/>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14,736.74</w:t>
            </w:r>
          </w:p>
        </w:tc>
      </w:tr>
      <w:tr w14:paraId="359D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exact"/>
        </w:trPr>
        <w:tc>
          <w:tcPr>
            <w:tcW w:w="14289" w:type="dxa"/>
            <w:gridSpan w:val="6"/>
            <w:tcBorders>
              <w:top w:val="nil"/>
              <w:left w:val="nil"/>
              <w:bottom w:val="nil"/>
              <w:right w:val="nil"/>
            </w:tcBorders>
            <w:shd w:val="clear" w:color="auto" w:fill="FFFFFF" w:themeFill="background1"/>
            <w:noWrap/>
            <w:vAlign w:val="center"/>
          </w:tcPr>
          <w:p w14:paraId="352E8F42">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37C4D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rPr>
        <w:tc>
          <w:tcPr>
            <w:tcW w:w="14289" w:type="dxa"/>
            <w:gridSpan w:val="6"/>
            <w:tcBorders>
              <w:top w:val="nil"/>
              <w:left w:val="nil"/>
              <w:bottom w:val="nil"/>
              <w:right w:val="nil"/>
            </w:tcBorders>
            <w:shd w:val="clear" w:color="auto" w:fill="FFFFFF" w:themeFill="background1"/>
            <w:noWrap/>
            <w:vAlign w:val="center"/>
          </w:tcPr>
          <w:p w14:paraId="32B6FD70">
            <w:pPr>
              <w:keepNext w:val="0"/>
              <w:keepLines w:val="0"/>
              <w:widowControl/>
              <w:suppressLineNumbers w:val="0"/>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5F69EF5A">
      <w:pPr>
        <w:jc w:val="center"/>
        <w:rPr>
          <w:sz w:val="72"/>
          <w:szCs w:val="72"/>
        </w:rPr>
      </w:pPr>
      <w:r>
        <w:rPr>
          <w:sz w:val="72"/>
          <w:szCs w:val="72"/>
        </w:rPr>
        <w:object>
          <v:shape id="_x0000_i1025" o:spt="75" type="#_x0000_t75" style="height:541.3pt;width:769.8pt;" o:ole="t" filled="f" o:preferrelative="t" stroked="f" coordsize="21600,21600">
            <v:path/>
            <v:fill on="f" focussize="0,0"/>
            <v:stroke on="f"/>
            <v:imagedata r:id="rId5" o:title=""/>
            <o:lock v:ext="edit" aspectratio="f"/>
            <w10:wrap type="none"/>
            <w10:anchorlock/>
          </v:shape>
          <o:OLEObject Type="Embed" ProgID="Excel.Sheet.8" ShapeID="_x0000_i1025" DrawAspect="Content" ObjectID="_1468075725" r:id="rId4">
            <o:LockedField>false</o:LockedField>
          </o:OLEObject>
        </w:object>
      </w:r>
    </w:p>
    <w:p w14:paraId="6E9DC768">
      <w:pPr>
        <w:jc w:val="left"/>
        <w:rPr>
          <w:rFonts w:asciiTheme="minorEastAsia" w:hAnsiTheme="minorEastAsia"/>
          <w:sz w:val="32"/>
          <w:szCs w:val="3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pPr w:leftFromText="180" w:rightFromText="180" w:vertAnchor="text" w:horzAnchor="page" w:tblpX="985" w:tblpY="-91"/>
        <w:tblOverlap w:val="never"/>
        <w:tblW w:w="157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816"/>
        <w:gridCol w:w="222"/>
        <w:gridCol w:w="222"/>
        <w:gridCol w:w="5496"/>
        <w:gridCol w:w="1321"/>
        <w:gridCol w:w="1206"/>
        <w:gridCol w:w="1206"/>
        <w:gridCol w:w="747"/>
        <w:gridCol w:w="747"/>
        <w:gridCol w:w="1737"/>
      </w:tblGrid>
      <w:tr w14:paraId="3FA3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444" w:hRule="exact"/>
        </w:trPr>
        <w:tc>
          <w:tcPr>
            <w:tcW w:w="15720" w:type="dxa"/>
            <w:gridSpan w:val="10"/>
            <w:tcBorders>
              <w:top w:val="nil"/>
              <w:left w:val="nil"/>
              <w:bottom w:val="nil"/>
              <w:right w:val="nil"/>
            </w:tcBorders>
            <w:shd w:val="clear" w:color="auto" w:fill="FFFFFF" w:themeFill="background1"/>
            <w:noWrap/>
            <w:vAlign w:val="bottom"/>
          </w:tcPr>
          <w:p w14:paraId="2F32E2C3">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107A7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174" w:hRule="exact"/>
        </w:trPr>
        <w:tc>
          <w:tcPr>
            <w:tcW w:w="2816" w:type="dxa"/>
            <w:tcBorders>
              <w:top w:val="nil"/>
              <w:left w:val="nil"/>
              <w:bottom w:val="nil"/>
              <w:right w:val="nil"/>
            </w:tcBorders>
            <w:shd w:val="clear" w:color="auto" w:fill="FFFFFF" w:themeFill="background1"/>
            <w:noWrap/>
            <w:vAlign w:val="bottom"/>
          </w:tcPr>
          <w:p w14:paraId="1D0E4306">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FFFFFF" w:themeFill="background1"/>
            <w:noWrap/>
            <w:vAlign w:val="bottom"/>
          </w:tcPr>
          <w:p w14:paraId="79298551">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FFFFFF" w:themeFill="background1"/>
            <w:noWrap/>
            <w:vAlign w:val="bottom"/>
          </w:tcPr>
          <w:p w14:paraId="098F3720">
            <w:pPr>
              <w:rPr>
                <w:rFonts w:hint="default" w:ascii="Arial" w:hAnsi="Arial" w:cs="Arial"/>
                <w:i w:val="0"/>
                <w:iCs w:val="0"/>
                <w:color w:val="000000"/>
                <w:sz w:val="20"/>
                <w:szCs w:val="20"/>
                <w:u w:val="none"/>
              </w:rPr>
            </w:pPr>
          </w:p>
        </w:tc>
        <w:tc>
          <w:tcPr>
            <w:tcW w:w="5496" w:type="dxa"/>
            <w:tcBorders>
              <w:top w:val="nil"/>
              <w:left w:val="nil"/>
              <w:bottom w:val="nil"/>
              <w:right w:val="nil"/>
            </w:tcBorders>
            <w:shd w:val="clear" w:color="auto" w:fill="FFFFFF" w:themeFill="background1"/>
            <w:noWrap/>
            <w:vAlign w:val="bottom"/>
          </w:tcPr>
          <w:p w14:paraId="604E00C4">
            <w:pPr>
              <w:rPr>
                <w:rFonts w:hint="default" w:ascii="Arial" w:hAnsi="Arial" w:cs="Arial"/>
                <w:i w:val="0"/>
                <w:iCs w:val="0"/>
                <w:color w:val="000000"/>
                <w:sz w:val="20"/>
                <w:szCs w:val="20"/>
                <w:u w:val="none"/>
              </w:rPr>
            </w:pPr>
          </w:p>
        </w:tc>
        <w:tc>
          <w:tcPr>
            <w:tcW w:w="1321" w:type="dxa"/>
            <w:tcBorders>
              <w:top w:val="nil"/>
              <w:left w:val="nil"/>
              <w:bottom w:val="nil"/>
              <w:right w:val="nil"/>
            </w:tcBorders>
            <w:shd w:val="clear" w:color="auto" w:fill="FFFFFF" w:themeFill="background1"/>
            <w:noWrap/>
            <w:vAlign w:val="bottom"/>
          </w:tcPr>
          <w:p w14:paraId="1EAB511A">
            <w:pPr>
              <w:rPr>
                <w:rFonts w:hint="default" w:ascii="Arial" w:hAnsi="Arial" w:cs="Arial"/>
                <w:i w:val="0"/>
                <w:iCs w:val="0"/>
                <w:color w:val="000000"/>
                <w:sz w:val="20"/>
                <w:szCs w:val="20"/>
                <w:u w:val="none"/>
              </w:rPr>
            </w:pPr>
          </w:p>
        </w:tc>
        <w:tc>
          <w:tcPr>
            <w:tcW w:w="1206" w:type="dxa"/>
            <w:tcBorders>
              <w:top w:val="nil"/>
              <w:left w:val="nil"/>
              <w:bottom w:val="nil"/>
              <w:right w:val="nil"/>
            </w:tcBorders>
            <w:shd w:val="clear" w:color="auto" w:fill="FFFFFF" w:themeFill="background1"/>
            <w:noWrap/>
            <w:vAlign w:val="bottom"/>
          </w:tcPr>
          <w:p w14:paraId="02BD8D29">
            <w:pPr>
              <w:rPr>
                <w:rFonts w:hint="default" w:ascii="Arial" w:hAnsi="Arial" w:cs="Arial"/>
                <w:i w:val="0"/>
                <w:iCs w:val="0"/>
                <w:color w:val="000000"/>
                <w:sz w:val="20"/>
                <w:szCs w:val="20"/>
                <w:u w:val="none"/>
              </w:rPr>
            </w:pPr>
          </w:p>
        </w:tc>
        <w:tc>
          <w:tcPr>
            <w:tcW w:w="1206" w:type="dxa"/>
            <w:tcBorders>
              <w:top w:val="nil"/>
              <w:left w:val="nil"/>
              <w:bottom w:val="nil"/>
              <w:right w:val="nil"/>
            </w:tcBorders>
            <w:shd w:val="clear" w:color="auto" w:fill="FFFFFF" w:themeFill="background1"/>
            <w:noWrap/>
            <w:vAlign w:val="bottom"/>
          </w:tcPr>
          <w:p w14:paraId="79C968DF">
            <w:pPr>
              <w:rPr>
                <w:rFonts w:hint="default" w:ascii="Arial" w:hAnsi="Arial" w:cs="Arial"/>
                <w:i w:val="0"/>
                <w:iCs w:val="0"/>
                <w:color w:val="000000"/>
                <w:sz w:val="20"/>
                <w:szCs w:val="20"/>
                <w:u w:val="none"/>
              </w:rPr>
            </w:pPr>
          </w:p>
        </w:tc>
        <w:tc>
          <w:tcPr>
            <w:tcW w:w="747" w:type="dxa"/>
            <w:tcBorders>
              <w:top w:val="nil"/>
              <w:left w:val="nil"/>
              <w:bottom w:val="nil"/>
              <w:right w:val="nil"/>
            </w:tcBorders>
            <w:shd w:val="clear" w:color="auto" w:fill="FFFFFF" w:themeFill="background1"/>
            <w:noWrap/>
            <w:vAlign w:val="bottom"/>
          </w:tcPr>
          <w:p w14:paraId="709E1F6E">
            <w:pPr>
              <w:rPr>
                <w:rFonts w:hint="default" w:ascii="Arial" w:hAnsi="Arial" w:cs="Arial"/>
                <w:i w:val="0"/>
                <w:iCs w:val="0"/>
                <w:color w:val="000000"/>
                <w:sz w:val="20"/>
                <w:szCs w:val="20"/>
                <w:u w:val="none"/>
              </w:rPr>
            </w:pPr>
          </w:p>
        </w:tc>
        <w:tc>
          <w:tcPr>
            <w:tcW w:w="747" w:type="dxa"/>
            <w:tcBorders>
              <w:top w:val="nil"/>
              <w:left w:val="nil"/>
              <w:bottom w:val="nil"/>
              <w:right w:val="nil"/>
            </w:tcBorders>
            <w:shd w:val="clear" w:color="auto" w:fill="FFFFFF" w:themeFill="background1"/>
            <w:noWrap/>
            <w:vAlign w:val="bottom"/>
          </w:tcPr>
          <w:p w14:paraId="47DD195F">
            <w:pPr>
              <w:rPr>
                <w:rFonts w:hint="default" w:ascii="Arial" w:hAnsi="Arial" w:cs="Arial"/>
                <w:i w:val="0"/>
                <w:iCs w:val="0"/>
                <w:color w:val="000000"/>
                <w:sz w:val="20"/>
                <w:szCs w:val="20"/>
                <w:u w:val="none"/>
              </w:rPr>
            </w:pPr>
          </w:p>
        </w:tc>
        <w:tc>
          <w:tcPr>
            <w:tcW w:w="1737" w:type="dxa"/>
            <w:tcBorders>
              <w:top w:val="nil"/>
              <w:left w:val="nil"/>
              <w:bottom w:val="nil"/>
              <w:right w:val="nil"/>
            </w:tcBorders>
            <w:shd w:val="clear" w:color="auto" w:fill="FFFFFF" w:themeFill="background1"/>
            <w:noWrap/>
            <w:vAlign w:val="bottom"/>
          </w:tcPr>
          <w:p w14:paraId="0FAD887E">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02C2F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2816" w:type="dxa"/>
            <w:tcBorders>
              <w:top w:val="nil"/>
              <w:left w:val="nil"/>
              <w:bottom w:val="nil"/>
              <w:right w:val="nil"/>
            </w:tcBorders>
            <w:shd w:val="clear" w:color="auto" w:fill="FFFFFF" w:themeFill="background1"/>
            <w:noWrap/>
            <w:vAlign w:val="bottom"/>
          </w:tcPr>
          <w:p w14:paraId="7454C7F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部门：溆浦县教育局（本级）</w:t>
            </w:r>
          </w:p>
        </w:tc>
        <w:tc>
          <w:tcPr>
            <w:tcW w:w="222" w:type="dxa"/>
            <w:tcBorders>
              <w:top w:val="nil"/>
              <w:left w:val="nil"/>
              <w:bottom w:val="nil"/>
              <w:right w:val="nil"/>
            </w:tcBorders>
            <w:shd w:val="clear" w:color="auto" w:fill="FFFFFF" w:themeFill="background1"/>
            <w:noWrap/>
            <w:vAlign w:val="bottom"/>
          </w:tcPr>
          <w:p w14:paraId="71701A4E">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FFFFFF" w:themeFill="background1"/>
            <w:noWrap/>
            <w:vAlign w:val="bottom"/>
          </w:tcPr>
          <w:p w14:paraId="361ED3B2">
            <w:pPr>
              <w:rPr>
                <w:rFonts w:hint="default" w:ascii="Arial" w:hAnsi="Arial" w:cs="Arial"/>
                <w:i w:val="0"/>
                <w:iCs w:val="0"/>
                <w:color w:val="000000"/>
                <w:sz w:val="20"/>
                <w:szCs w:val="20"/>
                <w:u w:val="none"/>
              </w:rPr>
            </w:pPr>
          </w:p>
        </w:tc>
        <w:tc>
          <w:tcPr>
            <w:tcW w:w="5496" w:type="dxa"/>
            <w:tcBorders>
              <w:top w:val="nil"/>
              <w:left w:val="nil"/>
              <w:bottom w:val="nil"/>
              <w:right w:val="nil"/>
            </w:tcBorders>
            <w:shd w:val="clear" w:color="auto" w:fill="FFFFFF" w:themeFill="background1"/>
            <w:noWrap/>
            <w:vAlign w:val="bottom"/>
          </w:tcPr>
          <w:p w14:paraId="52387BA4">
            <w:pPr>
              <w:rPr>
                <w:rFonts w:hint="default" w:ascii="Arial" w:hAnsi="Arial" w:cs="Arial"/>
                <w:i w:val="0"/>
                <w:iCs w:val="0"/>
                <w:color w:val="000000"/>
                <w:sz w:val="20"/>
                <w:szCs w:val="20"/>
                <w:u w:val="none"/>
              </w:rPr>
            </w:pPr>
          </w:p>
        </w:tc>
        <w:tc>
          <w:tcPr>
            <w:tcW w:w="1321" w:type="dxa"/>
            <w:tcBorders>
              <w:top w:val="nil"/>
              <w:left w:val="nil"/>
              <w:bottom w:val="nil"/>
              <w:right w:val="nil"/>
            </w:tcBorders>
            <w:shd w:val="clear" w:color="auto" w:fill="FFFFFF" w:themeFill="background1"/>
            <w:noWrap/>
            <w:vAlign w:val="bottom"/>
          </w:tcPr>
          <w:p w14:paraId="7D13A523">
            <w:pPr>
              <w:rPr>
                <w:rFonts w:hint="default" w:ascii="Arial" w:hAnsi="Arial" w:cs="Arial"/>
                <w:i w:val="0"/>
                <w:iCs w:val="0"/>
                <w:color w:val="000000"/>
                <w:sz w:val="20"/>
                <w:szCs w:val="20"/>
                <w:u w:val="none"/>
              </w:rPr>
            </w:pPr>
          </w:p>
        </w:tc>
        <w:tc>
          <w:tcPr>
            <w:tcW w:w="1206" w:type="dxa"/>
            <w:tcBorders>
              <w:top w:val="nil"/>
              <w:left w:val="nil"/>
              <w:bottom w:val="nil"/>
              <w:right w:val="nil"/>
            </w:tcBorders>
            <w:shd w:val="clear" w:color="auto" w:fill="FFFFFF" w:themeFill="background1"/>
            <w:noWrap/>
            <w:vAlign w:val="bottom"/>
          </w:tcPr>
          <w:p w14:paraId="4AE7575A">
            <w:pPr>
              <w:rPr>
                <w:rFonts w:hint="default" w:ascii="Arial" w:hAnsi="Arial" w:cs="Arial"/>
                <w:i w:val="0"/>
                <w:iCs w:val="0"/>
                <w:color w:val="000000"/>
                <w:sz w:val="20"/>
                <w:szCs w:val="20"/>
                <w:u w:val="none"/>
              </w:rPr>
            </w:pPr>
          </w:p>
        </w:tc>
        <w:tc>
          <w:tcPr>
            <w:tcW w:w="1206" w:type="dxa"/>
            <w:tcBorders>
              <w:top w:val="nil"/>
              <w:left w:val="nil"/>
              <w:bottom w:val="nil"/>
              <w:right w:val="nil"/>
            </w:tcBorders>
            <w:shd w:val="clear" w:color="auto" w:fill="FFFFFF" w:themeFill="background1"/>
            <w:noWrap/>
            <w:vAlign w:val="bottom"/>
          </w:tcPr>
          <w:p w14:paraId="3375459F">
            <w:pPr>
              <w:rPr>
                <w:rFonts w:hint="default" w:ascii="Arial" w:hAnsi="Arial" w:cs="Arial"/>
                <w:i w:val="0"/>
                <w:iCs w:val="0"/>
                <w:color w:val="000000"/>
                <w:sz w:val="20"/>
                <w:szCs w:val="20"/>
                <w:u w:val="none"/>
              </w:rPr>
            </w:pPr>
          </w:p>
        </w:tc>
        <w:tc>
          <w:tcPr>
            <w:tcW w:w="747" w:type="dxa"/>
            <w:tcBorders>
              <w:top w:val="nil"/>
              <w:left w:val="nil"/>
              <w:bottom w:val="nil"/>
              <w:right w:val="nil"/>
            </w:tcBorders>
            <w:shd w:val="clear" w:color="auto" w:fill="FFFFFF" w:themeFill="background1"/>
            <w:noWrap/>
            <w:vAlign w:val="bottom"/>
          </w:tcPr>
          <w:p w14:paraId="4FCD7343">
            <w:pPr>
              <w:rPr>
                <w:rFonts w:hint="default" w:ascii="Arial" w:hAnsi="Arial" w:cs="Arial"/>
                <w:i w:val="0"/>
                <w:iCs w:val="0"/>
                <w:color w:val="000000"/>
                <w:sz w:val="20"/>
                <w:szCs w:val="20"/>
                <w:u w:val="none"/>
              </w:rPr>
            </w:pPr>
          </w:p>
        </w:tc>
        <w:tc>
          <w:tcPr>
            <w:tcW w:w="747" w:type="dxa"/>
            <w:tcBorders>
              <w:top w:val="nil"/>
              <w:left w:val="nil"/>
              <w:bottom w:val="nil"/>
              <w:right w:val="nil"/>
            </w:tcBorders>
            <w:shd w:val="clear" w:color="auto" w:fill="FFFFFF" w:themeFill="background1"/>
            <w:noWrap/>
            <w:vAlign w:val="bottom"/>
          </w:tcPr>
          <w:p w14:paraId="454072CC">
            <w:pPr>
              <w:rPr>
                <w:rFonts w:hint="default" w:ascii="Arial" w:hAnsi="Arial" w:cs="Arial"/>
                <w:i w:val="0"/>
                <w:iCs w:val="0"/>
                <w:color w:val="000000"/>
                <w:sz w:val="20"/>
                <w:szCs w:val="20"/>
                <w:u w:val="none"/>
              </w:rPr>
            </w:pPr>
          </w:p>
        </w:tc>
        <w:tc>
          <w:tcPr>
            <w:tcW w:w="1737" w:type="dxa"/>
            <w:tcBorders>
              <w:top w:val="nil"/>
              <w:left w:val="nil"/>
              <w:bottom w:val="nil"/>
              <w:right w:val="nil"/>
            </w:tcBorders>
            <w:shd w:val="clear" w:color="auto" w:fill="FFFFFF" w:themeFill="background1"/>
            <w:noWrap/>
            <w:vAlign w:val="bottom"/>
          </w:tcPr>
          <w:p w14:paraId="6DA6C3F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D213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8756" w:type="dxa"/>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EAA6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321"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675759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206"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4E06C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206"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4DB3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747"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781A3B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747"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59C0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737"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261BE3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E3C8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exact"/>
        </w:trPr>
        <w:tc>
          <w:tcPr>
            <w:tcW w:w="3260" w:type="dxa"/>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6862D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496" w:type="dxa"/>
            <w:vMerge w:val="restart"/>
            <w:tcBorders>
              <w:top w:val="nil"/>
              <w:left w:val="nil"/>
              <w:bottom w:val="single" w:color="000000" w:sz="4" w:space="0"/>
              <w:right w:val="single" w:color="000000" w:sz="4" w:space="0"/>
            </w:tcBorders>
            <w:shd w:val="clear" w:color="auto" w:fill="FFFFFF" w:themeFill="background1"/>
            <w:noWrap/>
            <w:vAlign w:val="center"/>
          </w:tcPr>
          <w:p w14:paraId="67671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2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10A59B6">
            <w:pPr>
              <w:jc w:val="center"/>
              <w:rPr>
                <w:rFonts w:hint="eastAsia" w:ascii="宋体" w:hAnsi="宋体" w:eastAsia="宋体" w:cs="宋体"/>
                <w:i w:val="0"/>
                <w:iCs w:val="0"/>
                <w:color w:val="000000"/>
                <w:sz w:val="22"/>
                <w:szCs w:val="22"/>
                <w:u w:val="none"/>
              </w:rPr>
            </w:pPr>
          </w:p>
        </w:tc>
        <w:tc>
          <w:tcPr>
            <w:tcW w:w="120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153C1D82">
            <w:pPr>
              <w:jc w:val="center"/>
              <w:rPr>
                <w:rFonts w:hint="eastAsia" w:ascii="宋体" w:hAnsi="宋体" w:eastAsia="宋体" w:cs="宋体"/>
                <w:i w:val="0"/>
                <w:iCs w:val="0"/>
                <w:color w:val="000000"/>
                <w:sz w:val="22"/>
                <w:szCs w:val="22"/>
                <w:u w:val="none"/>
              </w:rPr>
            </w:pPr>
          </w:p>
        </w:tc>
        <w:tc>
          <w:tcPr>
            <w:tcW w:w="120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E1FA9A5">
            <w:pPr>
              <w:jc w:val="center"/>
              <w:rPr>
                <w:rFonts w:hint="eastAsia" w:ascii="宋体" w:hAnsi="宋体" w:eastAsia="宋体" w:cs="宋体"/>
                <w:i w:val="0"/>
                <w:iCs w:val="0"/>
                <w:color w:val="000000"/>
                <w:sz w:val="22"/>
                <w:szCs w:val="22"/>
                <w:u w:val="none"/>
              </w:rPr>
            </w:pPr>
          </w:p>
        </w:tc>
        <w:tc>
          <w:tcPr>
            <w:tcW w:w="74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274A063">
            <w:pPr>
              <w:jc w:val="center"/>
              <w:rPr>
                <w:rFonts w:hint="eastAsia" w:ascii="宋体" w:hAnsi="宋体" w:eastAsia="宋体" w:cs="宋体"/>
                <w:i w:val="0"/>
                <w:iCs w:val="0"/>
                <w:color w:val="000000"/>
                <w:sz w:val="22"/>
                <w:szCs w:val="22"/>
                <w:u w:val="none"/>
              </w:rPr>
            </w:pPr>
          </w:p>
        </w:tc>
        <w:tc>
          <w:tcPr>
            <w:tcW w:w="74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1D2415B">
            <w:pPr>
              <w:jc w:val="center"/>
              <w:rPr>
                <w:rFonts w:hint="eastAsia" w:ascii="宋体" w:hAnsi="宋体" w:eastAsia="宋体" w:cs="宋体"/>
                <w:i w:val="0"/>
                <w:iCs w:val="0"/>
                <w:color w:val="000000"/>
                <w:sz w:val="22"/>
                <w:szCs w:val="22"/>
                <w:u w:val="none"/>
              </w:rPr>
            </w:pPr>
          </w:p>
        </w:tc>
        <w:tc>
          <w:tcPr>
            <w:tcW w:w="173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CEB653D">
            <w:pPr>
              <w:jc w:val="center"/>
              <w:rPr>
                <w:rFonts w:hint="eastAsia" w:ascii="宋体" w:hAnsi="宋体" w:eastAsia="宋体" w:cs="宋体"/>
                <w:i w:val="0"/>
                <w:iCs w:val="0"/>
                <w:color w:val="000000"/>
                <w:sz w:val="22"/>
                <w:szCs w:val="22"/>
                <w:u w:val="none"/>
              </w:rPr>
            </w:pPr>
          </w:p>
        </w:tc>
      </w:tr>
      <w:tr w14:paraId="56C1D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exact"/>
        </w:trPr>
        <w:tc>
          <w:tcPr>
            <w:tcW w:w="3260"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4D572579">
            <w:pPr>
              <w:jc w:val="center"/>
              <w:rPr>
                <w:rFonts w:hint="eastAsia" w:ascii="宋体" w:hAnsi="宋体" w:eastAsia="宋体" w:cs="宋体"/>
                <w:i w:val="0"/>
                <w:iCs w:val="0"/>
                <w:color w:val="000000"/>
                <w:sz w:val="22"/>
                <w:szCs w:val="22"/>
                <w:u w:val="none"/>
              </w:rPr>
            </w:pPr>
          </w:p>
        </w:tc>
        <w:tc>
          <w:tcPr>
            <w:tcW w:w="5496" w:type="dxa"/>
            <w:vMerge w:val="continue"/>
            <w:tcBorders>
              <w:top w:val="nil"/>
              <w:left w:val="nil"/>
              <w:bottom w:val="single" w:color="000000" w:sz="4" w:space="0"/>
              <w:right w:val="single" w:color="000000" w:sz="4" w:space="0"/>
            </w:tcBorders>
            <w:shd w:val="clear" w:color="auto" w:fill="FFFFFF" w:themeFill="background1"/>
            <w:noWrap/>
            <w:vAlign w:val="center"/>
          </w:tcPr>
          <w:p w14:paraId="707E34C7">
            <w:pPr>
              <w:jc w:val="center"/>
              <w:rPr>
                <w:rFonts w:hint="eastAsia" w:ascii="宋体" w:hAnsi="宋体" w:eastAsia="宋体" w:cs="宋体"/>
                <w:i w:val="0"/>
                <w:iCs w:val="0"/>
                <w:color w:val="000000"/>
                <w:sz w:val="22"/>
                <w:szCs w:val="22"/>
                <w:u w:val="none"/>
              </w:rPr>
            </w:pPr>
          </w:p>
        </w:tc>
        <w:tc>
          <w:tcPr>
            <w:tcW w:w="132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63B92C2">
            <w:pPr>
              <w:jc w:val="center"/>
              <w:rPr>
                <w:rFonts w:hint="eastAsia" w:ascii="宋体" w:hAnsi="宋体" w:eastAsia="宋体" w:cs="宋体"/>
                <w:i w:val="0"/>
                <w:iCs w:val="0"/>
                <w:color w:val="000000"/>
                <w:sz w:val="22"/>
                <w:szCs w:val="22"/>
                <w:u w:val="none"/>
              </w:rPr>
            </w:pPr>
          </w:p>
        </w:tc>
        <w:tc>
          <w:tcPr>
            <w:tcW w:w="120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D337E61">
            <w:pPr>
              <w:jc w:val="center"/>
              <w:rPr>
                <w:rFonts w:hint="eastAsia" w:ascii="宋体" w:hAnsi="宋体" w:eastAsia="宋体" w:cs="宋体"/>
                <w:i w:val="0"/>
                <w:iCs w:val="0"/>
                <w:color w:val="000000"/>
                <w:sz w:val="22"/>
                <w:szCs w:val="22"/>
                <w:u w:val="none"/>
              </w:rPr>
            </w:pPr>
          </w:p>
        </w:tc>
        <w:tc>
          <w:tcPr>
            <w:tcW w:w="120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474248F">
            <w:pPr>
              <w:jc w:val="center"/>
              <w:rPr>
                <w:rFonts w:hint="eastAsia" w:ascii="宋体" w:hAnsi="宋体" w:eastAsia="宋体" w:cs="宋体"/>
                <w:i w:val="0"/>
                <w:iCs w:val="0"/>
                <w:color w:val="000000"/>
                <w:sz w:val="22"/>
                <w:szCs w:val="22"/>
                <w:u w:val="none"/>
              </w:rPr>
            </w:pPr>
          </w:p>
        </w:tc>
        <w:tc>
          <w:tcPr>
            <w:tcW w:w="74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7509C9F">
            <w:pPr>
              <w:jc w:val="center"/>
              <w:rPr>
                <w:rFonts w:hint="eastAsia" w:ascii="宋体" w:hAnsi="宋体" w:eastAsia="宋体" w:cs="宋体"/>
                <w:i w:val="0"/>
                <w:iCs w:val="0"/>
                <w:color w:val="000000"/>
                <w:sz w:val="22"/>
                <w:szCs w:val="22"/>
                <w:u w:val="none"/>
              </w:rPr>
            </w:pPr>
          </w:p>
        </w:tc>
        <w:tc>
          <w:tcPr>
            <w:tcW w:w="74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74DBEB9">
            <w:pPr>
              <w:jc w:val="center"/>
              <w:rPr>
                <w:rFonts w:hint="eastAsia" w:ascii="宋体" w:hAnsi="宋体" w:eastAsia="宋体" w:cs="宋体"/>
                <w:i w:val="0"/>
                <w:iCs w:val="0"/>
                <w:color w:val="000000"/>
                <w:sz w:val="22"/>
                <w:szCs w:val="22"/>
                <w:u w:val="none"/>
              </w:rPr>
            </w:pPr>
          </w:p>
        </w:tc>
        <w:tc>
          <w:tcPr>
            <w:tcW w:w="173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6DFFB07">
            <w:pPr>
              <w:jc w:val="center"/>
              <w:rPr>
                <w:rFonts w:hint="eastAsia" w:ascii="宋体" w:hAnsi="宋体" w:eastAsia="宋体" w:cs="宋体"/>
                <w:i w:val="0"/>
                <w:iCs w:val="0"/>
                <w:color w:val="000000"/>
                <w:sz w:val="22"/>
                <w:szCs w:val="22"/>
                <w:u w:val="none"/>
              </w:rPr>
            </w:pPr>
          </w:p>
        </w:tc>
      </w:tr>
      <w:tr w14:paraId="628AA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12" w:hRule="exact"/>
        </w:trPr>
        <w:tc>
          <w:tcPr>
            <w:tcW w:w="3260"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295F4D4E">
            <w:pPr>
              <w:jc w:val="center"/>
              <w:rPr>
                <w:rFonts w:hint="eastAsia" w:ascii="宋体" w:hAnsi="宋体" w:eastAsia="宋体" w:cs="宋体"/>
                <w:i w:val="0"/>
                <w:iCs w:val="0"/>
                <w:color w:val="000000"/>
                <w:sz w:val="22"/>
                <w:szCs w:val="22"/>
                <w:u w:val="none"/>
              </w:rPr>
            </w:pPr>
          </w:p>
        </w:tc>
        <w:tc>
          <w:tcPr>
            <w:tcW w:w="5496" w:type="dxa"/>
            <w:vMerge w:val="continue"/>
            <w:tcBorders>
              <w:top w:val="nil"/>
              <w:left w:val="nil"/>
              <w:bottom w:val="single" w:color="000000" w:sz="4" w:space="0"/>
              <w:right w:val="single" w:color="000000" w:sz="4" w:space="0"/>
            </w:tcBorders>
            <w:shd w:val="clear" w:color="auto" w:fill="FFFFFF" w:themeFill="background1"/>
            <w:noWrap/>
            <w:vAlign w:val="center"/>
          </w:tcPr>
          <w:p w14:paraId="7182AE50">
            <w:pPr>
              <w:jc w:val="center"/>
              <w:rPr>
                <w:rFonts w:hint="eastAsia" w:ascii="宋体" w:hAnsi="宋体" w:eastAsia="宋体" w:cs="宋体"/>
                <w:i w:val="0"/>
                <w:iCs w:val="0"/>
                <w:color w:val="000000"/>
                <w:sz w:val="22"/>
                <w:szCs w:val="22"/>
                <w:u w:val="none"/>
              </w:rPr>
            </w:pPr>
          </w:p>
        </w:tc>
        <w:tc>
          <w:tcPr>
            <w:tcW w:w="1321"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5394A5AD">
            <w:pPr>
              <w:jc w:val="center"/>
              <w:rPr>
                <w:rFonts w:hint="eastAsia" w:ascii="宋体" w:hAnsi="宋体" w:eastAsia="宋体" w:cs="宋体"/>
                <w:i w:val="0"/>
                <w:iCs w:val="0"/>
                <w:color w:val="000000"/>
                <w:sz w:val="22"/>
                <w:szCs w:val="22"/>
                <w:u w:val="none"/>
              </w:rPr>
            </w:pPr>
          </w:p>
        </w:tc>
        <w:tc>
          <w:tcPr>
            <w:tcW w:w="120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CD9DE7B">
            <w:pPr>
              <w:jc w:val="center"/>
              <w:rPr>
                <w:rFonts w:hint="eastAsia" w:ascii="宋体" w:hAnsi="宋体" w:eastAsia="宋体" w:cs="宋体"/>
                <w:i w:val="0"/>
                <w:iCs w:val="0"/>
                <w:color w:val="000000"/>
                <w:sz w:val="22"/>
                <w:szCs w:val="22"/>
                <w:u w:val="none"/>
              </w:rPr>
            </w:pPr>
          </w:p>
        </w:tc>
        <w:tc>
          <w:tcPr>
            <w:tcW w:w="1206"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236B5C06">
            <w:pPr>
              <w:jc w:val="center"/>
              <w:rPr>
                <w:rFonts w:hint="eastAsia" w:ascii="宋体" w:hAnsi="宋体" w:eastAsia="宋体" w:cs="宋体"/>
                <w:i w:val="0"/>
                <w:iCs w:val="0"/>
                <w:color w:val="000000"/>
                <w:sz w:val="22"/>
                <w:szCs w:val="22"/>
                <w:u w:val="none"/>
              </w:rPr>
            </w:pPr>
          </w:p>
        </w:tc>
        <w:tc>
          <w:tcPr>
            <w:tcW w:w="74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FDE6448">
            <w:pPr>
              <w:jc w:val="center"/>
              <w:rPr>
                <w:rFonts w:hint="eastAsia" w:ascii="宋体" w:hAnsi="宋体" w:eastAsia="宋体" w:cs="宋体"/>
                <w:i w:val="0"/>
                <w:iCs w:val="0"/>
                <w:color w:val="000000"/>
                <w:sz w:val="22"/>
                <w:szCs w:val="22"/>
                <w:u w:val="none"/>
              </w:rPr>
            </w:pPr>
          </w:p>
        </w:tc>
        <w:tc>
          <w:tcPr>
            <w:tcW w:w="74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1F8573B">
            <w:pPr>
              <w:jc w:val="center"/>
              <w:rPr>
                <w:rFonts w:hint="eastAsia" w:ascii="宋体" w:hAnsi="宋体" w:eastAsia="宋体" w:cs="宋体"/>
                <w:i w:val="0"/>
                <w:iCs w:val="0"/>
                <w:color w:val="000000"/>
                <w:sz w:val="22"/>
                <w:szCs w:val="22"/>
                <w:u w:val="none"/>
              </w:rPr>
            </w:pPr>
          </w:p>
        </w:tc>
        <w:tc>
          <w:tcPr>
            <w:tcW w:w="1737"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3683C45">
            <w:pPr>
              <w:jc w:val="center"/>
              <w:rPr>
                <w:rFonts w:hint="eastAsia" w:ascii="宋体" w:hAnsi="宋体" w:eastAsia="宋体" w:cs="宋体"/>
                <w:i w:val="0"/>
                <w:iCs w:val="0"/>
                <w:color w:val="000000"/>
                <w:sz w:val="22"/>
                <w:szCs w:val="22"/>
                <w:u w:val="none"/>
              </w:rPr>
            </w:pPr>
          </w:p>
        </w:tc>
      </w:tr>
      <w:tr w14:paraId="6ABE7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8756" w:type="dxa"/>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51D7E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321" w:type="dxa"/>
            <w:tcBorders>
              <w:top w:val="nil"/>
              <w:left w:val="nil"/>
              <w:bottom w:val="single" w:color="000000" w:sz="4" w:space="0"/>
              <w:right w:val="single" w:color="000000" w:sz="4" w:space="0"/>
            </w:tcBorders>
            <w:shd w:val="clear" w:color="auto" w:fill="FFFFFF" w:themeFill="background1"/>
            <w:vAlign w:val="center"/>
          </w:tcPr>
          <w:p w14:paraId="67B2A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06" w:type="dxa"/>
            <w:tcBorders>
              <w:top w:val="nil"/>
              <w:left w:val="nil"/>
              <w:bottom w:val="single" w:color="000000" w:sz="4" w:space="0"/>
              <w:right w:val="single" w:color="000000" w:sz="4" w:space="0"/>
            </w:tcBorders>
            <w:shd w:val="clear" w:color="auto" w:fill="FFFFFF" w:themeFill="background1"/>
            <w:vAlign w:val="center"/>
          </w:tcPr>
          <w:p w14:paraId="7FB8E8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06" w:type="dxa"/>
            <w:tcBorders>
              <w:top w:val="nil"/>
              <w:left w:val="nil"/>
              <w:bottom w:val="single" w:color="000000" w:sz="4" w:space="0"/>
              <w:right w:val="single" w:color="000000" w:sz="4" w:space="0"/>
            </w:tcBorders>
            <w:shd w:val="clear" w:color="auto" w:fill="FFFFFF" w:themeFill="background1"/>
            <w:vAlign w:val="center"/>
          </w:tcPr>
          <w:p w14:paraId="168EE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747" w:type="dxa"/>
            <w:tcBorders>
              <w:top w:val="nil"/>
              <w:left w:val="nil"/>
              <w:bottom w:val="single" w:color="000000" w:sz="4" w:space="0"/>
              <w:right w:val="single" w:color="000000" w:sz="4" w:space="0"/>
            </w:tcBorders>
            <w:shd w:val="clear" w:color="auto" w:fill="FFFFFF" w:themeFill="background1"/>
            <w:vAlign w:val="center"/>
          </w:tcPr>
          <w:p w14:paraId="7128C8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747" w:type="dxa"/>
            <w:tcBorders>
              <w:top w:val="nil"/>
              <w:left w:val="nil"/>
              <w:bottom w:val="single" w:color="000000" w:sz="4" w:space="0"/>
              <w:right w:val="single" w:color="000000" w:sz="4" w:space="0"/>
            </w:tcBorders>
            <w:shd w:val="clear" w:color="auto" w:fill="FFFFFF" w:themeFill="background1"/>
            <w:vAlign w:val="center"/>
          </w:tcPr>
          <w:p w14:paraId="057C6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37" w:type="dxa"/>
            <w:tcBorders>
              <w:top w:val="nil"/>
              <w:left w:val="nil"/>
              <w:bottom w:val="single" w:color="000000" w:sz="4" w:space="0"/>
              <w:right w:val="single" w:color="000000" w:sz="4" w:space="0"/>
            </w:tcBorders>
            <w:shd w:val="clear" w:color="auto" w:fill="FFFFFF" w:themeFill="background1"/>
            <w:vAlign w:val="center"/>
          </w:tcPr>
          <w:p w14:paraId="4DE58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A4DE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8756" w:type="dxa"/>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0CEA6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12B980C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14,736.74</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61DCD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6,260.46</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E5FFA3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8,476.28</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4994343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3644FA9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654B50B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56971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0137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E50CD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44641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3E62B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546D6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42ECC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66816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2C301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87A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CD93C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989C9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42ACA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570E18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C0CEA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5D9D3E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7D7CB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38009D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F90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3391C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536B7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03CC50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5F16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BA232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660B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557A7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58E09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2A7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B650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6FEB33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08E6A1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12,693.54</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EBE9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6,187.25</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070CCC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6,506.28</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635EFC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23E0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0B3329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ECA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2F3A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6CF6C5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教育管理事务</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78EFDE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3,565.74</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3FE269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2,607.50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4E8932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958.23</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5CA71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59BFD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6B0287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9C0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AB7E0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D0373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41D0F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2,331.22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F88FA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2,331.22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55EE7A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4C3B3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6E557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3A5DB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EEE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2F9EB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2050102</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0D01B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632B3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170.26</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C87D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170.26</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3C3E6B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728F23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58050D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0AD938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205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99C06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2050199</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1BBD87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其他教育管理事务支出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592C5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1,064.26</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5CED4C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106.03</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0B8CF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958.23</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334D5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80844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037DD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FFF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B3DA9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0D0241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普通教育</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7C857E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6,572.12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30FDE9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3,579.75</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BAC60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2,992.37</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3BC43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F579C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04C85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C2D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8AF50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61C002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学前教育</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4A9740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897.57</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CE23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630.35</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CC19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267.22</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35EC74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4A98F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1674F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169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52D6E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2050202</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192BCF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小学教育</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33CAF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1,625.73</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C8B68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1,625.73</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07AA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3F198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4EE23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08C69A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A7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B636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2050203</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75F84C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7EF2E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482.40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A095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26.21</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08F2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456.19</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6F759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31F44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35F9F0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98D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7CFA5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2050204</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0FD2D7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高中教育</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71E325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525.51</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ADCDD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525.51</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522A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524C04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BF7C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3E97B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5018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14AA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2050205</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61C8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高等教育</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13C7C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16BF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FCAEC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6E4FF6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33EA6A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11CF9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2B8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FE171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2050299</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587E2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其他普通教育支出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1628E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2,928.90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3D130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659.94</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3930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2,268.96</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37D099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74817B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5D201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911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E4FAB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ED655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其他教育支出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672226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2,555.68</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ED4A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A7765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2,555.68</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BA7AE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7E71A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69767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561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D309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2059999</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098E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其他教育支出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34D72B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2,555.68</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C078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39354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2,555.68</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EF2D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E3A7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272E6D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129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142FF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8A6A0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0BF937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0AC77C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48.22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0CDDA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A139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96FB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59CE34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D28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55F242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2B69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7BDAF3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33A10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3675D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32342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651E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42106D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88F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7626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4A2F44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7084B6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5C68C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23.10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1371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7BB38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C9C7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556562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FA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54687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A6D15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359EE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010F0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3E1B3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57A16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15F31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6F2956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A6B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CB2E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0563E0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4104FA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9499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25.12</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679F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7C31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E216F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6706F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B24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8AE2F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13FB7C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1A88C4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12.28</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F973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12.28</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08251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D0528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EDEF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1A7CB7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5B3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DA491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3102D5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40AF34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12.28</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88904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12.28</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E9249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6A347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C746C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7F2A0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CF6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2921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56A83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64EE0D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12.28</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8FAC9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12.28</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CA41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6390C1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4E47D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3DFDF8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0E4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98CB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54C924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6E37D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565F15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C2E5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5AAE03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73F53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7C133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5FD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2F1F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0E0BBB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37769E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BEACD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49CF42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42FE0A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63ABAA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5563C5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396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6E276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2CF31E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05CBF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672A5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10.29</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59F4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692EDA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E4B34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7827C5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9A2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31491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63F9A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196081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7B1F8C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DFE5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7837B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1397A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688CB5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5D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CCF1D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7E5E11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2E954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56DEE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43D77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469CCB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245A52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0078A4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6EF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3260"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2FE194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5496" w:type="dxa"/>
            <w:tcBorders>
              <w:top w:val="nil"/>
              <w:left w:val="nil"/>
              <w:bottom w:val="single" w:color="000000" w:sz="4" w:space="0"/>
              <w:right w:val="single" w:color="000000" w:sz="4" w:space="0"/>
            </w:tcBorders>
            <w:shd w:val="clear" w:color="auto" w:fill="FFFFFF" w:themeFill="background1"/>
            <w:noWrap/>
            <w:vAlign w:val="center"/>
          </w:tcPr>
          <w:p w14:paraId="5D170D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1321" w:type="dxa"/>
            <w:tcBorders>
              <w:top w:val="nil"/>
              <w:left w:val="nil"/>
              <w:bottom w:val="single" w:color="000000" w:sz="4" w:space="0"/>
              <w:right w:val="single" w:color="000000" w:sz="4" w:space="0"/>
            </w:tcBorders>
            <w:shd w:val="clear" w:color="auto" w:fill="FFFFFF" w:themeFill="background1"/>
            <w:noWrap/>
            <w:vAlign w:val="center"/>
          </w:tcPr>
          <w:p w14:paraId="1443AD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1FD12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06" w:type="dxa"/>
            <w:tcBorders>
              <w:top w:val="nil"/>
              <w:left w:val="nil"/>
              <w:bottom w:val="single" w:color="000000" w:sz="4" w:space="0"/>
              <w:right w:val="single" w:color="000000" w:sz="4" w:space="0"/>
            </w:tcBorders>
            <w:shd w:val="clear" w:color="auto" w:fill="FFFFFF" w:themeFill="background1"/>
            <w:noWrap/>
            <w:vAlign w:val="center"/>
          </w:tcPr>
          <w:p w14:paraId="28AB9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3D13C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47" w:type="dxa"/>
            <w:tcBorders>
              <w:top w:val="nil"/>
              <w:left w:val="nil"/>
              <w:bottom w:val="single" w:color="000000" w:sz="4" w:space="0"/>
              <w:right w:val="single" w:color="000000" w:sz="4" w:space="0"/>
            </w:tcBorders>
            <w:shd w:val="clear" w:color="auto" w:fill="FFFFFF" w:themeFill="background1"/>
            <w:noWrap/>
            <w:vAlign w:val="center"/>
          </w:tcPr>
          <w:p w14:paraId="04ADA6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737" w:type="dxa"/>
            <w:tcBorders>
              <w:top w:val="nil"/>
              <w:left w:val="nil"/>
              <w:bottom w:val="single" w:color="000000" w:sz="4" w:space="0"/>
              <w:right w:val="single" w:color="000000" w:sz="4" w:space="0"/>
            </w:tcBorders>
            <w:shd w:val="clear" w:color="auto" w:fill="FFFFFF" w:themeFill="background1"/>
            <w:noWrap/>
            <w:vAlign w:val="center"/>
          </w:tcPr>
          <w:p w14:paraId="048BC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4C3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49" w:hRule="exact"/>
        </w:trPr>
        <w:tc>
          <w:tcPr>
            <w:tcW w:w="15720" w:type="dxa"/>
            <w:gridSpan w:val="10"/>
            <w:tcBorders>
              <w:top w:val="nil"/>
              <w:left w:val="nil"/>
              <w:bottom w:val="nil"/>
              <w:right w:val="nil"/>
            </w:tcBorders>
            <w:shd w:val="clear" w:color="auto" w:fill="FFFFFF" w:themeFill="background1"/>
            <w:noWrap/>
            <w:vAlign w:val="center"/>
          </w:tcPr>
          <w:p w14:paraId="05829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7452C31A">
      <w:pPr>
        <w:widowControl/>
        <w:jc w:val="left"/>
        <w:rPr>
          <w:rFonts w:ascii="Times New Roman" w:hAnsi="Times New Roman" w:eastAsia="方正小标宋_GBK" w:cs="Times New Roman"/>
          <w:color w:val="000000"/>
          <w:kern w:val="0"/>
          <w:sz w:val="36"/>
          <w:szCs w:val="36"/>
        </w:rPr>
      </w:pPr>
      <w:r>
        <w:rPr>
          <w:rFonts w:ascii="Times New Roman" w:hAnsi="Times New Roman" w:eastAsia="黑体" w:cs="Times New Roman"/>
          <w:bCs/>
          <w:kern w:val="0"/>
          <w:sz w:val="32"/>
          <w:szCs w:val="32"/>
        </w:rPr>
        <w:object>
          <v:shape id="_x0000_i1026" o:spt="75" type="#_x0000_t75" style="height:570.9pt;width:769.5pt;" o:ole="t" fillcolor="#FFFFFF" filled="t" o:preferrelative="t" stroked="t" coordsize="21600,21600">
            <v:path/>
            <v:fill on="t" color2="#FFFFFF" focussize="0,0"/>
            <v:stroke color="#FFFFFF" joinstyle="miter"/>
            <v:imagedata r:id="rId7" o:title=""/>
            <o:lock v:ext="edit" aspectratio="f"/>
            <w10:wrap type="none"/>
            <w10:anchorlock/>
          </v:shape>
          <o:OLEObject Type="Embed" ProgID="Excel.Sheet.8" ShapeID="_x0000_i1026" DrawAspect="Content" ObjectID="_1468075726" r:id="rId6">
            <o:LockedField>false</o:LockedField>
          </o:OLEObject>
        </w:object>
      </w:r>
      <w:r>
        <w:rPr>
          <w:rFonts w:ascii="Times New Roman" w:hAnsi="Times New Roman" w:eastAsia="黑体" w:cs="Times New Roman"/>
          <w:bCs/>
          <w:kern w:val="0"/>
          <w:sz w:val="32"/>
          <w:szCs w:val="32"/>
        </w:rPr>
        <w:object>
          <v:shape id="_x0000_i1027" o:spt="75" type="#_x0000_t75" style="height:530.65pt;width:761.75pt;" o:ole="t" filled="f" o:preferrelative="t" stroked="f" coordsize="21600,21600">
            <v:path/>
            <v:fill on="f" focussize="0,0"/>
            <v:stroke on="f"/>
            <v:imagedata r:id="rId9" o:title=""/>
            <o:lock v:ext="edit" aspectratio="f"/>
            <w10:wrap type="none"/>
            <w10:anchorlock/>
          </v:shape>
          <o:OLEObject Type="Embed" ProgID="Excel.Sheet.8" ShapeID="_x0000_i1027" DrawAspect="Content" ObjectID="_1468075727" r:id="rId8">
            <o:LockedField>false</o:LockedField>
          </o:OLEObject>
        </w:object>
      </w:r>
      <w:r>
        <w:rPr>
          <w:rFonts w:ascii="Times New Roman" w:hAnsi="Times New Roman" w:eastAsia="黑体" w:cs="Times New Roman"/>
          <w:bCs/>
          <w:kern w:val="0"/>
          <w:sz w:val="32"/>
          <w:szCs w:val="32"/>
        </w:rPr>
        <w:br w:type="page"/>
      </w:r>
    </w:p>
    <w:p w14:paraId="228A1FFE">
      <w:pPr>
        <w:autoSpaceDE w:val="0"/>
        <w:autoSpaceDN w:val="0"/>
        <w:adjustRightInd w:val="0"/>
        <w:ind w:left="315" w:leftChars="150"/>
        <w:jc w:val="left"/>
        <w:rPr>
          <w:rFonts w:ascii="宋体" w:eastAsia="宋体" w:cs="宋体"/>
          <w:kern w:val="0"/>
          <w:sz w:val="24"/>
          <w:szCs w:val="24"/>
        </w:rPr>
      </w:pPr>
    </w:p>
    <w:p w14:paraId="51002075">
      <w:pPr>
        <w:autoSpaceDE w:val="0"/>
        <w:autoSpaceDN w:val="0"/>
        <w:adjustRightInd w:val="0"/>
        <w:ind w:left="315" w:leftChars="150"/>
        <w:jc w:val="left"/>
        <w:rPr>
          <w:rFonts w:ascii="宋体" w:eastAsia="宋体" w:cs="宋体"/>
          <w:kern w:val="0"/>
          <w:sz w:val="24"/>
          <w:szCs w:val="24"/>
        </w:rPr>
      </w:pPr>
    </w:p>
    <w:p w14:paraId="75D8F492">
      <w:pPr>
        <w:autoSpaceDE w:val="0"/>
        <w:autoSpaceDN w:val="0"/>
        <w:adjustRightInd w:val="0"/>
        <w:ind w:left="315" w:leftChars="150"/>
        <w:jc w:val="left"/>
        <w:rPr>
          <w:rFonts w:ascii="宋体" w:eastAsia="宋体" w:cs="宋体"/>
          <w:kern w:val="0"/>
          <w:sz w:val="24"/>
          <w:szCs w:val="24"/>
        </w:rPr>
      </w:pPr>
    </w:p>
    <w:p w14:paraId="1749A723">
      <w:pPr>
        <w:autoSpaceDE w:val="0"/>
        <w:autoSpaceDN w:val="0"/>
        <w:adjustRightInd w:val="0"/>
        <w:ind w:left="315" w:leftChars="150"/>
        <w:jc w:val="left"/>
        <w:rPr>
          <w:rFonts w:ascii="宋体" w:eastAsia="宋体" w:cs="宋体"/>
          <w:kern w:val="0"/>
          <w:sz w:val="24"/>
          <w:szCs w:val="24"/>
        </w:rPr>
      </w:pPr>
      <w:r>
        <w:rPr>
          <w:rFonts w:ascii="宋体" w:eastAsia="宋体" w:cs="宋体"/>
          <w:kern w:val="0"/>
          <w:sz w:val="24"/>
          <w:szCs w:val="24"/>
        </w:rPr>
        <w:object>
          <v:shape id="_x0000_i1028" o:spt="75" type="#_x0000_t75" style="height:448pt;width:762.55pt;" o:ole="t" fillcolor="#FFFFFF" filled="t" o:preferrelative="t" stroked="t" coordsize="21600,21600">
            <v:path/>
            <v:fill on="t" focussize="0,0"/>
            <v:stroke color="#FFFFFF"/>
            <v:imagedata r:id="rId11" o:title=""/>
            <o:lock v:ext="edit" aspectratio="f"/>
            <w10:wrap type="none"/>
            <w10:anchorlock/>
          </v:shape>
          <o:OLEObject Type="Embed" ProgID="Excel.Sheet.8" ShapeID="_x0000_i1028" DrawAspect="Content" ObjectID="_1468075728" r:id="rId10">
            <o:LockedField>false</o:LockedField>
          </o:OLEObject>
        </w:object>
      </w:r>
    </w:p>
    <w:p w14:paraId="44AA6766">
      <w:pPr>
        <w:autoSpaceDE w:val="0"/>
        <w:autoSpaceDN w:val="0"/>
        <w:adjustRightInd w:val="0"/>
        <w:ind w:left="315" w:leftChars="150"/>
        <w:jc w:val="left"/>
        <w:rPr>
          <w:rFonts w:ascii="宋体" w:eastAsia="宋体" w:cs="宋体"/>
          <w:kern w:val="0"/>
          <w:sz w:val="24"/>
          <w:szCs w:val="24"/>
        </w:rPr>
      </w:pPr>
    </w:p>
    <w:p w14:paraId="250EF474">
      <w:pPr>
        <w:autoSpaceDE w:val="0"/>
        <w:autoSpaceDN w:val="0"/>
        <w:adjustRightInd w:val="0"/>
        <w:ind w:left="315" w:leftChars="150"/>
        <w:jc w:val="left"/>
        <w:rPr>
          <w:rFonts w:ascii="宋体" w:eastAsia="宋体" w:cs="宋体"/>
          <w:kern w:val="0"/>
          <w:sz w:val="24"/>
          <w:szCs w:val="24"/>
        </w:rPr>
      </w:pPr>
    </w:p>
    <w:p w14:paraId="4C61AF36">
      <w:pPr>
        <w:autoSpaceDE w:val="0"/>
        <w:autoSpaceDN w:val="0"/>
        <w:adjustRightInd w:val="0"/>
        <w:ind w:left="315" w:leftChars="150"/>
        <w:jc w:val="left"/>
        <w:rPr>
          <w:rFonts w:ascii="宋体" w:eastAsia="宋体" w:cs="宋体"/>
          <w:kern w:val="0"/>
          <w:sz w:val="24"/>
          <w:szCs w:val="24"/>
        </w:rPr>
      </w:pPr>
    </w:p>
    <w:tbl>
      <w:tblPr>
        <w:tblStyle w:val="5"/>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816"/>
        <w:gridCol w:w="222"/>
        <w:gridCol w:w="222"/>
        <w:gridCol w:w="5496"/>
        <w:gridCol w:w="660"/>
        <w:gridCol w:w="1103"/>
        <w:gridCol w:w="1103"/>
        <w:gridCol w:w="660"/>
        <w:gridCol w:w="1103"/>
        <w:gridCol w:w="1616"/>
      </w:tblGrid>
      <w:tr w14:paraId="7D6A6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FFFFFF" w:themeFill="background1"/>
            <w:noWrap/>
            <w:vAlign w:val="bottom"/>
          </w:tcPr>
          <w:p w14:paraId="40C5EC1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51F5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FFFFFF" w:themeFill="background1"/>
            <w:noWrap/>
            <w:vAlign w:val="bottom"/>
          </w:tcPr>
          <w:p w14:paraId="1450F1D7">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4F82F74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021CAAB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000E9E4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24907EF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5728330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0A0EBCA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464F232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41041C2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7AD609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1C7F0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FFFFFF" w:themeFill="background1"/>
            <w:noWrap/>
            <w:vAlign w:val="bottom"/>
          </w:tcPr>
          <w:p w14:paraId="336B610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部门：溆浦县教育局（本级）</w:t>
            </w:r>
          </w:p>
        </w:tc>
        <w:tc>
          <w:tcPr>
            <w:tcW w:w="0" w:type="auto"/>
            <w:tcBorders>
              <w:top w:val="nil"/>
              <w:left w:val="nil"/>
              <w:bottom w:val="nil"/>
              <w:right w:val="nil"/>
            </w:tcBorders>
            <w:shd w:val="clear" w:color="auto" w:fill="FFFFFF" w:themeFill="background1"/>
            <w:noWrap/>
            <w:vAlign w:val="bottom"/>
          </w:tcPr>
          <w:p w14:paraId="20BC6FD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1E0A14D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62489D0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34BD338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2C705F9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6836F02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2070BD0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77E59A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4751D8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3ADE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43861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5EEBF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6257F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nil"/>
              <w:bottom w:val="single" w:color="000000" w:sz="4" w:space="0"/>
              <w:right w:val="single" w:color="000000" w:sz="4" w:space="0"/>
            </w:tcBorders>
            <w:shd w:val="clear" w:color="auto" w:fill="FFFFFF" w:themeFill="background1"/>
            <w:vAlign w:val="center"/>
          </w:tcPr>
          <w:p w14:paraId="418CFE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auto" w:fill="FFFFFF" w:themeFill="background1"/>
            <w:vAlign w:val="center"/>
          </w:tcPr>
          <w:p w14:paraId="328738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17E14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1D497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auto" w:fill="FFFFFF" w:themeFill="background1"/>
            <w:noWrap/>
            <w:vAlign w:val="center"/>
          </w:tcPr>
          <w:p w14:paraId="74E839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61EE09E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18BC0F6B">
            <w:pPr>
              <w:jc w:val="center"/>
              <w:rPr>
                <w:rFonts w:hint="eastAsia" w:ascii="宋体" w:hAnsi="宋体" w:eastAsia="宋体" w:cs="宋体"/>
                <w:i w:val="0"/>
                <w:iCs w:val="0"/>
                <w:color w:val="000000"/>
                <w:sz w:val="22"/>
                <w:szCs w:val="22"/>
                <w:u w:val="none"/>
              </w:rPr>
            </w:pPr>
          </w:p>
        </w:tc>
        <w:tc>
          <w:tcPr>
            <w:tcW w:w="1680" w:type="dxa"/>
            <w:vMerge w:val="restart"/>
            <w:tcBorders>
              <w:top w:val="nil"/>
              <w:left w:val="nil"/>
              <w:bottom w:val="single" w:color="000000" w:sz="4" w:space="0"/>
              <w:right w:val="single" w:color="000000" w:sz="4" w:space="0"/>
            </w:tcBorders>
            <w:shd w:val="clear" w:color="auto" w:fill="FFFFFF" w:themeFill="background1"/>
            <w:vAlign w:val="center"/>
          </w:tcPr>
          <w:p w14:paraId="020AEB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nil"/>
              <w:left w:val="nil"/>
              <w:bottom w:val="single" w:color="000000" w:sz="4" w:space="0"/>
              <w:right w:val="single" w:color="000000" w:sz="4" w:space="0"/>
            </w:tcBorders>
            <w:shd w:val="clear" w:color="auto" w:fill="FFFFFF" w:themeFill="background1"/>
            <w:vAlign w:val="center"/>
          </w:tcPr>
          <w:p w14:paraId="519768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auto" w:fill="FFFFFF" w:themeFill="background1"/>
            <w:vAlign w:val="center"/>
          </w:tcPr>
          <w:p w14:paraId="6577A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6BBD670">
            <w:pPr>
              <w:jc w:val="center"/>
              <w:rPr>
                <w:rFonts w:hint="eastAsia" w:ascii="宋体" w:hAnsi="宋体" w:eastAsia="宋体" w:cs="宋体"/>
                <w:i w:val="0"/>
                <w:iCs w:val="0"/>
                <w:color w:val="000000"/>
                <w:sz w:val="22"/>
                <w:szCs w:val="22"/>
                <w:u w:val="none"/>
              </w:rPr>
            </w:pPr>
          </w:p>
        </w:tc>
      </w:tr>
      <w:tr w14:paraId="4D5AD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6AA36E44">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FFFFFF" w:themeFill="background1"/>
            <w:noWrap/>
            <w:vAlign w:val="center"/>
          </w:tcPr>
          <w:p w14:paraId="3435ADF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7D63EE4">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48ECB928">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FFFFFF" w:themeFill="background1"/>
            <w:vAlign w:val="center"/>
          </w:tcPr>
          <w:p w14:paraId="3D5EFAE7">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FFFFFF" w:themeFill="background1"/>
            <w:vAlign w:val="center"/>
          </w:tcPr>
          <w:p w14:paraId="7091E9C7">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FFFFFF" w:themeFill="background1"/>
            <w:vAlign w:val="center"/>
          </w:tcPr>
          <w:p w14:paraId="1451D22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70141C39">
            <w:pPr>
              <w:jc w:val="center"/>
              <w:rPr>
                <w:rFonts w:hint="eastAsia" w:ascii="宋体" w:hAnsi="宋体" w:eastAsia="宋体" w:cs="宋体"/>
                <w:i w:val="0"/>
                <w:iCs w:val="0"/>
                <w:color w:val="000000"/>
                <w:sz w:val="22"/>
                <w:szCs w:val="22"/>
                <w:u w:val="none"/>
              </w:rPr>
            </w:pPr>
          </w:p>
        </w:tc>
      </w:tr>
      <w:tr w14:paraId="3D4D6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0C2C69E3">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FFFFFF" w:themeFill="background1"/>
            <w:noWrap/>
            <w:vAlign w:val="center"/>
          </w:tcPr>
          <w:p w14:paraId="1DE332C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635E278">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0A632B6C">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FFFFFF" w:themeFill="background1"/>
            <w:vAlign w:val="center"/>
          </w:tcPr>
          <w:p w14:paraId="3713E352">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FFFFFF" w:themeFill="background1"/>
            <w:vAlign w:val="center"/>
          </w:tcPr>
          <w:p w14:paraId="7401BFD6">
            <w:pPr>
              <w:jc w:val="center"/>
              <w:rPr>
                <w:rFonts w:hint="eastAsia" w:ascii="宋体" w:hAnsi="宋体" w:eastAsia="宋体" w:cs="宋体"/>
                <w:i w:val="0"/>
                <w:iCs w:val="0"/>
                <w:color w:val="000000"/>
                <w:sz w:val="22"/>
                <w:szCs w:val="22"/>
                <w:u w:val="none"/>
              </w:rPr>
            </w:pPr>
          </w:p>
        </w:tc>
        <w:tc>
          <w:tcPr>
            <w:tcW w:w="1680" w:type="dxa"/>
            <w:vMerge w:val="continue"/>
            <w:tcBorders>
              <w:top w:val="nil"/>
              <w:left w:val="nil"/>
              <w:bottom w:val="single" w:color="000000" w:sz="4" w:space="0"/>
              <w:right w:val="single" w:color="000000" w:sz="4" w:space="0"/>
            </w:tcBorders>
            <w:shd w:val="clear" w:color="auto" w:fill="FFFFFF" w:themeFill="background1"/>
            <w:vAlign w:val="center"/>
          </w:tcPr>
          <w:p w14:paraId="3AC6829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auto" w:fill="FFFFFF" w:themeFill="background1"/>
            <w:vAlign w:val="center"/>
          </w:tcPr>
          <w:p w14:paraId="3684A226">
            <w:pPr>
              <w:jc w:val="center"/>
              <w:rPr>
                <w:rFonts w:hint="eastAsia" w:ascii="宋体" w:hAnsi="宋体" w:eastAsia="宋体" w:cs="宋体"/>
                <w:i w:val="0"/>
                <w:iCs w:val="0"/>
                <w:color w:val="000000"/>
                <w:sz w:val="22"/>
                <w:szCs w:val="22"/>
                <w:u w:val="none"/>
              </w:rPr>
            </w:pPr>
          </w:p>
        </w:tc>
      </w:tr>
      <w:tr w14:paraId="3F0A1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4783F7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58E20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E45D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E3C1D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2E73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21844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408D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60D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auto" w:fill="FFFFFF" w:themeFill="background1"/>
            <w:noWrap/>
            <w:vAlign w:val="center"/>
          </w:tcPr>
          <w:p w14:paraId="4681D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CDC61C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0BD923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7DE029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E41524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E48233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B58867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0F88D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C366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A9105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46519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506FD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07084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25871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6B1AD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97E2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073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3E73C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A0A29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2F354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A40D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49A2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9BAD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09C24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7BFF5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74E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57B40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B3D1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51AFF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0C3B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BE91C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9754B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4F343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AE14C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531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48DA05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2670EE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1ED4C1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D0943C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092D03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2293EF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C46E4C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66FC4A2">
            <w:pPr>
              <w:jc w:val="right"/>
              <w:rPr>
                <w:rFonts w:hint="eastAsia" w:ascii="宋体" w:hAnsi="宋体" w:eastAsia="宋体" w:cs="宋体"/>
                <w:i w:val="0"/>
                <w:iCs w:val="0"/>
                <w:color w:val="000000"/>
                <w:sz w:val="22"/>
                <w:szCs w:val="22"/>
                <w:u w:val="none"/>
              </w:rPr>
            </w:pPr>
          </w:p>
        </w:tc>
      </w:tr>
      <w:tr w14:paraId="1AFF4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A52E49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A09451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9DD135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19AB4E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E9DB57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B94608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6E19E7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C7666F0">
            <w:pPr>
              <w:jc w:val="right"/>
              <w:rPr>
                <w:rFonts w:hint="eastAsia" w:ascii="宋体" w:hAnsi="宋体" w:eastAsia="宋体" w:cs="宋体"/>
                <w:i w:val="0"/>
                <w:iCs w:val="0"/>
                <w:color w:val="000000"/>
                <w:sz w:val="22"/>
                <w:szCs w:val="22"/>
                <w:u w:val="none"/>
              </w:rPr>
            </w:pPr>
          </w:p>
        </w:tc>
      </w:tr>
      <w:tr w14:paraId="4B76C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724C0C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1E085C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54FFE4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DC1B9B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85B1E3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5606AD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4E32FC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13C9D99">
            <w:pPr>
              <w:jc w:val="right"/>
              <w:rPr>
                <w:rFonts w:hint="eastAsia" w:ascii="宋体" w:hAnsi="宋体" w:eastAsia="宋体" w:cs="宋体"/>
                <w:i w:val="0"/>
                <w:iCs w:val="0"/>
                <w:color w:val="000000"/>
                <w:sz w:val="22"/>
                <w:szCs w:val="22"/>
                <w:u w:val="none"/>
              </w:rPr>
            </w:pPr>
          </w:p>
        </w:tc>
      </w:tr>
      <w:tr w14:paraId="7A762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F1DB9A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6F2958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AE9EB6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AED14B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E9C96E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9A930C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6B2E725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FA11A28">
            <w:pPr>
              <w:jc w:val="right"/>
              <w:rPr>
                <w:rFonts w:hint="eastAsia" w:ascii="宋体" w:hAnsi="宋体" w:eastAsia="宋体" w:cs="宋体"/>
                <w:i w:val="0"/>
                <w:iCs w:val="0"/>
                <w:color w:val="000000"/>
                <w:sz w:val="22"/>
                <w:szCs w:val="22"/>
                <w:u w:val="none"/>
              </w:rPr>
            </w:pPr>
          </w:p>
        </w:tc>
      </w:tr>
      <w:tr w14:paraId="75246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5C2E080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C24221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8E55AD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935CAD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283F17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6475F7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99A055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C7FD104">
            <w:pPr>
              <w:jc w:val="right"/>
              <w:rPr>
                <w:rFonts w:hint="eastAsia" w:ascii="宋体" w:hAnsi="宋体" w:eastAsia="宋体" w:cs="宋体"/>
                <w:i w:val="0"/>
                <w:iCs w:val="0"/>
                <w:color w:val="000000"/>
                <w:sz w:val="22"/>
                <w:szCs w:val="22"/>
                <w:u w:val="none"/>
              </w:rPr>
            </w:pPr>
          </w:p>
        </w:tc>
      </w:tr>
      <w:tr w14:paraId="27E24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FFFFFF" w:themeFill="background1"/>
            <w:noWrap/>
            <w:vAlign w:val="center"/>
          </w:tcPr>
          <w:p w14:paraId="1D954C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1DA47105">
      <w:pPr>
        <w:autoSpaceDE w:val="0"/>
        <w:autoSpaceDN w:val="0"/>
        <w:adjustRightInd w:val="0"/>
        <w:ind w:left="315" w:leftChars="150"/>
        <w:jc w:val="left"/>
        <w:rPr>
          <w:rFonts w:ascii="宋体" w:eastAsia="宋体" w:cs="宋体"/>
          <w:kern w:val="0"/>
          <w:sz w:val="24"/>
          <w:szCs w:val="24"/>
        </w:rPr>
      </w:pPr>
    </w:p>
    <w:p w14:paraId="70AF4DD0">
      <w:pPr>
        <w:autoSpaceDE w:val="0"/>
        <w:autoSpaceDN w:val="0"/>
        <w:adjustRightInd w:val="0"/>
        <w:ind w:left="315" w:leftChars="150"/>
        <w:jc w:val="left"/>
        <w:rPr>
          <w:rFonts w:ascii="宋体" w:eastAsia="宋体" w:cs="宋体"/>
          <w:kern w:val="0"/>
          <w:sz w:val="24"/>
          <w:szCs w:val="24"/>
        </w:rPr>
      </w:pPr>
    </w:p>
    <w:p w14:paraId="2924F5EF">
      <w:pPr>
        <w:autoSpaceDE w:val="0"/>
        <w:autoSpaceDN w:val="0"/>
        <w:adjustRightInd w:val="0"/>
        <w:ind w:left="315" w:leftChars="150"/>
        <w:jc w:val="left"/>
        <w:rPr>
          <w:rFonts w:ascii="宋体" w:eastAsia="宋体" w:cs="宋体"/>
          <w:kern w:val="0"/>
          <w:sz w:val="24"/>
          <w:szCs w:val="24"/>
        </w:rPr>
      </w:pPr>
    </w:p>
    <w:p w14:paraId="628DCD60">
      <w:pPr>
        <w:autoSpaceDE w:val="0"/>
        <w:autoSpaceDN w:val="0"/>
        <w:adjustRightInd w:val="0"/>
        <w:ind w:left="315" w:leftChars="150"/>
        <w:jc w:val="left"/>
        <w:rPr>
          <w:rFonts w:ascii="宋体" w:eastAsia="宋体" w:cs="宋体"/>
          <w:kern w:val="0"/>
          <w:sz w:val="24"/>
          <w:szCs w:val="24"/>
        </w:rPr>
      </w:pPr>
    </w:p>
    <w:p w14:paraId="75082EF0">
      <w:pPr>
        <w:autoSpaceDE w:val="0"/>
        <w:autoSpaceDN w:val="0"/>
        <w:adjustRightInd w:val="0"/>
        <w:ind w:left="315" w:leftChars="150"/>
        <w:jc w:val="left"/>
        <w:rPr>
          <w:rFonts w:ascii="宋体" w:eastAsia="宋体" w:cs="宋体"/>
          <w:kern w:val="0"/>
          <w:sz w:val="24"/>
          <w:szCs w:val="24"/>
        </w:rPr>
      </w:pPr>
    </w:p>
    <w:p w14:paraId="3D5683F6">
      <w:pPr>
        <w:autoSpaceDE w:val="0"/>
        <w:autoSpaceDN w:val="0"/>
        <w:adjustRightInd w:val="0"/>
        <w:ind w:left="315" w:leftChars="150"/>
        <w:jc w:val="left"/>
        <w:rPr>
          <w:rFonts w:ascii="宋体" w:eastAsia="宋体" w:cs="宋体"/>
          <w:kern w:val="0"/>
          <w:sz w:val="24"/>
          <w:szCs w:val="24"/>
        </w:rPr>
      </w:pPr>
    </w:p>
    <w:p w14:paraId="4D3F9DD8">
      <w:pPr>
        <w:autoSpaceDE w:val="0"/>
        <w:autoSpaceDN w:val="0"/>
        <w:adjustRightInd w:val="0"/>
        <w:ind w:left="315" w:leftChars="150"/>
        <w:jc w:val="left"/>
        <w:rPr>
          <w:rFonts w:ascii="宋体" w:eastAsia="宋体" w:cs="宋体"/>
          <w:kern w:val="0"/>
          <w:sz w:val="24"/>
          <w:szCs w:val="24"/>
        </w:rPr>
      </w:pPr>
    </w:p>
    <w:p w14:paraId="1DB119E6">
      <w:pPr>
        <w:autoSpaceDE w:val="0"/>
        <w:autoSpaceDN w:val="0"/>
        <w:adjustRightInd w:val="0"/>
        <w:ind w:left="315" w:leftChars="150"/>
        <w:jc w:val="left"/>
        <w:rPr>
          <w:rFonts w:ascii="宋体" w:eastAsia="宋体" w:cs="宋体"/>
          <w:kern w:val="0"/>
          <w:sz w:val="24"/>
          <w:szCs w:val="24"/>
        </w:rPr>
      </w:pPr>
    </w:p>
    <w:p w14:paraId="013EFDEF">
      <w:pPr>
        <w:autoSpaceDE w:val="0"/>
        <w:autoSpaceDN w:val="0"/>
        <w:adjustRightInd w:val="0"/>
        <w:ind w:left="315" w:leftChars="150"/>
        <w:jc w:val="left"/>
        <w:rPr>
          <w:rFonts w:ascii="宋体" w:eastAsia="宋体" w:cs="宋体"/>
          <w:kern w:val="0"/>
          <w:sz w:val="24"/>
          <w:szCs w:val="24"/>
        </w:rPr>
      </w:pPr>
    </w:p>
    <w:p w14:paraId="06825DE0">
      <w:pPr>
        <w:autoSpaceDE w:val="0"/>
        <w:autoSpaceDN w:val="0"/>
        <w:adjustRightInd w:val="0"/>
        <w:ind w:left="315" w:leftChars="150"/>
        <w:jc w:val="left"/>
        <w:rPr>
          <w:rFonts w:ascii="宋体" w:eastAsia="宋体" w:cs="宋体"/>
          <w:kern w:val="0"/>
          <w:sz w:val="24"/>
          <w:szCs w:val="24"/>
        </w:rPr>
      </w:pPr>
    </w:p>
    <w:p w14:paraId="5DCBDD3A">
      <w:pPr>
        <w:autoSpaceDE w:val="0"/>
        <w:autoSpaceDN w:val="0"/>
        <w:adjustRightInd w:val="0"/>
        <w:ind w:left="315" w:leftChars="150"/>
        <w:jc w:val="left"/>
        <w:rPr>
          <w:rFonts w:ascii="宋体" w:eastAsia="宋体" w:cs="宋体"/>
          <w:kern w:val="0"/>
          <w:sz w:val="24"/>
          <w:szCs w:val="24"/>
        </w:rPr>
      </w:pPr>
    </w:p>
    <w:p w14:paraId="6CF87057">
      <w:pPr>
        <w:autoSpaceDE w:val="0"/>
        <w:autoSpaceDN w:val="0"/>
        <w:adjustRightInd w:val="0"/>
        <w:ind w:left="315" w:leftChars="150"/>
        <w:jc w:val="left"/>
        <w:rPr>
          <w:rFonts w:ascii="宋体" w:eastAsia="宋体" w:cs="宋体"/>
          <w:kern w:val="0"/>
          <w:sz w:val="24"/>
          <w:szCs w:val="24"/>
        </w:rPr>
      </w:pPr>
    </w:p>
    <w:tbl>
      <w:tblPr>
        <w:tblStyle w:val="5"/>
        <w:tblW w:w="117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fixed"/>
        <w:tblCellMar>
          <w:top w:w="0" w:type="dxa"/>
          <w:left w:w="108" w:type="dxa"/>
          <w:bottom w:w="0" w:type="dxa"/>
          <w:right w:w="108" w:type="dxa"/>
        </w:tblCellMar>
      </w:tblPr>
      <w:tblGrid>
        <w:gridCol w:w="3135"/>
        <w:gridCol w:w="247"/>
        <w:gridCol w:w="515"/>
        <w:gridCol w:w="2349"/>
        <w:gridCol w:w="270"/>
        <w:gridCol w:w="1965"/>
        <w:gridCol w:w="1770"/>
        <w:gridCol w:w="1515"/>
      </w:tblGrid>
      <w:tr w14:paraId="5359C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90" w:hRule="atLeast"/>
        </w:trPr>
        <w:tc>
          <w:tcPr>
            <w:tcW w:w="11766" w:type="dxa"/>
            <w:gridSpan w:val="8"/>
            <w:tcBorders>
              <w:top w:val="nil"/>
              <w:left w:val="nil"/>
              <w:bottom w:val="nil"/>
              <w:right w:val="nil"/>
            </w:tcBorders>
            <w:shd w:val="clear" w:color="auto" w:fill="FFFFFF" w:themeFill="background1"/>
            <w:noWrap/>
            <w:vAlign w:val="bottom"/>
          </w:tcPr>
          <w:p w14:paraId="01D30046">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404F9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57" w:hRule="atLeast"/>
        </w:trPr>
        <w:tc>
          <w:tcPr>
            <w:tcW w:w="3135" w:type="dxa"/>
            <w:tcBorders>
              <w:top w:val="nil"/>
              <w:left w:val="nil"/>
              <w:bottom w:val="nil"/>
              <w:right w:val="nil"/>
            </w:tcBorders>
            <w:shd w:val="clear" w:color="auto" w:fill="FFFFFF" w:themeFill="background1"/>
            <w:noWrap/>
            <w:vAlign w:val="bottom"/>
          </w:tcPr>
          <w:p w14:paraId="74EFE316">
            <w:pPr>
              <w:rPr>
                <w:rFonts w:hint="eastAsia" w:ascii="Arial" w:hAnsi="Arial" w:cs="Arial"/>
                <w:i w:val="0"/>
                <w:iCs w:val="0"/>
                <w:color w:val="000000"/>
                <w:sz w:val="20"/>
                <w:szCs w:val="20"/>
                <w:u w:val="none"/>
              </w:rPr>
            </w:pPr>
          </w:p>
        </w:tc>
        <w:tc>
          <w:tcPr>
            <w:tcW w:w="247" w:type="dxa"/>
            <w:tcBorders>
              <w:top w:val="nil"/>
              <w:left w:val="nil"/>
              <w:bottom w:val="nil"/>
              <w:right w:val="nil"/>
            </w:tcBorders>
            <w:shd w:val="clear" w:color="auto" w:fill="FFFFFF" w:themeFill="background1"/>
            <w:noWrap/>
            <w:vAlign w:val="bottom"/>
          </w:tcPr>
          <w:p w14:paraId="5DEEDBAB">
            <w:pPr>
              <w:rPr>
                <w:rFonts w:hint="default" w:ascii="Arial" w:hAnsi="Arial" w:cs="Arial"/>
                <w:i w:val="0"/>
                <w:iCs w:val="0"/>
                <w:color w:val="000000"/>
                <w:sz w:val="20"/>
                <w:szCs w:val="20"/>
                <w:u w:val="none"/>
              </w:rPr>
            </w:pPr>
          </w:p>
        </w:tc>
        <w:tc>
          <w:tcPr>
            <w:tcW w:w="515" w:type="dxa"/>
            <w:tcBorders>
              <w:top w:val="nil"/>
              <w:left w:val="nil"/>
              <w:bottom w:val="nil"/>
              <w:right w:val="nil"/>
            </w:tcBorders>
            <w:shd w:val="clear" w:color="auto" w:fill="FFFFFF" w:themeFill="background1"/>
            <w:noWrap/>
            <w:vAlign w:val="bottom"/>
          </w:tcPr>
          <w:p w14:paraId="46FB3492">
            <w:pPr>
              <w:rPr>
                <w:rFonts w:hint="default" w:ascii="Arial" w:hAnsi="Arial" w:cs="Arial"/>
                <w:i w:val="0"/>
                <w:iCs w:val="0"/>
                <w:color w:val="000000"/>
                <w:sz w:val="20"/>
                <w:szCs w:val="20"/>
                <w:u w:val="none"/>
              </w:rPr>
            </w:pPr>
          </w:p>
        </w:tc>
        <w:tc>
          <w:tcPr>
            <w:tcW w:w="2349" w:type="dxa"/>
            <w:tcBorders>
              <w:top w:val="nil"/>
              <w:left w:val="nil"/>
              <w:bottom w:val="nil"/>
              <w:right w:val="nil"/>
            </w:tcBorders>
            <w:shd w:val="clear" w:color="auto" w:fill="FFFFFF" w:themeFill="background1"/>
            <w:noWrap/>
            <w:vAlign w:val="bottom"/>
          </w:tcPr>
          <w:p w14:paraId="5CCB45B1">
            <w:pPr>
              <w:rPr>
                <w:rFonts w:hint="default" w:ascii="Arial" w:hAnsi="Arial" w:cs="Arial"/>
                <w:i w:val="0"/>
                <w:iCs w:val="0"/>
                <w:color w:val="000000"/>
                <w:sz w:val="20"/>
                <w:szCs w:val="20"/>
                <w:u w:val="none"/>
              </w:rPr>
            </w:pPr>
          </w:p>
        </w:tc>
        <w:tc>
          <w:tcPr>
            <w:tcW w:w="2235" w:type="dxa"/>
            <w:gridSpan w:val="2"/>
            <w:tcBorders>
              <w:top w:val="nil"/>
              <w:left w:val="nil"/>
              <w:bottom w:val="nil"/>
              <w:right w:val="nil"/>
            </w:tcBorders>
            <w:shd w:val="clear" w:color="auto" w:fill="FFFFFF" w:themeFill="background1"/>
            <w:noWrap/>
            <w:vAlign w:val="bottom"/>
          </w:tcPr>
          <w:p w14:paraId="0091ADEB">
            <w:pPr>
              <w:rPr>
                <w:rFonts w:hint="default" w:ascii="Arial" w:hAnsi="Arial" w:cs="Arial"/>
                <w:i w:val="0"/>
                <w:iCs w:val="0"/>
                <w:color w:val="000000"/>
                <w:sz w:val="20"/>
                <w:szCs w:val="20"/>
                <w:u w:val="none"/>
              </w:rPr>
            </w:pPr>
          </w:p>
        </w:tc>
        <w:tc>
          <w:tcPr>
            <w:tcW w:w="1770" w:type="dxa"/>
            <w:tcBorders>
              <w:top w:val="nil"/>
              <w:left w:val="nil"/>
              <w:bottom w:val="nil"/>
              <w:right w:val="nil"/>
            </w:tcBorders>
            <w:shd w:val="clear" w:color="auto" w:fill="FFFFFF" w:themeFill="background1"/>
            <w:noWrap/>
            <w:vAlign w:val="bottom"/>
          </w:tcPr>
          <w:p w14:paraId="7334D1A5">
            <w:pPr>
              <w:rPr>
                <w:rFonts w:hint="default" w:ascii="Arial" w:hAnsi="Arial" w:cs="Arial"/>
                <w:i w:val="0"/>
                <w:iCs w:val="0"/>
                <w:color w:val="000000"/>
                <w:sz w:val="20"/>
                <w:szCs w:val="20"/>
                <w:u w:val="none"/>
              </w:rPr>
            </w:pPr>
          </w:p>
        </w:tc>
        <w:tc>
          <w:tcPr>
            <w:tcW w:w="1515" w:type="dxa"/>
            <w:tcBorders>
              <w:top w:val="nil"/>
              <w:left w:val="nil"/>
              <w:bottom w:val="nil"/>
              <w:right w:val="nil"/>
            </w:tcBorders>
            <w:shd w:val="clear" w:color="auto" w:fill="FFFFFF" w:themeFill="background1"/>
            <w:noWrap/>
            <w:vAlign w:val="bottom"/>
          </w:tcPr>
          <w:p w14:paraId="4106B39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4C09B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atLeast"/>
        </w:trPr>
        <w:tc>
          <w:tcPr>
            <w:tcW w:w="3135" w:type="dxa"/>
            <w:tcBorders>
              <w:top w:val="nil"/>
              <w:left w:val="nil"/>
              <w:bottom w:val="nil"/>
              <w:right w:val="nil"/>
            </w:tcBorders>
            <w:shd w:val="clear" w:color="auto" w:fill="FFFFFF" w:themeFill="background1"/>
            <w:noWrap/>
            <w:vAlign w:val="bottom"/>
          </w:tcPr>
          <w:p w14:paraId="5178E18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部门：溆浦县教育局（本级）</w:t>
            </w:r>
          </w:p>
        </w:tc>
        <w:tc>
          <w:tcPr>
            <w:tcW w:w="247" w:type="dxa"/>
            <w:tcBorders>
              <w:top w:val="nil"/>
              <w:left w:val="nil"/>
              <w:bottom w:val="nil"/>
              <w:right w:val="nil"/>
            </w:tcBorders>
            <w:shd w:val="clear" w:color="auto" w:fill="FFFFFF" w:themeFill="background1"/>
            <w:noWrap/>
            <w:vAlign w:val="bottom"/>
          </w:tcPr>
          <w:p w14:paraId="5358CA32">
            <w:pPr>
              <w:rPr>
                <w:rFonts w:hint="default" w:ascii="Arial" w:hAnsi="Arial" w:cs="Arial"/>
                <w:i w:val="0"/>
                <w:iCs w:val="0"/>
                <w:color w:val="000000"/>
                <w:sz w:val="20"/>
                <w:szCs w:val="20"/>
                <w:u w:val="none"/>
              </w:rPr>
            </w:pPr>
          </w:p>
        </w:tc>
        <w:tc>
          <w:tcPr>
            <w:tcW w:w="515" w:type="dxa"/>
            <w:tcBorders>
              <w:top w:val="nil"/>
              <w:left w:val="nil"/>
              <w:bottom w:val="nil"/>
              <w:right w:val="nil"/>
            </w:tcBorders>
            <w:shd w:val="clear" w:color="auto" w:fill="FFFFFF" w:themeFill="background1"/>
            <w:noWrap/>
            <w:vAlign w:val="bottom"/>
          </w:tcPr>
          <w:p w14:paraId="25D48302">
            <w:pPr>
              <w:rPr>
                <w:rFonts w:hint="default" w:ascii="Arial" w:hAnsi="Arial" w:cs="Arial"/>
                <w:i w:val="0"/>
                <w:iCs w:val="0"/>
                <w:color w:val="000000"/>
                <w:sz w:val="20"/>
                <w:szCs w:val="20"/>
                <w:u w:val="none"/>
              </w:rPr>
            </w:pPr>
          </w:p>
        </w:tc>
        <w:tc>
          <w:tcPr>
            <w:tcW w:w="2619" w:type="dxa"/>
            <w:gridSpan w:val="2"/>
            <w:tcBorders>
              <w:top w:val="nil"/>
              <w:left w:val="nil"/>
              <w:bottom w:val="nil"/>
              <w:right w:val="nil"/>
            </w:tcBorders>
            <w:shd w:val="clear" w:color="auto" w:fill="FFFFFF" w:themeFill="background1"/>
            <w:noWrap/>
            <w:vAlign w:val="bottom"/>
          </w:tcPr>
          <w:p w14:paraId="74BC31B9">
            <w:pPr>
              <w:rPr>
                <w:rFonts w:hint="default" w:ascii="Arial" w:hAnsi="Arial" w:cs="Arial"/>
                <w:i w:val="0"/>
                <w:iCs w:val="0"/>
                <w:color w:val="000000"/>
                <w:sz w:val="20"/>
                <w:szCs w:val="20"/>
                <w:u w:val="none"/>
              </w:rPr>
            </w:pPr>
          </w:p>
        </w:tc>
        <w:tc>
          <w:tcPr>
            <w:tcW w:w="1965" w:type="dxa"/>
            <w:tcBorders>
              <w:top w:val="nil"/>
              <w:left w:val="nil"/>
              <w:bottom w:val="nil"/>
              <w:right w:val="nil"/>
            </w:tcBorders>
            <w:shd w:val="clear" w:color="auto" w:fill="FFFFFF" w:themeFill="background1"/>
            <w:noWrap/>
            <w:vAlign w:val="bottom"/>
          </w:tcPr>
          <w:p w14:paraId="13C4BD3E">
            <w:pPr>
              <w:rPr>
                <w:rFonts w:hint="default" w:ascii="Arial" w:hAnsi="Arial" w:cs="Arial"/>
                <w:i w:val="0"/>
                <w:iCs w:val="0"/>
                <w:color w:val="000000"/>
                <w:sz w:val="20"/>
                <w:szCs w:val="20"/>
                <w:u w:val="none"/>
              </w:rPr>
            </w:pPr>
          </w:p>
        </w:tc>
        <w:tc>
          <w:tcPr>
            <w:tcW w:w="1770" w:type="dxa"/>
            <w:tcBorders>
              <w:top w:val="nil"/>
              <w:left w:val="nil"/>
              <w:bottom w:val="nil"/>
              <w:right w:val="nil"/>
            </w:tcBorders>
            <w:shd w:val="clear" w:color="auto" w:fill="FFFFFF" w:themeFill="background1"/>
            <w:noWrap/>
            <w:vAlign w:val="bottom"/>
          </w:tcPr>
          <w:p w14:paraId="7FE6DC40">
            <w:pPr>
              <w:rPr>
                <w:rFonts w:hint="default" w:ascii="Arial" w:hAnsi="Arial" w:cs="Arial"/>
                <w:i w:val="0"/>
                <w:iCs w:val="0"/>
                <w:color w:val="000000"/>
                <w:sz w:val="20"/>
                <w:szCs w:val="20"/>
                <w:u w:val="none"/>
              </w:rPr>
            </w:pPr>
          </w:p>
        </w:tc>
        <w:tc>
          <w:tcPr>
            <w:tcW w:w="1515" w:type="dxa"/>
            <w:tcBorders>
              <w:top w:val="nil"/>
              <w:left w:val="nil"/>
              <w:bottom w:val="nil"/>
              <w:right w:val="nil"/>
            </w:tcBorders>
            <w:shd w:val="clear" w:color="auto" w:fill="FFFFFF" w:themeFill="background1"/>
            <w:noWrap/>
            <w:vAlign w:val="bottom"/>
          </w:tcPr>
          <w:p w14:paraId="176D88F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3BF2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6516" w:type="dxa"/>
            <w:gridSpan w:val="5"/>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BF4A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250" w:type="dxa"/>
            <w:gridSpan w:val="3"/>
            <w:tcBorders>
              <w:top w:val="single" w:color="000000" w:sz="4" w:space="0"/>
              <w:left w:val="nil"/>
              <w:bottom w:val="single" w:color="000000" w:sz="4" w:space="0"/>
              <w:right w:val="single" w:color="000000" w:sz="4" w:space="0"/>
            </w:tcBorders>
            <w:shd w:val="clear" w:color="auto" w:fill="FFFFFF" w:themeFill="background1"/>
            <w:vAlign w:val="center"/>
          </w:tcPr>
          <w:p w14:paraId="5315D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4338B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0403ED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619" w:type="dxa"/>
            <w:gridSpan w:val="2"/>
            <w:vMerge w:val="restart"/>
            <w:tcBorders>
              <w:top w:val="nil"/>
              <w:left w:val="nil"/>
              <w:bottom w:val="single" w:color="000000" w:sz="4" w:space="0"/>
              <w:right w:val="single" w:color="000000" w:sz="4" w:space="0"/>
            </w:tcBorders>
            <w:shd w:val="clear" w:color="auto" w:fill="FFFFFF" w:themeFill="background1"/>
            <w:noWrap/>
            <w:vAlign w:val="center"/>
          </w:tcPr>
          <w:p w14:paraId="589759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965" w:type="dxa"/>
            <w:vMerge w:val="restart"/>
            <w:tcBorders>
              <w:top w:val="nil"/>
              <w:left w:val="nil"/>
              <w:bottom w:val="single" w:color="000000" w:sz="4" w:space="0"/>
              <w:right w:val="single" w:color="000000" w:sz="4" w:space="0"/>
            </w:tcBorders>
            <w:shd w:val="clear" w:color="auto" w:fill="FFFFFF" w:themeFill="background1"/>
            <w:vAlign w:val="center"/>
          </w:tcPr>
          <w:p w14:paraId="69350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70" w:type="dxa"/>
            <w:vMerge w:val="restart"/>
            <w:tcBorders>
              <w:top w:val="nil"/>
              <w:left w:val="nil"/>
              <w:bottom w:val="single" w:color="000000" w:sz="4" w:space="0"/>
              <w:right w:val="single" w:color="000000" w:sz="4" w:space="0"/>
            </w:tcBorders>
            <w:shd w:val="clear" w:color="auto" w:fill="FFFFFF" w:themeFill="background1"/>
            <w:vAlign w:val="center"/>
          </w:tcPr>
          <w:p w14:paraId="7BD63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515" w:type="dxa"/>
            <w:vMerge w:val="restart"/>
            <w:tcBorders>
              <w:top w:val="nil"/>
              <w:left w:val="nil"/>
              <w:bottom w:val="single" w:color="000000" w:sz="4" w:space="0"/>
              <w:right w:val="single" w:color="000000" w:sz="4" w:space="0"/>
            </w:tcBorders>
            <w:shd w:val="clear" w:color="auto" w:fill="FFFFFF" w:themeFill="background1"/>
            <w:vAlign w:val="center"/>
          </w:tcPr>
          <w:p w14:paraId="5E4BA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7D455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40A373AE">
            <w:pPr>
              <w:jc w:val="center"/>
              <w:rPr>
                <w:rFonts w:hint="eastAsia" w:ascii="宋体" w:hAnsi="宋体" w:eastAsia="宋体" w:cs="宋体"/>
                <w:i w:val="0"/>
                <w:iCs w:val="0"/>
                <w:color w:val="000000"/>
                <w:sz w:val="22"/>
                <w:szCs w:val="22"/>
                <w:u w:val="none"/>
              </w:rPr>
            </w:pPr>
          </w:p>
        </w:tc>
        <w:tc>
          <w:tcPr>
            <w:tcW w:w="2619" w:type="dxa"/>
            <w:gridSpan w:val="2"/>
            <w:vMerge w:val="continue"/>
            <w:tcBorders>
              <w:top w:val="nil"/>
              <w:left w:val="nil"/>
              <w:bottom w:val="single" w:color="000000" w:sz="4" w:space="0"/>
              <w:right w:val="single" w:color="000000" w:sz="4" w:space="0"/>
            </w:tcBorders>
            <w:shd w:val="clear" w:color="auto" w:fill="FFFFFF" w:themeFill="background1"/>
            <w:noWrap/>
            <w:vAlign w:val="center"/>
          </w:tcPr>
          <w:p w14:paraId="5F397839">
            <w:pPr>
              <w:jc w:val="center"/>
              <w:rPr>
                <w:rFonts w:hint="eastAsia" w:ascii="宋体" w:hAnsi="宋体" w:eastAsia="宋体" w:cs="宋体"/>
                <w:i w:val="0"/>
                <w:iCs w:val="0"/>
                <w:color w:val="000000"/>
                <w:sz w:val="22"/>
                <w:szCs w:val="22"/>
                <w:u w:val="none"/>
              </w:rPr>
            </w:pPr>
          </w:p>
        </w:tc>
        <w:tc>
          <w:tcPr>
            <w:tcW w:w="1965" w:type="dxa"/>
            <w:vMerge w:val="continue"/>
            <w:tcBorders>
              <w:top w:val="nil"/>
              <w:left w:val="nil"/>
              <w:bottom w:val="single" w:color="000000" w:sz="4" w:space="0"/>
              <w:right w:val="single" w:color="000000" w:sz="4" w:space="0"/>
            </w:tcBorders>
            <w:shd w:val="clear" w:color="auto" w:fill="FFFFFF" w:themeFill="background1"/>
            <w:vAlign w:val="center"/>
          </w:tcPr>
          <w:p w14:paraId="21E1BFC9">
            <w:pPr>
              <w:jc w:val="center"/>
              <w:rPr>
                <w:rFonts w:hint="eastAsia" w:ascii="宋体" w:hAnsi="宋体" w:eastAsia="宋体" w:cs="宋体"/>
                <w:i w:val="0"/>
                <w:iCs w:val="0"/>
                <w:color w:val="000000"/>
                <w:sz w:val="22"/>
                <w:szCs w:val="22"/>
                <w:u w:val="none"/>
              </w:rPr>
            </w:pPr>
          </w:p>
        </w:tc>
        <w:tc>
          <w:tcPr>
            <w:tcW w:w="1770" w:type="dxa"/>
            <w:vMerge w:val="continue"/>
            <w:tcBorders>
              <w:top w:val="nil"/>
              <w:left w:val="nil"/>
              <w:bottom w:val="single" w:color="000000" w:sz="4" w:space="0"/>
              <w:right w:val="single" w:color="000000" w:sz="4" w:space="0"/>
            </w:tcBorders>
            <w:shd w:val="clear" w:color="auto" w:fill="FFFFFF" w:themeFill="background1"/>
            <w:vAlign w:val="center"/>
          </w:tcPr>
          <w:p w14:paraId="33019FEE">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000000" w:sz="4" w:space="0"/>
              <w:right w:val="single" w:color="000000" w:sz="4" w:space="0"/>
            </w:tcBorders>
            <w:shd w:val="clear" w:color="auto" w:fill="FFFFFF" w:themeFill="background1"/>
            <w:vAlign w:val="center"/>
          </w:tcPr>
          <w:p w14:paraId="32BB52D9">
            <w:pPr>
              <w:jc w:val="center"/>
              <w:rPr>
                <w:rFonts w:hint="eastAsia" w:ascii="宋体" w:hAnsi="宋体" w:eastAsia="宋体" w:cs="宋体"/>
                <w:i w:val="0"/>
                <w:iCs w:val="0"/>
                <w:color w:val="000000"/>
                <w:sz w:val="22"/>
                <w:szCs w:val="22"/>
                <w:u w:val="none"/>
              </w:rPr>
            </w:pPr>
          </w:p>
        </w:tc>
      </w:tr>
      <w:tr w14:paraId="75ED5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051469A6">
            <w:pPr>
              <w:jc w:val="center"/>
              <w:rPr>
                <w:rFonts w:hint="eastAsia" w:ascii="宋体" w:hAnsi="宋体" w:eastAsia="宋体" w:cs="宋体"/>
                <w:i w:val="0"/>
                <w:iCs w:val="0"/>
                <w:color w:val="000000"/>
                <w:sz w:val="22"/>
                <w:szCs w:val="22"/>
                <w:u w:val="none"/>
              </w:rPr>
            </w:pPr>
          </w:p>
        </w:tc>
        <w:tc>
          <w:tcPr>
            <w:tcW w:w="2619" w:type="dxa"/>
            <w:gridSpan w:val="2"/>
            <w:vMerge w:val="continue"/>
            <w:tcBorders>
              <w:top w:val="nil"/>
              <w:left w:val="nil"/>
              <w:bottom w:val="single" w:color="000000" w:sz="4" w:space="0"/>
              <w:right w:val="single" w:color="000000" w:sz="4" w:space="0"/>
            </w:tcBorders>
            <w:shd w:val="clear" w:color="auto" w:fill="FFFFFF" w:themeFill="background1"/>
            <w:noWrap/>
            <w:vAlign w:val="center"/>
          </w:tcPr>
          <w:p w14:paraId="577DFD9A">
            <w:pPr>
              <w:jc w:val="center"/>
              <w:rPr>
                <w:rFonts w:hint="eastAsia" w:ascii="宋体" w:hAnsi="宋体" w:eastAsia="宋体" w:cs="宋体"/>
                <w:i w:val="0"/>
                <w:iCs w:val="0"/>
                <w:color w:val="000000"/>
                <w:sz w:val="22"/>
                <w:szCs w:val="22"/>
                <w:u w:val="none"/>
              </w:rPr>
            </w:pPr>
          </w:p>
        </w:tc>
        <w:tc>
          <w:tcPr>
            <w:tcW w:w="1965" w:type="dxa"/>
            <w:vMerge w:val="continue"/>
            <w:tcBorders>
              <w:top w:val="nil"/>
              <w:left w:val="nil"/>
              <w:bottom w:val="single" w:color="000000" w:sz="4" w:space="0"/>
              <w:right w:val="single" w:color="000000" w:sz="4" w:space="0"/>
            </w:tcBorders>
            <w:shd w:val="clear" w:color="auto" w:fill="FFFFFF" w:themeFill="background1"/>
            <w:vAlign w:val="center"/>
          </w:tcPr>
          <w:p w14:paraId="1AC834C5">
            <w:pPr>
              <w:jc w:val="center"/>
              <w:rPr>
                <w:rFonts w:hint="eastAsia" w:ascii="宋体" w:hAnsi="宋体" w:eastAsia="宋体" w:cs="宋体"/>
                <w:i w:val="0"/>
                <w:iCs w:val="0"/>
                <w:color w:val="000000"/>
                <w:sz w:val="22"/>
                <w:szCs w:val="22"/>
                <w:u w:val="none"/>
              </w:rPr>
            </w:pPr>
          </w:p>
        </w:tc>
        <w:tc>
          <w:tcPr>
            <w:tcW w:w="1770" w:type="dxa"/>
            <w:vMerge w:val="continue"/>
            <w:tcBorders>
              <w:top w:val="nil"/>
              <w:left w:val="nil"/>
              <w:bottom w:val="single" w:color="000000" w:sz="4" w:space="0"/>
              <w:right w:val="single" w:color="000000" w:sz="4" w:space="0"/>
            </w:tcBorders>
            <w:shd w:val="clear" w:color="auto" w:fill="FFFFFF" w:themeFill="background1"/>
            <w:vAlign w:val="center"/>
          </w:tcPr>
          <w:p w14:paraId="003EEBFF">
            <w:pPr>
              <w:jc w:val="center"/>
              <w:rPr>
                <w:rFonts w:hint="eastAsia" w:ascii="宋体" w:hAnsi="宋体" w:eastAsia="宋体" w:cs="宋体"/>
                <w:i w:val="0"/>
                <w:iCs w:val="0"/>
                <w:color w:val="000000"/>
                <w:sz w:val="22"/>
                <w:szCs w:val="22"/>
                <w:u w:val="none"/>
              </w:rPr>
            </w:pPr>
          </w:p>
        </w:tc>
        <w:tc>
          <w:tcPr>
            <w:tcW w:w="1515" w:type="dxa"/>
            <w:vMerge w:val="continue"/>
            <w:tcBorders>
              <w:top w:val="nil"/>
              <w:left w:val="nil"/>
              <w:bottom w:val="single" w:color="000000" w:sz="4" w:space="0"/>
              <w:right w:val="single" w:color="000000" w:sz="4" w:space="0"/>
            </w:tcBorders>
            <w:shd w:val="clear" w:color="auto" w:fill="FFFFFF" w:themeFill="background1"/>
            <w:vAlign w:val="center"/>
          </w:tcPr>
          <w:p w14:paraId="12C70781">
            <w:pPr>
              <w:jc w:val="center"/>
              <w:rPr>
                <w:rFonts w:hint="eastAsia" w:ascii="宋体" w:hAnsi="宋体" w:eastAsia="宋体" w:cs="宋体"/>
                <w:i w:val="0"/>
                <w:iCs w:val="0"/>
                <w:color w:val="000000"/>
                <w:sz w:val="22"/>
                <w:szCs w:val="22"/>
                <w:u w:val="none"/>
              </w:rPr>
            </w:pPr>
          </w:p>
        </w:tc>
      </w:tr>
      <w:tr w14:paraId="2A70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516" w:type="dxa"/>
            <w:gridSpan w:val="5"/>
            <w:tcBorders>
              <w:top w:val="nil"/>
              <w:left w:val="single" w:color="000000" w:sz="4" w:space="0"/>
              <w:bottom w:val="single" w:color="000000" w:sz="4" w:space="0"/>
              <w:right w:val="single" w:color="000000" w:sz="4" w:space="0"/>
            </w:tcBorders>
            <w:shd w:val="clear" w:color="auto" w:fill="FFFFFF" w:themeFill="background1"/>
            <w:noWrap/>
            <w:vAlign w:val="center"/>
          </w:tcPr>
          <w:p w14:paraId="06A0CE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965" w:type="dxa"/>
            <w:tcBorders>
              <w:top w:val="nil"/>
              <w:left w:val="nil"/>
              <w:bottom w:val="single" w:color="000000" w:sz="4" w:space="0"/>
              <w:right w:val="single" w:color="000000" w:sz="4" w:space="0"/>
            </w:tcBorders>
            <w:shd w:val="clear" w:color="auto" w:fill="FFFFFF" w:themeFill="background1"/>
            <w:noWrap/>
            <w:vAlign w:val="center"/>
          </w:tcPr>
          <w:p w14:paraId="54ADD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70" w:type="dxa"/>
            <w:tcBorders>
              <w:top w:val="nil"/>
              <w:left w:val="nil"/>
              <w:bottom w:val="single" w:color="000000" w:sz="4" w:space="0"/>
              <w:right w:val="single" w:color="000000" w:sz="4" w:space="0"/>
            </w:tcBorders>
            <w:shd w:val="clear" w:color="auto" w:fill="FFFFFF" w:themeFill="background1"/>
            <w:noWrap/>
            <w:vAlign w:val="center"/>
          </w:tcPr>
          <w:p w14:paraId="6ACD9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1A26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D1D1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516" w:type="dxa"/>
            <w:gridSpan w:val="5"/>
            <w:tcBorders>
              <w:top w:val="nil"/>
              <w:left w:val="single" w:color="000000" w:sz="4" w:space="0"/>
              <w:bottom w:val="single" w:color="000000" w:sz="4" w:space="0"/>
              <w:right w:val="single" w:color="000000" w:sz="4" w:space="0"/>
            </w:tcBorders>
            <w:shd w:val="clear" w:color="auto" w:fill="FFFFFF" w:themeFill="background1"/>
            <w:noWrap/>
            <w:vAlign w:val="center"/>
          </w:tcPr>
          <w:p w14:paraId="47FCB4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250" w:type="dxa"/>
            <w:gridSpan w:val="3"/>
            <w:tcBorders>
              <w:top w:val="nil"/>
              <w:left w:val="nil"/>
              <w:bottom w:val="single" w:color="000000" w:sz="4" w:space="0"/>
              <w:right w:val="single" w:color="000000" w:sz="4" w:space="0"/>
            </w:tcBorders>
            <w:shd w:val="clear" w:color="auto" w:fill="FFFFFF" w:themeFill="background1"/>
            <w:noWrap/>
            <w:vAlign w:val="center"/>
          </w:tcPr>
          <w:p w14:paraId="3A9AB0F3">
            <w:pPr>
              <w:jc w:val="center"/>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60F40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0F5E4E66">
            <w:pPr>
              <w:jc w:val="left"/>
              <w:rPr>
                <w:rFonts w:hint="eastAsia" w:ascii="宋体" w:hAnsi="宋体" w:eastAsia="宋体" w:cs="宋体"/>
                <w:i w:val="0"/>
                <w:iCs w:val="0"/>
                <w:color w:val="000000"/>
                <w:sz w:val="22"/>
                <w:szCs w:val="22"/>
                <w:u w:val="none"/>
              </w:rPr>
            </w:pPr>
          </w:p>
        </w:tc>
        <w:tc>
          <w:tcPr>
            <w:tcW w:w="2619" w:type="dxa"/>
            <w:gridSpan w:val="2"/>
            <w:tcBorders>
              <w:top w:val="nil"/>
              <w:left w:val="nil"/>
              <w:bottom w:val="single" w:color="000000" w:sz="4" w:space="0"/>
              <w:right w:val="single" w:color="000000" w:sz="4" w:space="0"/>
            </w:tcBorders>
            <w:shd w:val="clear" w:color="auto" w:fill="FFFFFF" w:themeFill="background1"/>
            <w:noWrap/>
            <w:vAlign w:val="center"/>
          </w:tcPr>
          <w:p w14:paraId="4433EA26">
            <w:pPr>
              <w:jc w:val="left"/>
              <w:rPr>
                <w:rFonts w:hint="eastAsia" w:ascii="宋体" w:hAnsi="宋体" w:eastAsia="宋体" w:cs="宋体"/>
                <w:i w:val="0"/>
                <w:iCs w:val="0"/>
                <w:color w:val="000000"/>
                <w:sz w:val="22"/>
                <w:szCs w:val="22"/>
                <w:u w:val="none"/>
              </w:rPr>
            </w:pPr>
          </w:p>
        </w:tc>
        <w:tc>
          <w:tcPr>
            <w:tcW w:w="1965" w:type="dxa"/>
            <w:tcBorders>
              <w:top w:val="nil"/>
              <w:left w:val="nil"/>
              <w:bottom w:val="single" w:color="000000" w:sz="4" w:space="0"/>
              <w:right w:val="single" w:color="000000" w:sz="4" w:space="0"/>
            </w:tcBorders>
            <w:shd w:val="clear" w:color="auto" w:fill="FFFFFF" w:themeFill="background1"/>
            <w:noWrap/>
            <w:vAlign w:val="center"/>
          </w:tcPr>
          <w:p w14:paraId="1FADFF19">
            <w:pPr>
              <w:jc w:val="right"/>
              <w:rPr>
                <w:rFonts w:hint="eastAsia" w:ascii="宋体" w:hAnsi="宋体" w:eastAsia="宋体" w:cs="宋体"/>
                <w:i w:val="0"/>
                <w:iCs w:val="0"/>
                <w:color w:val="000000"/>
                <w:sz w:val="22"/>
                <w:szCs w:val="22"/>
                <w:u w:val="none"/>
              </w:rPr>
            </w:pPr>
          </w:p>
        </w:tc>
        <w:tc>
          <w:tcPr>
            <w:tcW w:w="1770" w:type="dxa"/>
            <w:tcBorders>
              <w:top w:val="nil"/>
              <w:left w:val="nil"/>
              <w:bottom w:val="single" w:color="000000" w:sz="4" w:space="0"/>
              <w:right w:val="single" w:color="000000" w:sz="4" w:space="0"/>
            </w:tcBorders>
            <w:shd w:val="clear" w:color="auto" w:fill="FFFFFF" w:themeFill="background1"/>
            <w:noWrap/>
            <w:vAlign w:val="center"/>
          </w:tcPr>
          <w:p w14:paraId="479054A8">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64D932B9">
            <w:pPr>
              <w:jc w:val="right"/>
              <w:rPr>
                <w:rFonts w:hint="eastAsia" w:ascii="宋体" w:hAnsi="宋体" w:eastAsia="宋体" w:cs="宋体"/>
                <w:i w:val="0"/>
                <w:iCs w:val="0"/>
                <w:color w:val="000000"/>
                <w:sz w:val="22"/>
                <w:szCs w:val="22"/>
                <w:u w:val="none"/>
              </w:rPr>
            </w:pPr>
          </w:p>
        </w:tc>
      </w:tr>
      <w:tr w14:paraId="62093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1F0E0C8D">
            <w:pPr>
              <w:jc w:val="left"/>
              <w:rPr>
                <w:rFonts w:hint="eastAsia" w:ascii="宋体" w:hAnsi="宋体" w:eastAsia="宋体" w:cs="宋体"/>
                <w:i w:val="0"/>
                <w:iCs w:val="0"/>
                <w:color w:val="000000"/>
                <w:sz w:val="22"/>
                <w:szCs w:val="22"/>
                <w:u w:val="none"/>
              </w:rPr>
            </w:pPr>
          </w:p>
        </w:tc>
        <w:tc>
          <w:tcPr>
            <w:tcW w:w="2619" w:type="dxa"/>
            <w:gridSpan w:val="2"/>
            <w:tcBorders>
              <w:top w:val="nil"/>
              <w:left w:val="nil"/>
              <w:bottom w:val="single" w:color="000000" w:sz="4" w:space="0"/>
              <w:right w:val="single" w:color="000000" w:sz="4" w:space="0"/>
            </w:tcBorders>
            <w:shd w:val="clear" w:color="auto" w:fill="FFFFFF" w:themeFill="background1"/>
            <w:noWrap/>
            <w:vAlign w:val="center"/>
          </w:tcPr>
          <w:p w14:paraId="6104C6D1">
            <w:pPr>
              <w:jc w:val="left"/>
              <w:rPr>
                <w:rFonts w:hint="eastAsia" w:ascii="宋体" w:hAnsi="宋体" w:eastAsia="宋体" w:cs="宋体"/>
                <w:i w:val="0"/>
                <w:iCs w:val="0"/>
                <w:color w:val="000000"/>
                <w:sz w:val="22"/>
                <w:szCs w:val="22"/>
                <w:u w:val="none"/>
              </w:rPr>
            </w:pPr>
          </w:p>
        </w:tc>
        <w:tc>
          <w:tcPr>
            <w:tcW w:w="1965" w:type="dxa"/>
            <w:tcBorders>
              <w:top w:val="nil"/>
              <w:left w:val="nil"/>
              <w:bottom w:val="single" w:color="000000" w:sz="4" w:space="0"/>
              <w:right w:val="single" w:color="000000" w:sz="4" w:space="0"/>
            </w:tcBorders>
            <w:shd w:val="clear" w:color="auto" w:fill="FFFFFF" w:themeFill="background1"/>
            <w:noWrap/>
            <w:vAlign w:val="center"/>
          </w:tcPr>
          <w:p w14:paraId="15BEF8F6">
            <w:pPr>
              <w:jc w:val="right"/>
              <w:rPr>
                <w:rFonts w:hint="eastAsia" w:ascii="宋体" w:hAnsi="宋体" w:eastAsia="宋体" w:cs="宋体"/>
                <w:i w:val="0"/>
                <w:iCs w:val="0"/>
                <w:color w:val="000000"/>
                <w:sz w:val="22"/>
                <w:szCs w:val="22"/>
                <w:u w:val="none"/>
              </w:rPr>
            </w:pPr>
          </w:p>
        </w:tc>
        <w:tc>
          <w:tcPr>
            <w:tcW w:w="1770" w:type="dxa"/>
            <w:tcBorders>
              <w:top w:val="nil"/>
              <w:left w:val="nil"/>
              <w:bottom w:val="single" w:color="000000" w:sz="4" w:space="0"/>
              <w:right w:val="single" w:color="000000" w:sz="4" w:space="0"/>
            </w:tcBorders>
            <w:shd w:val="clear" w:color="auto" w:fill="FFFFFF" w:themeFill="background1"/>
            <w:noWrap/>
            <w:vAlign w:val="center"/>
          </w:tcPr>
          <w:p w14:paraId="0D08E12C">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857A07A">
            <w:pPr>
              <w:jc w:val="right"/>
              <w:rPr>
                <w:rFonts w:hint="eastAsia" w:ascii="宋体" w:hAnsi="宋体" w:eastAsia="宋体" w:cs="宋体"/>
                <w:i w:val="0"/>
                <w:iCs w:val="0"/>
                <w:color w:val="000000"/>
                <w:sz w:val="22"/>
                <w:szCs w:val="22"/>
                <w:u w:val="none"/>
              </w:rPr>
            </w:pPr>
          </w:p>
        </w:tc>
      </w:tr>
      <w:tr w14:paraId="098B7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0EF9961">
            <w:pPr>
              <w:jc w:val="left"/>
              <w:rPr>
                <w:rFonts w:hint="eastAsia" w:ascii="宋体" w:hAnsi="宋体" w:eastAsia="宋体" w:cs="宋体"/>
                <w:i w:val="0"/>
                <w:iCs w:val="0"/>
                <w:color w:val="000000"/>
                <w:sz w:val="22"/>
                <w:szCs w:val="22"/>
                <w:u w:val="none"/>
              </w:rPr>
            </w:pPr>
          </w:p>
        </w:tc>
        <w:tc>
          <w:tcPr>
            <w:tcW w:w="2619" w:type="dxa"/>
            <w:gridSpan w:val="2"/>
            <w:tcBorders>
              <w:top w:val="nil"/>
              <w:left w:val="nil"/>
              <w:bottom w:val="single" w:color="000000" w:sz="4" w:space="0"/>
              <w:right w:val="single" w:color="000000" w:sz="4" w:space="0"/>
            </w:tcBorders>
            <w:shd w:val="clear" w:color="auto" w:fill="FFFFFF" w:themeFill="background1"/>
            <w:noWrap/>
            <w:vAlign w:val="center"/>
          </w:tcPr>
          <w:p w14:paraId="1030FBBA">
            <w:pPr>
              <w:jc w:val="left"/>
              <w:rPr>
                <w:rFonts w:hint="eastAsia" w:ascii="宋体" w:hAnsi="宋体" w:eastAsia="宋体" w:cs="宋体"/>
                <w:i w:val="0"/>
                <w:iCs w:val="0"/>
                <w:color w:val="000000"/>
                <w:sz w:val="22"/>
                <w:szCs w:val="22"/>
                <w:u w:val="none"/>
              </w:rPr>
            </w:pPr>
          </w:p>
        </w:tc>
        <w:tc>
          <w:tcPr>
            <w:tcW w:w="1965" w:type="dxa"/>
            <w:tcBorders>
              <w:top w:val="nil"/>
              <w:left w:val="nil"/>
              <w:bottom w:val="single" w:color="000000" w:sz="4" w:space="0"/>
              <w:right w:val="single" w:color="000000" w:sz="4" w:space="0"/>
            </w:tcBorders>
            <w:shd w:val="clear" w:color="auto" w:fill="FFFFFF" w:themeFill="background1"/>
            <w:noWrap/>
            <w:vAlign w:val="center"/>
          </w:tcPr>
          <w:p w14:paraId="279BD4DB">
            <w:pPr>
              <w:jc w:val="right"/>
              <w:rPr>
                <w:rFonts w:hint="eastAsia" w:ascii="宋体" w:hAnsi="宋体" w:eastAsia="宋体" w:cs="宋体"/>
                <w:i w:val="0"/>
                <w:iCs w:val="0"/>
                <w:color w:val="000000"/>
                <w:sz w:val="22"/>
                <w:szCs w:val="22"/>
                <w:u w:val="none"/>
              </w:rPr>
            </w:pPr>
          </w:p>
        </w:tc>
        <w:tc>
          <w:tcPr>
            <w:tcW w:w="1770" w:type="dxa"/>
            <w:tcBorders>
              <w:top w:val="nil"/>
              <w:left w:val="nil"/>
              <w:bottom w:val="single" w:color="000000" w:sz="4" w:space="0"/>
              <w:right w:val="single" w:color="000000" w:sz="4" w:space="0"/>
            </w:tcBorders>
            <w:shd w:val="clear" w:color="auto" w:fill="FFFFFF" w:themeFill="background1"/>
            <w:noWrap/>
            <w:vAlign w:val="center"/>
          </w:tcPr>
          <w:p w14:paraId="3E9E819A">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11C83BEB">
            <w:pPr>
              <w:jc w:val="right"/>
              <w:rPr>
                <w:rFonts w:hint="eastAsia" w:ascii="宋体" w:hAnsi="宋体" w:eastAsia="宋体" w:cs="宋体"/>
                <w:i w:val="0"/>
                <w:iCs w:val="0"/>
                <w:color w:val="000000"/>
                <w:sz w:val="22"/>
                <w:szCs w:val="22"/>
                <w:u w:val="none"/>
              </w:rPr>
            </w:pPr>
          </w:p>
        </w:tc>
      </w:tr>
      <w:tr w14:paraId="2AC82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4E9BE156">
            <w:pPr>
              <w:jc w:val="left"/>
              <w:rPr>
                <w:rFonts w:hint="eastAsia" w:ascii="宋体" w:hAnsi="宋体" w:eastAsia="宋体" w:cs="宋体"/>
                <w:i w:val="0"/>
                <w:iCs w:val="0"/>
                <w:color w:val="000000"/>
                <w:sz w:val="22"/>
                <w:szCs w:val="22"/>
                <w:u w:val="none"/>
              </w:rPr>
            </w:pPr>
          </w:p>
        </w:tc>
        <w:tc>
          <w:tcPr>
            <w:tcW w:w="2619" w:type="dxa"/>
            <w:gridSpan w:val="2"/>
            <w:tcBorders>
              <w:top w:val="nil"/>
              <w:left w:val="nil"/>
              <w:bottom w:val="single" w:color="000000" w:sz="4" w:space="0"/>
              <w:right w:val="single" w:color="000000" w:sz="4" w:space="0"/>
            </w:tcBorders>
            <w:shd w:val="clear" w:color="auto" w:fill="FFFFFF" w:themeFill="background1"/>
            <w:noWrap/>
            <w:vAlign w:val="center"/>
          </w:tcPr>
          <w:p w14:paraId="793682D7">
            <w:pPr>
              <w:jc w:val="left"/>
              <w:rPr>
                <w:rFonts w:hint="eastAsia" w:ascii="宋体" w:hAnsi="宋体" w:eastAsia="宋体" w:cs="宋体"/>
                <w:i w:val="0"/>
                <w:iCs w:val="0"/>
                <w:color w:val="000000"/>
                <w:sz w:val="22"/>
                <w:szCs w:val="22"/>
                <w:u w:val="none"/>
              </w:rPr>
            </w:pPr>
          </w:p>
        </w:tc>
        <w:tc>
          <w:tcPr>
            <w:tcW w:w="1965" w:type="dxa"/>
            <w:tcBorders>
              <w:top w:val="nil"/>
              <w:left w:val="nil"/>
              <w:bottom w:val="single" w:color="000000" w:sz="4" w:space="0"/>
              <w:right w:val="single" w:color="000000" w:sz="4" w:space="0"/>
            </w:tcBorders>
            <w:shd w:val="clear" w:color="auto" w:fill="FFFFFF" w:themeFill="background1"/>
            <w:noWrap/>
            <w:vAlign w:val="center"/>
          </w:tcPr>
          <w:p w14:paraId="188D2A3D">
            <w:pPr>
              <w:jc w:val="right"/>
              <w:rPr>
                <w:rFonts w:hint="eastAsia" w:ascii="宋体" w:hAnsi="宋体" w:eastAsia="宋体" w:cs="宋体"/>
                <w:i w:val="0"/>
                <w:iCs w:val="0"/>
                <w:color w:val="000000"/>
                <w:sz w:val="22"/>
                <w:szCs w:val="22"/>
                <w:u w:val="none"/>
              </w:rPr>
            </w:pPr>
          </w:p>
        </w:tc>
        <w:tc>
          <w:tcPr>
            <w:tcW w:w="1770" w:type="dxa"/>
            <w:tcBorders>
              <w:top w:val="nil"/>
              <w:left w:val="nil"/>
              <w:bottom w:val="single" w:color="000000" w:sz="4" w:space="0"/>
              <w:right w:val="single" w:color="000000" w:sz="4" w:space="0"/>
            </w:tcBorders>
            <w:shd w:val="clear" w:color="auto" w:fill="FFFFFF" w:themeFill="background1"/>
            <w:noWrap/>
            <w:vAlign w:val="center"/>
          </w:tcPr>
          <w:p w14:paraId="78D6AA3D">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5B51E585">
            <w:pPr>
              <w:jc w:val="right"/>
              <w:rPr>
                <w:rFonts w:hint="eastAsia" w:ascii="宋体" w:hAnsi="宋体" w:eastAsia="宋体" w:cs="宋体"/>
                <w:i w:val="0"/>
                <w:iCs w:val="0"/>
                <w:color w:val="000000"/>
                <w:sz w:val="22"/>
                <w:szCs w:val="22"/>
                <w:u w:val="none"/>
              </w:rPr>
            </w:pPr>
          </w:p>
        </w:tc>
      </w:tr>
      <w:tr w14:paraId="6596B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67B522FB">
            <w:pPr>
              <w:jc w:val="left"/>
              <w:rPr>
                <w:rFonts w:hint="eastAsia" w:ascii="宋体" w:hAnsi="宋体" w:eastAsia="宋体" w:cs="宋体"/>
                <w:i w:val="0"/>
                <w:iCs w:val="0"/>
                <w:color w:val="000000"/>
                <w:sz w:val="22"/>
                <w:szCs w:val="22"/>
                <w:u w:val="none"/>
              </w:rPr>
            </w:pPr>
          </w:p>
        </w:tc>
        <w:tc>
          <w:tcPr>
            <w:tcW w:w="2619" w:type="dxa"/>
            <w:gridSpan w:val="2"/>
            <w:tcBorders>
              <w:top w:val="nil"/>
              <w:left w:val="nil"/>
              <w:bottom w:val="single" w:color="000000" w:sz="4" w:space="0"/>
              <w:right w:val="single" w:color="000000" w:sz="4" w:space="0"/>
            </w:tcBorders>
            <w:shd w:val="clear" w:color="auto" w:fill="FFFFFF" w:themeFill="background1"/>
            <w:noWrap/>
            <w:vAlign w:val="center"/>
          </w:tcPr>
          <w:p w14:paraId="34FB1125">
            <w:pPr>
              <w:jc w:val="left"/>
              <w:rPr>
                <w:rFonts w:hint="eastAsia" w:ascii="宋体" w:hAnsi="宋体" w:eastAsia="宋体" w:cs="宋体"/>
                <w:i w:val="0"/>
                <w:iCs w:val="0"/>
                <w:color w:val="000000"/>
                <w:sz w:val="22"/>
                <w:szCs w:val="22"/>
                <w:u w:val="none"/>
              </w:rPr>
            </w:pPr>
          </w:p>
        </w:tc>
        <w:tc>
          <w:tcPr>
            <w:tcW w:w="1965" w:type="dxa"/>
            <w:tcBorders>
              <w:top w:val="nil"/>
              <w:left w:val="nil"/>
              <w:bottom w:val="single" w:color="000000" w:sz="4" w:space="0"/>
              <w:right w:val="single" w:color="000000" w:sz="4" w:space="0"/>
            </w:tcBorders>
            <w:shd w:val="clear" w:color="auto" w:fill="FFFFFF" w:themeFill="background1"/>
            <w:noWrap/>
            <w:vAlign w:val="center"/>
          </w:tcPr>
          <w:p w14:paraId="3E46DCC1">
            <w:pPr>
              <w:jc w:val="right"/>
              <w:rPr>
                <w:rFonts w:hint="eastAsia" w:ascii="宋体" w:hAnsi="宋体" w:eastAsia="宋体" w:cs="宋体"/>
                <w:i w:val="0"/>
                <w:iCs w:val="0"/>
                <w:color w:val="000000"/>
                <w:sz w:val="22"/>
                <w:szCs w:val="22"/>
                <w:u w:val="none"/>
              </w:rPr>
            </w:pPr>
          </w:p>
        </w:tc>
        <w:tc>
          <w:tcPr>
            <w:tcW w:w="1770" w:type="dxa"/>
            <w:tcBorders>
              <w:top w:val="nil"/>
              <w:left w:val="nil"/>
              <w:bottom w:val="single" w:color="000000" w:sz="4" w:space="0"/>
              <w:right w:val="single" w:color="000000" w:sz="4" w:space="0"/>
            </w:tcBorders>
            <w:shd w:val="clear" w:color="auto" w:fill="FFFFFF" w:themeFill="background1"/>
            <w:noWrap/>
            <w:vAlign w:val="center"/>
          </w:tcPr>
          <w:p w14:paraId="5A4C435E">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2DB30ADE">
            <w:pPr>
              <w:jc w:val="right"/>
              <w:rPr>
                <w:rFonts w:hint="eastAsia" w:ascii="宋体" w:hAnsi="宋体" w:eastAsia="宋体" w:cs="宋体"/>
                <w:i w:val="0"/>
                <w:iCs w:val="0"/>
                <w:color w:val="000000"/>
                <w:sz w:val="22"/>
                <w:szCs w:val="22"/>
                <w:u w:val="none"/>
              </w:rPr>
            </w:pPr>
          </w:p>
        </w:tc>
      </w:tr>
      <w:tr w14:paraId="439F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3897" w:type="dxa"/>
            <w:gridSpan w:val="3"/>
            <w:tcBorders>
              <w:top w:val="nil"/>
              <w:left w:val="single" w:color="000000" w:sz="4" w:space="0"/>
              <w:bottom w:val="single" w:color="000000" w:sz="4" w:space="0"/>
              <w:right w:val="single" w:color="000000" w:sz="4" w:space="0"/>
            </w:tcBorders>
            <w:shd w:val="clear" w:color="auto" w:fill="FFFFFF" w:themeFill="background1"/>
            <w:noWrap/>
            <w:vAlign w:val="center"/>
          </w:tcPr>
          <w:p w14:paraId="7C21529A">
            <w:pPr>
              <w:jc w:val="left"/>
              <w:rPr>
                <w:rFonts w:hint="eastAsia" w:ascii="宋体" w:hAnsi="宋体" w:eastAsia="宋体" w:cs="宋体"/>
                <w:i w:val="0"/>
                <w:iCs w:val="0"/>
                <w:color w:val="000000"/>
                <w:sz w:val="22"/>
                <w:szCs w:val="22"/>
                <w:u w:val="none"/>
              </w:rPr>
            </w:pPr>
          </w:p>
        </w:tc>
        <w:tc>
          <w:tcPr>
            <w:tcW w:w="2619" w:type="dxa"/>
            <w:gridSpan w:val="2"/>
            <w:tcBorders>
              <w:top w:val="nil"/>
              <w:left w:val="nil"/>
              <w:bottom w:val="single" w:color="000000" w:sz="4" w:space="0"/>
              <w:right w:val="single" w:color="000000" w:sz="4" w:space="0"/>
            </w:tcBorders>
            <w:shd w:val="clear" w:color="auto" w:fill="FFFFFF" w:themeFill="background1"/>
            <w:noWrap/>
            <w:vAlign w:val="center"/>
          </w:tcPr>
          <w:p w14:paraId="7BF259C2">
            <w:pPr>
              <w:jc w:val="left"/>
              <w:rPr>
                <w:rFonts w:hint="eastAsia" w:ascii="宋体" w:hAnsi="宋体" w:eastAsia="宋体" w:cs="宋体"/>
                <w:i w:val="0"/>
                <w:iCs w:val="0"/>
                <w:color w:val="000000"/>
                <w:sz w:val="22"/>
                <w:szCs w:val="22"/>
                <w:u w:val="none"/>
              </w:rPr>
            </w:pPr>
          </w:p>
        </w:tc>
        <w:tc>
          <w:tcPr>
            <w:tcW w:w="1965" w:type="dxa"/>
            <w:tcBorders>
              <w:top w:val="nil"/>
              <w:left w:val="nil"/>
              <w:bottom w:val="single" w:color="000000" w:sz="4" w:space="0"/>
              <w:right w:val="single" w:color="000000" w:sz="4" w:space="0"/>
            </w:tcBorders>
            <w:shd w:val="clear" w:color="auto" w:fill="FFFFFF" w:themeFill="background1"/>
            <w:noWrap/>
            <w:vAlign w:val="center"/>
          </w:tcPr>
          <w:p w14:paraId="1FAF8DC8">
            <w:pPr>
              <w:jc w:val="right"/>
              <w:rPr>
                <w:rFonts w:hint="eastAsia" w:ascii="宋体" w:hAnsi="宋体" w:eastAsia="宋体" w:cs="宋体"/>
                <w:i w:val="0"/>
                <w:iCs w:val="0"/>
                <w:color w:val="000000"/>
                <w:sz w:val="22"/>
                <w:szCs w:val="22"/>
                <w:u w:val="none"/>
              </w:rPr>
            </w:pPr>
          </w:p>
        </w:tc>
        <w:tc>
          <w:tcPr>
            <w:tcW w:w="1770" w:type="dxa"/>
            <w:tcBorders>
              <w:top w:val="nil"/>
              <w:left w:val="nil"/>
              <w:bottom w:val="single" w:color="000000" w:sz="4" w:space="0"/>
              <w:right w:val="single" w:color="000000" w:sz="4" w:space="0"/>
            </w:tcBorders>
            <w:shd w:val="clear" w:color="auto" w:fill="FFFFFF" w:themeFill="background1"/>
            <w:noWrap/>
            <w:vAlign w:val="center"/>
          </w:tcPr>
          <w:p w14:paraId="69C7C649">
            <w:pPr>
              <w:jc w:val="right"/>
              <w:rPr>
                <w:rFonts w:hint="eastAsia" w:ascii="宋体" w:hAnsi="宋体" w:eastAsia="宋体" w:cs="宋体"/>
                <w:i w:val="0"/>
                <w:iCs w:val="0"/>
                <w:color w:val="000000"/>
                <w:sz w:val="22"/>
                <w:szCs w:val="22"/>
                <w:u w:val="none"/>
              </w:rPr>
            </w:pPr>
          </w:p>
        </w:tc>
        <w:tc>
          <w:tcPr>
            <w:tcW w:w="1515" w:type="dxa"/>
            <w:tcBorders>
              <w:top w:val="nil"/>
              <w:left w:val="nil"/>
              <w:bottom w:val="single" w:color="000000" w:sz="4" w:space="0"/>
              <w:right w:val="single" w:color="000000" w:sz="4" w:space="0"/>
            </w:tcBorders>
            <w:shd w:val="clear" w:color="auto" w:fill="FFFFFF" w:themeFill="background1"/>
            <w:noWrap/>
            <w:vAlign w:val="center"/>
          </w:tcPr>
          <w:p w14:paraId="4CA963C9">
            <w:pPr>
              <w:jc w:val="right"/>
              <w:rPr>
                <w:rFonts w:hint="eastAsia" w:ascii="宋体" w:hAnsi="宋体" w:eastAsia="宋体" w:cs="宋体"/>
                <w:i w:val="0"/>
                <w:iCs w:val="0"/>
                <w:color w:val="000000"/>
                <w:sz w:val="22"/>
                <w:szCs w:val="22"/>
                <w:u w:val="none"/>
              </w:rPr>
            </w:pPr>
          </w:p>
        </w:tc>
      </w:tr>
      <w:tr w14:paraId="2F9C4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11766" w:type="dxa"/>
            <w:gridSpan w:val="8"/>
            <w:tcBorders>
              <w:top w:val="nil"/>
              <w:left w:val="nil"/>
              <w:bottom w:val="nil"/>
              <w:right w:val="nil"/>
            </w:tcBorders>
            <w:shd w:val="clear" w:color="auto" w:fill="FFFFFF" w:themeFill="background1"/>
            <w:noWrap/>
            <w:vAlign w:val="center"/>
          </w:tcPr>
          <w:p w14:paraId="2D1878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59CDB5AF">
      <w:pPr>
        <w:widowControl/>
        <w:jc w:val="both"/>
        <w:rPr>
          <w:sz w:val="72"/>
          <w:szCs w:val="72"/>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p w14:paraId="02DC053D">
      <w:pPr>
        <w:widowControl/>
        <w:jc w:val="both"/>
        <w:rPr>
          <w:sz w:val="72"/>
          <w:szCs w:val="72"/>
        </w:rPr>
      </w:pPr>
    </w:p>
    <w:p w14:paraId="0F915035">
      <w:pPr>
        <w:widowControl/>
        <w:jc w:val="both"/>
        <w:rPr>
          <w:sz w:val="72"/>
          <w:szCs w:val="72"/>
        </w:rPr>
      </w:pPr>
    </w:p>
    <w:p w14:paraId="46CDC297">
      <w:pPr>
        <w:widowControl/>
        <w:jc w:val="both"/>
        <w:rPr>
          <w:sz w:val="72"/>
          <w:szCs w:val="72"/>
        </w:rPr>
      </w:pPr>
    </w:p>
    <w:p w14:paraId="16B91564">
      <w:pPr>
        <w:widowControl/>
        <w:jc w:val="both"/>
        <w:rPr>
          <w:sz w:val="72"/>
          <w:szCs w:val="72"/>
        </w:rPr>
      </w:pPr>
    </w:p>
    <w:p w14:paraId="1E956F45">
      <w:pPr>
        <w:widowControl/>
        <w:jc w:val="both"/>
        <w:rPr>
          <w:sz w:val="72"/>
          <w:szCs w:val="72"/>
        </w:rPr>
      </w:pPr>
    </w:p>
    <w:p w14:paraId="6ACBC8E5">
      <w:pPr>
        <w:widowControl/>
        <w:jc w:val="both"/>
        <w:rPr>
          <w:sz w:val="72"/>
          <w:szCs w:val="72"/>
        </w:rPr>
      </w:pPr>
    </w:p>
    <w:tbl>
      <w:tblPr>
        <w:tblStyle w:val="5"/>
        <w:tblW w:w="15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Layout w:type="autofit"/>
        <w:tblCellMar>
          <w:top w:w="0" w:type="dxa"/>
          <w:left w:w="108" w:type="dxa"/>
          <w:bottom w:w="0" w:type="dxa"/>
          <w:right w:w="108" w:type="dxa"/>
        </w:tblCellMar>
      </w:tblPr>
      <w:tblGrid>
        <w:gridCol w:w="2816"/>
        <w:gridCol w:w="1185"/>
        <w:gridCol w:w="1091"/>
        <w:gridCol w:w="1091"/>
        <w:gridCol w:w="1091"/>
        <w:gridCol w:w="1091"/>
        <w:gridCol w:w="1018"/>
        <w:gridCol w:w="1140"/>
        <w:gridCol w:w="1059"/>
        <w:gridCol w:w="1018"/>
        <w:gridCol w:w="1085"/>
        <w:gridCol w:w="1616"/>
      </w:tblGrid>
      <w:tr w14:paraId="289EC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PrEx>
        <w:trPr>
          <w:trHeight w:val="540" w:hRule="atLeast"/>
        </w:trPr>
        <w:tc>
          <w:tcPr>
            <w:tcW w:w="15300" w:type="dxa"/>
            <w:gridSpan w:val="12"/>
            <w:tcBorders>
              <w:top w:val="nil"/>
              <w:left w:val="nil"/>
              <w:bottom w:val="nil"/>
              <w:right w:val="nil"/>
            </w:tcBorders>
            <w:shd w:val="clear" w:color="auto" w:fill="FFFFFF" w:themeFill="background1"/>
            <w:noWrap/>
            <w:vAlign w:val="bottom"/>
          </w:tcPr>
          <w:p w14:paraId="73F24F96">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14:paraId="3B318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FFFFFF" w:themeFill="background1"/>
            <w:noWrap/>
            <w:vAlign w:val="bottom"/>
          </w:tcPr>
          <w:p w14:paraId="47266E7B">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68A0395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59EE86C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E206EF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1F57399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01812D4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9FEF4B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37A16C7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318A835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329A4EA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05AD608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1439E1A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34797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FFFFFF" w:themeFill="background1"/>
            <w:noWrap/>
            <w:vAlign w:val="bottom"/>
          </w:tcPr>
          <w:p w14:paraId="4B89C2A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部门：溆浦县教育局（本级）</w:t>
            </w:r>
          </w:p>
        </w:tc>
        <w:tc>
          <w:tcPr>
            <w:tcW w:w="0" w:type="auto"/>
            <w:tcBorders>
              <w:top w:val="nil"/>
              <w:left w:val="nil"/>
              <w:bottom w:val="nil"/>
              <w:right w:val="nil"/>
            </w:tcBorders>
            <w:shd w:val="clear" w:color="auto" w:fill="FFFFFF" w:themeFill="background1"/>
            <w:noWrap/>
            <w:vAlign w:val="bottom"/>
          </w:tcPr>
          <w:p w14:paraId="179B0A5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461C952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F5E4C6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31F68EA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585D45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0A86856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16D2330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BA29DC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5D67C3D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65C20CE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FFFFFF" w:themeFill="background1"/>
            <w:noWrap/>
            <w:vAlign w:val="bottom"/>
          </w:tcPr>
          <w:p w14:paraId="745D3C7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3C59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7980" w:type="dxa"/>
            <w:gridSpan w:val="6"/>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8C69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320" w:type="dxa"/>
            <w:gridSpan w:val="6"/>
            <w:tcBorders>
              <w:top w:val="single" w:color="000000" w:sz="4" w:space="0"/>
              <w:left w:val="nil"/>
              <w:bottom w:val="single" w:color="000000" w:sz="4" w:space="0"/>
              <w:right w:val="single" w:color="000000" w:sz="4" w:space="0"/>
            </w:tcBorders>
            <w:shd w:val="clear" w:color="auto" w:fill="FFFFFF" w:themeFill="background1"/>
            <w:vAlign w:val="center"/>
          </w:tcPr>
          <w:p w14:paraId="5DF3C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60415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1155" w:type="dxa"/>
            <w:vMerge w:val="restart"/>
            <w:tcBorders>
              <w:top w:val="nil"/>
              <w:left w:val="single" w:color="000000" w:sz="4" w:space="0"/>
              <w:bottom w:val="single" w:color="000000" w:sz="4" w:space="0"/>
              <w:right w:val="single" w:color="000000" w:sz="4" w:space="0"/>
            </w:tcBorders>
            <w:shd w:val="clear" w:color="auto" w:fill="FFFFFF" w:themeFill="background1"/>
            <w:vAlign w:val="center"/>
          </w:tcPr>
          <w:p w14:paraId="54BC88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85" w:type="dxa"/>
            <w:vMerge w:val="restart"/>
            <w:tcBorders>
              <w:top w:val="nil"/>
              <w:left w:val="nil"/>
              <w:bottom w:val="single" w:color="000000" w:sz="4" w:space="0"/>
              <w:right w:val="single" w:color="000000" w:sz="4" w:space="0"/>
            </w:tcBorders>
            <w:shd w:val="clear" w:color="auto" w:fill="FFFFFF" w:themeFill="background1"/>
            <w:vAlign w:val="center"/>
          </w:tcPr>
          <w:p w14:paraId="76313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nil"/>
              <w:left w:val="nil"/>
              <w:bottom w:val="single" w:color="000000" w:sz="4" w:space="0"/>
              <w:right w:val="single" w:color="000000" w:sz="4" w:space="0"/>
            </w:tcBorders>
            <w:shd w:val="clear" w:color="auto" w:fill="FFFFFF" w:themeFill="background1"/>
            <w:vAlign w:val="center"/>
          </w:tcPr>
          <w:p w14:paraId="2D6B6B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nil"/>
              <w:left w:val="nil"/>
              <w:bottom w:val="single" w:color="000000" w:sz="4" w:space="0"/>
              <w:right w:val="single" w:color="000000" w:sz="4" w:space="0"/>
            </w:tcBorders>
            <w:shd w:val="clear" w:color="auto" w:fill="FFFFFF" w:themeFill="background1"/>
            <w:vAlign w:val="center"/>
          </w:tcPr>
          <w:p w14:paraId="48249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065" w:type="dxa"/>
            <w:vMerge w:val="restart"/>
            <w:tcBorders>
              <w:top w:val="nil"/>
              <w:left w:val="nil"/>
              <w:bottom w:val="single" w:color="000000" w:sz="4" w:space="0"/>
              <w:right w:val="single" w:color="000000" w:sz="4" w:space="0"/>
            </w:tcBorders>
            <w:shd w:val="clear" w:color="auto" w:fill="FFFFFF" w:themeFill="background1"/>
            <w:vAlign w:val="center"/>
          </w:tcPr>
          <w:p w14:paraId="15759F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40" w:type="dxa"/>
            <w:vMerge w:val="restart"/>
            <w:tcBorders>
              <w:top w:val="nil"/>
              <w:left w:val="nil"/>
              <w:bottom w:val="single" w:color="000000" w:sz="4" w:space="0"/>
              <w:right w:val="single" w:color="000000" w:sz="4" w:space="0"/>
            </w:tcBorders>
            <w:shd w:val="clear" w:color="auto" w:fill="FFFFFF" w:themeFill="background1"/>
            <w:vAlign w:val="center"/>
          </w:tcPr>
          <w:p w14:paraId="2F886E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705" w:type="dxa"/>
            <w:gridSpan w:val="3"/>
            <w:tcBorders>
              <w:top w:val="nil"/>
              <w:left w:val="nil"/>
              <w:bottom w:val="single" w:color="000000" w:sz="4" w:space="0"/>
              <w:right w:val="single" w:color="000000" w:sz="4" w:space="0"/>
            </w:tcBorders>
            <w:shd w:val="clear" w:color="auto" w:fill="FFFFFF" w:themeFill="background1"/>
            <w:vAlign w:val="center"/>
          </w:tcPr>
          <w:p w14:paraId="1A806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nil"/>
              <w:left w:val="nil"/>
              <w:bottom w:val="single" w:color="000000" w:sz="4" w:space="0"/>
              <w:right w:val="single" w:color="000000" w:sz="4" w:space="0"/>
            </w:tcBorders>
            <w:shd w:val="clear" w:color="auto" w:fill="FFFFFF" w:themeFill="background1"/>
            <w:vAlign w:val="center"/>
          </w:tcPr>
          <w:p w14:paraId="3F3AF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27013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155" w:type="dxa"/>
            <w:vMerge w:val="continue"/>
            <w:tcBorders>
              <w:top w:val="nil"/>
              <w:left w:val="single" w:color="000000" w:sz="4" w:space="0"/>
              <w:bottom w:val="single" w:color="000000" w:sz="4" w:space="0"/>
              <w:right w:val="single" w:color="000000" w:sz="4" w:space="0"/>
            </w:tcBorders>
            <w:shd w:val="clear" w:color="auto" w:fill="FFFFFF" w:themeFill="background1"/>
            <w:vAlign w:val="center"/>
          </w:tcPr>
          <w:p w14:paraId="7A584768">
            <w:pPr>
              <w:jc w:val="center"/>
              <w:rPr>
                <w:rFonts w:hint="eastAsia" w:ascii="宋体" w:hAnsi="宋体" w:eastAsia="宋体" w:cs="宋体"/>
                <w:i w:val="0"/>
                <w:iCs w:val="0"/>
                <w:color w:val="000000"/>
                <w:sz w:val="22"/>
                <w:szCs w:val="22"/>
                <w:u w:val="none"/>
              </w:rPr>
            </w:pPr>
          </w:p>
        </w:tc>
        <w:tc>
          <w:tcPr>
            <w:tcW w:w="1185" w:type="dxa"/>
            <w:vMerge w:val="continue"/>
            <w:tcBorders>
              <w:top w:val="nil"/>
              <w:left w:val="nil"/>
              <w:bottom w:val="single" w:color="000000" w:sz="4" w:space="0"/>
              <w:right w:val="single" w:color="000000" w:sz="4" w:space="0"/>
            </w:tcBorders>
            <w:shd w:val="clear" w:color="auto" w:fill="FFFFFF" w:themeFill="background1"/>
            <w:vAlign w:val="center"/>
          </w:tcPr>
          <w:p w14:paraId="23014029">
            <w:pPr>
              <w:jc w:val="center"/>
              <w:rPr>
                <w:rFonts w:hint="eastAsia" w:ascii="宋体" w:hAnsi="宋体" w:eastAsia="宋体" w:cs="宋体"/>
                <w:i w:val="0"/>
                <w:iCs w:val="0"/>
                <w:color w:val="000000"/>
                <w:sz w:val="22"/>
                <w:szCs w:val="22"/>
                <w:u w:val="none"/>
              </w:rPr>
            </w:pPr>
          </w:p>
        </w:tc>
        <w:tc>
          <w:tcPr>
            <w:tcW w:w="1410" w:type="dxa"/>
            <w:tcBorders>
              <w:top w:val="nil"/>
              <w:left w:val="nil"/>
              <w:bottom w:val="single" w:color="000000" w:sz="4" w:space="0"/>
              <w:right w:val="single" w:color="000000" w:sz="4" w:space="0"/>
            </w:tcBorders>
            <w:shd w:val="clear" w:color="auto" w:fill="FFFFFF" w:themeFill="background1"/>
            <w:vAlign w:val="center"/>
          </w:tcPr>
          <w:p w14:paraId="428090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nil"/>
              <w:left w:val="nil"/>
              <w:bottom w:val="single" w:color="000000" w:sz="4" w:space="0"/>
              <w:right w:val="single" w:color="000000" w:sz="4" w:space="0"/>
            </w:tcBorders>
            <w:shd w:val="clear" w:color="auto" w:fill="FFFFFF" w:themeFill="background1"/>
            <w:vAlign w:val="center"/>
          </w:tcPr>
          <w:p w14:paraId="5EF61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nil"/>
              <w:left w:val="nil"/>
              <w:bottom w:val="single" w:color="000000" w:sz="4" w:space="0"/>
              <w:right w:val="single" w:color="000000" w:sz="4" w:space="0"/>
            </w:tcBorders>
            <w:shd w:val="clear" w:color="auto" w:fill="FFFFFF" w:themeFill="background1"/>
            <w:vAlign w:val="center"/>
          </w:tcPr>
          <w:p w14:paraId="5D34C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nil"/>
              <w:left w:val="nil"/>
              <w:bottom w:val="single" w:color="000000" w:sz="4" w:space="0"/>
              <w:right w:val="single" w:color="000000" w:sz="4" w:space="0"/>
            </w:tcBorders>
            <w:shd w:val="clear" w:color="auto" w:fill="FFFFFF" w:themeFill="background1"/>
            <w:vAlign w:val="center"/>
          </w:tcPr>
          <w:p w14:paraId="3DF69E8D">
            <w:pPr>
              <w:jc w:val="center"/>
              <w:rPr>
                <w:rFonts w:hint="eastAsia" w:ascii="宋体" w:hAnsi="宋体" w:eastAsia="宋体" w:cs="宋体"/>
                <w:i w:val="0"/>
                <w:iCs w:val="0"/>
                <w:color w:val="000000"/>
                <w:sz w:val="22"/>
                <w:szCs w:val="22"/>
                <w:u w:val="none"/>
              </w:rPr>
            </w:pPr>
          </w:p>
        </w:tc>
        <w:tc>
          <w:tcPr>
            <w:tcW w:w="1065" w:type="dxa"/>
            <w:vMerge w:val="continue"/>
            <w:tcBorders>
              <w:top w:val="nil"/>
              <w:left w:val="nil"/>
              <w:bottom w:val="single" w:color="000000" w:sz="4" w:space="0"/>
              <w:right w:val="single" w:color="000000" w:sz="4" w:space="0"/>
            </w:tcBorders>
            <w:shd w:val="clear" w:color="auto" w:fill="FFFFFF" w:themeFill="background1"/>
            <w:vAlign w:val="center"/>
          </w:tcPr>
          <w:p w14:paraId="11F931E2">
            <w:pPr>
              <w:jc w:val="center"/>
              <w:rPr>
                <w:rFonts w:hint="eastAsia" w:ascii="宋体" w:hAnsi="宋体" w:eastAsia="宋体" w:cs="宋体"/>
                <w:i w:val="0"/>
                <w:iCs w:val="0"/>
                <w:color w:val="000000"/>
                <w:sz w:val="22"/>
                <w:szCs w:val="22"/>
                <w:u w:val="none"/>
              </w:rPr>
            </w:pPr>
          </w:p>
        </w:tc>
        <w:tc>
          <w:tcPr>
            <w:tcW w:w="1140" w:type="dxa"/>
            <w:vMerge w:val="continue"/>
            <w:tcBorders>
              <w:top w:val="nil"/>
              <w:left w:val="nil"/>
              <w:bottom w:val="single" w:color="000000" w:sz="4" w:space="0"/>
              <w:right w:val="single" w:color="000000" w:sz="4" w:space="0"/>
            </w:tcBorders>
            <w:shd w:val="clear" w:color="auto" w:fill="FFFFFF" w:themeFill="background1"/>
            <w:vAlign w:val="center"/>
          </w:tcPr>
          <w:p w14:paraId="0001C33F">
            <w:pPr>
              <w:jc w:val="center"/>
              <w:rPr>
                <w:rFonts w:hint="eastAsia" w:ascii="宋体" w:hAnsi="宋体" w:eastAsia="宋体" w:cs="宋体"/>
                <w:i w:val="0"/>
                <w:iCs w:val="0"/>
                <w:color w:val="000000"/>
                <w:sz w:val="22"/>
                <w:szCs w:val="22"/>
                <w:u w:val="none"/>
              </w:rPr>
            </w:pPr>
          </w:p>
        </w:tc>
        <w:tc>
          <w:tcPr>
            <w:tcW w:w="1260" w:type="dxa"/>
            <w:tcBorders>
              <w:top w:val="nil"/>
              <w:left w:val="nil"/>
              <w:bottom w:val="single" w:color="000000" w:sz="4" w:space="0"/>
              <w:right w:val="single" w:color="000000" w:sz="4" w:space="0"/>
            </w:tcBorders>
            <w:shd w:val="clear" w:color="auto" w:fill="FFFFFF" w:themeFill="background1"/>
            <w:vAlign w:val="center"/>
          </w:tcPr>
          <w:p w14:paraId="5105B4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065" w:type="dxa"/>
            <w:tcBorders>
              <w:top w:val="nil"/>
              <w:left w:val="nil"/>
              <w:bottom w:val="single" w:color="000000" w:sz="4" w:space="0"/>
              <w:right w:val="single" w:color="000000" w:sz="4" w:space="0"/>
            </w:tcBorders>
            <w:shd w:val="clear" w:color="auto" w:fill="FFFFFF" w:themeFill="background1"/>
            <w:vAlign w:val="center"/>
          </w:tcPr>
          <w:p w14:paraId="4FD6A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380" w:type="dxa"/>
            <w:tcBorders>
              <w:top w:val="nil"/>
              <w:left w:val="nil"/>
              <w:bottom w:val="single" w:color="000000" w:sz="4" w:space="0"/>
              <w:right w:val="single" w:color="000000" w:sz="4" w:space="0"/>
            </w:tcBorders>
            <w:shd w:val="clear" w:color="auto" w:fill="FFFFFF" w:themeFill="background1"/>
            <w:vAlign w:val="center"/>
          </w:tcPr>
          <w:p w14:paraId="56A18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nil"/>
              <w:left w:val="nil"/>
              <w:bottom w:val="single" w:color="000000" w:sz="4" w:space="0"/>
              <w:right w:val="single" w:color="000000" w:sz="4" w:space="0"/>
            </w:tcBorders>
            <w:shd w:val="clear" w:color="auto" w:fill="FFFFFF" w:themeFill="background1"/>
            <w:vAlign w:val="center"/>
          </w:tcPr>
          <w:p w14:paraId="3805FC9E">
            <w:pPr>
              <w:jc w:val="center"/>
              <w:rPr>
                <w:rFonts w:hint="eastAsia" w:ascii="宋体" w:hAnsi="宋体" w:eastAsia="宋体" w:cs="宋体"/>
                <w:i w:val="0"/>
                <w:iCs w:val="0"/>
                <w:color w:val="000000"/>
                <w:sz w:val="22"/>
                <w:szCs w:val="22"/>
                <w:u w:val="none"/>
              </w:rPr>
            </w:pPr>
          </w:p>
        </w:tc>
      </w:tr>
      <w:tr w14:paraId="248C4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1155" w:type="dxa"/>
            <w:tcBorders>
              <w:top w:val="nil"/>
              <w:left w:val="single" w:color="000000" w:sz="4" w:space="0"/>
              <w:bottom w:val="single" w:color="000000" w:sz="4" w:space="0"/>
              <w:right w:val="single" w:color="000000" w:sz="4" w:space="0"/>
            </w:tcBorders>
            <w:shd w:val="clear" w:color="auto" w:fill="FFFFFF" w:themeFill="background1"/>
            <w:vAlign w:val="center"/>
          </w:tcPr>
          <w:p w14:paraId="5E29F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85" w:type="dxa"/>
            <w:tcBorders>
              <w:top w:val="nil"/>
              <w:left w:val="nil"/>
              <w:bottom w:val="single" w:color="000000" w:sz="4" w:space="0"/>
              <w:right w:val="single" w:color="000000" w:sz="4" w:space="0"/>
            </w:tcBorders>
            <w:shd w:val="clear" w:color="auto" w:fill="FFFFFF" w:themeFill="background1"/>
            <w:vAlign w:val="center"/>
          </w:tcPr>
          <w:p w14:paraId="5EB9C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nil"/>
              <w:left w:val="nil"/>
              <w:bottom w:val="single" w:color="000000" w:sz="4" w:space="0"/>
              <w:right w:val="single" w:color="000000" w:sz="4" w:space="0"/>
            </w:tcBorders>
            <w:shd w:val="clear" w:color="auto" w:fill="FFFFFF" w:themeFill="background1"/>
            <w:vAlign w:val="center"/>
          </w:tcPr>
          <w:p w14:paraId="62447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nil"/>
              <w:left w:val="nil"/>
              <w:bottom w:val="single" w:color="000000" w:sz="4" w:space="0"/>
              <w:right w:val="single" w:color="000000" w:sz="4" w:space="0"/>
            </w:tcBorders>
            <w:shd w:val="clear" w:color="auto" w:fill="FFFFFF" w:themeFill="background1"/>
            <w:vAlign w:val="center"/>
          </w:tcPr>
          <w:p w14:paraId="0A588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nil"/>
              <w:left w:val="nil"/>
              <w:bottom w:val="single" w:color="000000" w:sz="4" w:space="0"/>
              <w:right w:val="single" w:color="000000" w:sz="4" w:space="0"/>
            </w:tcBorders>
            <w:shd w:val="clear" w:color="auto" w:fill="FFFFFF" w:themeFill="background1"/>
            <w:vAlign w:val="center"/>
          </w:tcPr>
          <w:p w14:paraId="7691D3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nil"/>
              <w:left w:val="nil"/>
              <w:bottom w:val="single" w:color="000000" w:sz="4" w:space="0"/>
              <w:right w:val="single" w:color="000000" w:sz="4" w:space="0"/>
            </w:tcBorders>
            <w:shd w:val="clear" w:color="auto" w:fill="FFFFFF" w:themeFill="background1"/>
            <w:vAlign w:val="center"/>
          </w:tcPr>
          <w:p w14:paraId="3F18FA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65" w:type="dxa"/>
            <w:tcBorders>
              <w:top w:val="nil"/>
              <w:left w:val="nil"/>
              <w:bottom w:val="single" w:color="000000" w:sz="4" w:space="0"/>
              <w:right w:val="single" w:color="000000" w:sz="4" w:space="0"/>
            </w:tcBorders>
            <w:shd w:val="clear" w:color="auto" w:fill="FFFFFF" w:themeFill="background1"/>
            <w:vAlign w:val="center"/>
          </w:tcPr>
          <w:p w14:paraId="06A03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40" w:type="dxa"/>
            <w:tcBorders>
              <w:top w:val="nil"/>
              <w:left w:val="nil"/>
              <w:bottom w:val="single" w:color="000000" w:sz="4" w:space="0"/>
              <w:right w:val="single" w:color="000000" w:sz="4" w:space="0"/>
            </w:tcBorders>
            <w:shd w:val="clear" w:color="auto" w:fill="FFFFFF" w:themeFill="background1"/>
            <w:vAlign w:val="center"/>
          </w:tcPr>
          <w:p w14:paraId="25C9D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60" w:type="dxa"/>
            <w:tcBorders>
              <w:top w:val="nil"/>
              <w:left w:val="nil"/>
              <w:bottom w:val="single" w:color="000000" w:sz="4" w:space="0"/>
              <w:right w:val="single" w:color="000000" w:sz="4" w:space="0"/>
            </w:tcBorders>
            <w:shd w:val="clear" w:color="auto" w:fill="FFFFFF" w:themeFill="background1"/>
            <w:vAlign w:val="center"/>
          </w:tcPr>
          <w:p w14:paraId="0FAB7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065" w:type="dxa"/>
            <w:tcBorders>
              <w:top w:val="nil"/>
              <w:left w:val="nil"/>
              <w:bottom w:val="single" w:color="000000" w:sz="4" w:space="0"/>
              <w:right w:val="single" w:color="000000" w:sz="4" w:space="0"/>
            </w:tcBorders>
            <w:shd w:val="clear" w:color="auto" w:fill="FFFFFF" w:themeFill="background1"/>
            <w:vAlign w:val="center"/>
          </w:tcPr>
          <w:p w14:paraId="09124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80" w:type="dxa"/>
            <w:tcBorders>
              <w:top w:val="nil"/>
              <w:left w:val="nil"/>
              <w:bottom w:val="single" w:color="000000" w:sz="4" w:space="0"/>
              <w:right w:val="single" w:color="000000" w:sz="4" w:space="0"/>
            </w:tcBorders>
            <w:shd w:val="clear" w:color="auto" w:fill="FFFFFF" w:themeFill="background1"/>
            <w:vAlign w:val="center"/>
          </w:tcPr>
          <w:p w14:paraId="510B1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nil"/>
              <w:left w:val="nil"/>
              <w:bottom w:val="single" w:color="000000" w:sz="4" w:space="0"/>
              <w:right w:val="single" w:color="000000" w:sz="4" w:space="0"/>
            </w:tcBorders>
            <w:shd w:val="clear" w:color="auto" w:fill="FFFFFF" w:themeFill="background1"/>
            <w:vAlign w:val="center"/>
          </w:tcPr>
          <w:p w14:paraId="143350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031EC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FFFFFF" w:themeFill="background1"/>
            <w:noWrap/>
            <w:vAlign w:val="center"/>
          </w:tcPr>
          <w:p w14:paraId="401117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5D4C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4B6F36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6B64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5ECFDD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8EAE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7D8CF7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349F66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B327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252D9D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1BB70F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FFFFFF" w:themeFill="background1"/>
            <w:noWrap/>
            <w:vAlign w:val="center"/>
          </w:tcPr>
          <w:p w14:paraId="0A83EF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r>
      <w:tr w14:paraId="6302B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hemeFill="background1"/>
          <w:tblCellMar>
            <w:top w:w="0" w:type="dxa"/>
            <w:left w:w="108" w:type="dxa"/>
            <w:bottom w:w="0" w:type="dxa"/>
            <w:right w:w="108" w:type="dxa"/>
          </w:tblCellMar>
        </w:tblPrEx>
        <w:trPr>
          <w:trHeight w:val="615" w:hRule="atLeast"/>
        </w:trPr>
        <w:tc>
          <w:tcPr>
            <w:tcW w:w="15300" w:type="dxa"/>
            <w:gridSpan w:val="12"/>
            <w:tcBorders>
              <w:top w:val="nil"/>
              <w:left w:val="nil"/>
              <w:bottom w:val="nil"/>
              <w:right w:val="nil"/>
            </w:tcBorders>
            <w:shd w:val="clear" w:color="auto" w:fill="FFFFFF" w:themeFill="background1"/>
            <w:vAlign w:val="center"/>
          </w:tcPr>
          <w:p w14:paraId="154037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4DBC78A">
      <w:pPr>
        <w:widowControl/>
        <w:jc w:val="both"/>
        <w:rPr>
          <w:sz w:val="72"/>
          <w:szCs w:val="72"/>
        </w:rPr>
      </w:pPr>
    </w:p>
    <w:p w14:paraId="6B9FA4B5">
      <w:pPr>
        <w:widowControl/>
        <w:jc w:val="both"/>
        <w:rPr>
          <w:sz w:val="72"/>
          <w:szCs w:val="72"/>
        </w:rPr>
      </w:pPr>
    </w:p>
    <w:p w14:paraId="00795D02">
      <w:pPr>
        <w:widowControl/>
        <w:jc w:val="both"/>
        <w:rPr>
          <w:sz w:val="72"/>
          <w:szCs w:val="72"/>
        </w:rPr>
        <w:sectPr>
          <w:pgSz w:w="16838" w:h="11906" w:orient="landscape"/>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pPr>
    </w:p>
    <w:p w14:paraId="5821A71B">
      <w:pPr>
        <w:pStyle w:val="9"/>
        <w:rPr>
          <w:sz w:val="72"/>
          <w:szCs w:val="72"/>
        </w:rPr>
      </w:pPr>
    </w:p>
    <w:p w14:paraId="1201DC7B">
      <w:pPr>
        <w:pStyle w:val="9"/>
        <w:rPr>
          <w:sz w:val="72"/>
          <w:szCs w:val="72"/>
        </w:rPr>
      </w:pPr>
    </w:p>
    <w:p w14:paraId="5E4EBA35">
      <w:pPr>
        <w:pStyle w:val="9"/>
        <w:rPr>
          <w:sz w:val="72"/>
          <w:szCs w:val="72"/>
        </w:rPr>
      </w:pPr>
    </w:p>
    <w:p w14:paraId="6C8DBD45">
      <w:pPr>
        <w:pStyle w:val="9"/>
        <w:rPr>
          <w:sz w:val="72"/>
          <w:szCs w:val="72"/>
        </w:rPr>
      </w:pPr>
    </w:p>
    <w:p w14:paraId="4748663F">
      <w:pPr>
        <w:pStyle w:val="9"/>
        <w:jc w:val="center"/>
        <w:rPr>
          <w:sz w:val="72"/>
          <w:szCs w:val="72"/>
        </w:rPr>
      </w:pPr>
    </w:p>
    <w:p w14:paraId="1E9D847F">
      <w:pPr>
        <w:pStyle w:val="9"/>
        <w:jc w:val="center"/>
        <w:rPr>
          <w:rFonts w:hint="eastAsia" w:ascii="方正小标宋_GBK" w:hAnsi="方正小标宋_GBK" w:eastAsia="方正小标宋_GBK" w:cs="方正小标宋_GBK"/>
          <w:sz w:val="72"/>
          <w:szCs w:val="72"/>
        </w:rPr>
      </w:pPr>
    </w:p>
    <w:p w14:paraId="33C695A0">
      <w:pPr>
        <w:pStyle w:val="9"/>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BDE9612">
      <w:pPr>
        <w:pStyle w:val="9"/>
        <w:jc w:val="center"/>
        <w:rPr>
          <w:rFonts w:hint="eastAsia" w:ascii="方正小标宋_GBK" w:hAnsi="方正小标宋_GBK" w:eastAsia="方正小标宋_GBK" w:cs="方正小标宋_GBK"/>
          <w:sz w:val="70"/>
          <w:szCs w:val="70"/>
        </w:rPr>
      </w:pPr>
    </w:p>
    <w:p w14:paraId="6CE73809">
      <w:pPr>
        <w:pStyle w:val="9"/>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6351C99B">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02D75E4">
      <w:pPr>
        <w:pStyle w:val="9"/>
        <w:rPr>
          <w:rFonts w:hAnsi="黑体"/>
          <w:b/>
          <w:sz w:val="32"/>
          <w:szCs w:val="32"/>
        </w:rPr>
      </w:pPr>
      <w:r>
        <w:rPr>
          <w:rFonts w:hint="eastAsia" w:hAnsi="黑体"/>
          <w:b/>
          <w:sz w:val="32"/>
          <w:szCs w:val="32"/>
        </w:rPr>
        <w:t>一、收入支出决算总体情况说明</w:t>
      </w:r>
    </w:p>
    <w:p w14:paraId="49B47796">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年度收、支总计14736.74万元。与上年相比，增加</w:t>
      </w:r>
      <w:r>
        <w:rPr>
          <w:rFonts w:hint="eastAsia" w:asciiTheme="minorEastAsia" w:hAnsiTheme="minorEastAsia" w:eastAsiaTheme="minorEastAsia"/>
          <w:sz w:val="32"/>
          <w:szCs w:val="32"/>
          <w:lang w:val="en-US" w:eastAsia="zh-CN"/>
        </w:rPr>
        <w:t>12185.75</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477.69</w:t>
      </w:r>
      <w:r>
        <w:rPr>
          <w:rFonts w:hint="eastAsia" w:asciiTheme="minorEastAsia" w:hAnsiTheme="minorEastAsia" w:eastAsiaTheme="minorEastAsia"/>
          <w:sz w:val="32"/>
          <w:szCs w:val="32"/>
        </w:rPr>
        <w:t>%，主要是因为其他收入费用增加。</w:t>
      </w:r>
    </w:p>
    <w:p w14:paraId="45FDF58B">
      <w:pPr>
        <w:pStyle w:val="9"/>
        <w:rPr>
          <w:rFonts w:hAnsi="黑体"/>
          <w:b/>
          <w:sz w:val="32"/>
          <w:szCs w:val="32"/>
        </w:rPr>
      </w:pPr>
      <w:r>
        <w:rPr>
          <w:rFonts w:hint="eastAsia" w:hAnsi="黑体"/>
          <w:b/>
          <w:sz w:val="32"/>
          <w:szCs w:val="32"/>
        </w:rPr>
        <w:t>二、收入决算情况说明</w:t>
      </w:r>
    </w:p>
    <w:p w14:paraId="194A7800">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年度收入合计14736.74万元，其中：财政拨款收入14304.65万元，占</w:t>
      </w:r>
      <w:r>
        <w:rPr>
          <w:rFonts w:hint="eastAsia" w:asciiTheme="minorEastAsia" w:hAnsiTheme="minorEastAsia" w:eastAsiaTheme="minorEastAsia"/>
          <w:sz w:val="32"/>
          <w:szCs w:val="32"/>
          <w:lang w:val="en-US" w:eastAsia="zh-CN"/>
        </w:rPr>
        <w:t>97.07</w:t>
      </w:r>
      <w:r>
        <w:rPr>
          <w:rFonts w:hint="eastAsia" w:asciiTheme="minorEastAsia" w:hAnsiTheme="minorEastAsia" w:eastAsiaTheme="minorEastAsia"/>
          <w:sz w:val="32"/>
          <w:szCs w:val="32"/>
        </w:rPr>
        <w:t>%；上级补助收入0万元，附属单位上缴收入0万元，占0%；其他收入</w:t>
      </w:r>
      <w:r>
        <w:rPr>
          <w:rFonts w:hint="eastAsia" w:asciiTheme="minorEastAsia" w:hAnsiTheme="minorEastAsia" w:eastAsiaTheme="minorEastAsia"/>
          <w:sz w:val="32"/>
          <w:szCs w:val="32"/>
          <w:lang w:val="en-US" w:eastAsia="zh-CN"/>
        </w:rPr>
        <w:t>432.09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2.93</w:t>
      </w:r>
      <w:r>
        <w:rPr>
          <w:rFonts w:hint="eastAsia" w:asciiTheme="minorEastAsia" w:hAnsiTheme="minorEastAsia" w:eastAsiaTheme="minorEastAsia"/>
          <w:sz w:val="32"/>
          <w:szCs w:val="32"/>
        </w:rPr>
        <w:t>%。</w:t>
      </w:r>
    </w:p>
    <w:p w14:paraId="7D43F69F">
      <w:pPr>
        <w:pStyle w:val="9"/>
        <w:rPr>
          <w:rFonts w:hAnsi="黑体"/>
          <w:b/>
          <w:sz w:val="32"/>
          <w:szCs w:val="32"/>
        </w:rPr>
      </w:pPr>
      <w:r>
        <w:rPr>
          <w:rFonts w:hint="eastAsia" w:hAnsi="黑体"/>
          <w:b/>
          <w:sz w:val="32"/>
          <w:szCs w:val="32"/>
        </w:rPr>
        <w:t>三、支出决算情况说明</w:t>
      </w:r>
    </w:p>
    <w:p w14:paraId="6F936AF8">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年度支出合计14736.74万元，其中：基本支出6260.46万元，占</w:t>
      </w:r>
      <w:r>
        <w:rPr>
          <w:rFonts w:hint="eastAsia" w:asciiTheme="minorEastAsia" w:hAnsiTheme="minorEastAsia" w:eastAsiaTheme="minorEastAsia"/>
          <w:sz w:val="32"/>
          <w:szCs w:val="32"/>
          <w:lang w:val="en-US" w:eastAsia="zh-CN"/>
        </w:rPr>
        <w:t>42.48</w:t>
      </w:r>
      <w:r>
        <w:rPr>
          <w:rFonts w:hint="eastAsia" w:asciiTheme="minorEastAsia" w:hAnsiTheme="minorEastAsia" w:eastAsiaTheme="minorEastAsia"/>
          <w:sz w:val="32"/>
          <w:szCs w:val="32"/>
        </w:rPr>
        <w:t>%；项目支出8476.28万元，占</w:t>
      </w:r>
      <w:r>
        <w:rPr>
          <w:rFonts w:hint="eastAsia" w:asciiTheme="minorEastAsia" w:hAnsiTheme="minorEastAsia" w:eastAsiaTheme="minorEastAsia"/>
          <w:sz w:val="32"/>
          <w:szCs w:val="32"/>
          <w:lang w:val="en-US" w:eastAsia="zh-CN"/>
        </w:rPr>
        <w:t>57.52</w:t>
      </w:r>
      <w:r>
        <w:rPr>
          <w:rFonts w:hint="eastAsia" w:asciiTheme="minorEastAsia" w:hAnsiTheme="minorEastAsia" w:eastAsiaTheme="minorEastAsia"/>
          <w:sz w:val="32"/>
          <w:szCs w:val="32"/>
        </w:rPr>
        <w:t>%；上缴上级支出0万元，占0%；经营支出0万元，占0%；对附属单位补助支出0万元，占0%。</w:t>
      </w:r>
    </w:p>
    <w:p w14:paraId="189AE786">
      <w:pPr>
        <w:pStyle w:val="9"/>
        <w:rPr>
          <w:rFonts w:hAnsi="黑体"/>
          <w:b/>
          <w:sz w:val="32"/>
          <w:szCs w:val="32"/>
        </w:rPr>
      </w:pPr>
      <w:r>
        <w:rPr>
          <w:rFonts w:hint="eastAsia" w:hAnsi="黑体"/>
          <w:b/>
          <w:sz w:val="32"/>
          <w:szCs w:val="32"/>
        </w:rPr>
        <w:t>四、财政拨款收入支出决算总体情况说明</w:t>
      </w:r>
    </w:p>
    <w:p w14:paraId="69583D53">
      <w:pPr>
        <w:pStyle w:val="9"/>
        <w:ind w:firstLine="64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年度财政拨款收、支总计14304.65万元，与上年相比，</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11904.17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495.91</w:t>
      </w:r>
      <w:r>
        <w:rPr>
          <w:rFonts w:hint="eastAsia" w:asciiTheme="minorEastAsia" w:hAnsiTheme="minorEastAsia" w:eastAsiaTheme="minorEastAsia"/>
          <w:sz w:val="32"/>
          <w:szCs w:val="32"/>
        </w:rPr>
        <w:t>%，主要是</w:t>
      </w:r>
      <w:r>
        <w:rPr>
          <w:rFonts w:hint="eastAsia" w:asciiTheme="minorEastAsia" w:hAnsiTheme="minorEastAsia" w:eastAsiaTheme="minorEastAsia"/>
          <w:sz w:val="32"/>
          <w:szCs w:val="32"/>
          <w:lang w:eastAsia="zh-CN"/>
        </w:rPr>
        <w:t>基本建设项目拨款增加</w:t>
      </w:r>
      <w:r>
        <w:rPr>
          <w:rFonts w:hint="eastAsia" w:asciiTheme="minorEastAsia" w:hAnsiTheme="minorEastAsia" w:eastAsiaTheme="minorEastAsia"/>
          <w:sz w:val="32"/>
          <w:szCs w:val="32"/>
        </w:rPr>
        <w:t>。</w:t>
      </w:r>
    </w:p>
    <w:p w14:paraId="32D62964">
      <w:pPr>
        <w:pStyle w:val="9"/>
        <w:rPr>
          <w:rFonts w:hAnsi="黑体"/>
          <w:b/>
          <w:sz w:val="32"/>
          <w:szCs w:val="32"/>
        </w:rPr>
      </w:pPr>
      <w:r>
        <w:rPr>
          <w:rFonts w:hint="eastAsia" w:hAnsi="黑体"/>
          <w:b/>
          <w:sz w:val="32"/>
          <w:szCs w:val="32"/>
        </w:rPr>
        <w:t>五、一般公共预算财政拨款支出决算情况说明</w:t>
      </w:r>
    </w:p>
    <w:p w14:paraId="036BBB2D">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6B697FAC">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12334</w:t>
      </w:r>
      <w:r>
        <w:rPr>
          <w:rFonts w:hint="eastAsia" w:asciiTheme="minorEastAsia" w:hAnsiTheme="minorEastAsia" w:eastAsiaTheme="minorEastAsia"/>
          <w:sz w:val="32"/>
          <w:szCs w:val="32"/>
        </w:rPr>
        <w:t>.65万元，占本年支出合计的</w:t>
      </w:r>
      <w:r>
        <w:rPr>
          <w:rFonts w:hint="eastAsia" w:asciiTheme="minorEastAsia" w:hAnsiTheme="minorEastAsia" w:eastAsiaTheme="minorEastAsia"/>
          <w:sz w:val="32"/>
          <w:szCs w:val="32"/>
          <w:lang w:val="en-US" w:eastAsia="zh-CN"/>
        </w:rPr>
        <w:t>97.07</w:t>
      </w:r>
      <w:r>
        <w:rPr>
          <w:rFonts w:hint="eastAsia" w:asciiTheme="minorEastAsia" w:hAnsiTheme="minorEastAsia" w:eastAsiaTheme="minorEastAsia"/>
          <w:sz w:val="32"/>
          <w:szCs w:val="32"/>
        </w:rPr>
        <w:t>%，与上年相比，财政拨款支出</w:t>
      </w:r>
      <w:r>
        <w:rPr>
          <w:rFonts w:hint="eastAsia" w:asciiTheme="minorEastAsia" w:hAnsiTheme="minorEastAsia" w:eastAsiaTheme="minorEastAsia"/>
          <w:sz w:val="32"/>
          <w:szCs w:val="32"/>
          <w:lang w:eastAsia="zh-CN"/>
        </w:rPr>
        <w:t>增加了</w:t>
      </w:r>
      <w:r>
        <w:rPr>
          <w:rFonts w:hint="eastAsia" w:asciiTheme="minorEastAsia" w:hAnsiTheme="minorEastAsia" w:eastAsiaTheme="minorEastAsia"/>
          <w:sz w:val="32"/>
          <w:szCs w:val="32"/>
          <w:lang w:val="en-US" w:eastAsia="zh-CN"/>
        </w:rPr>
        <w:t>9977.56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423.29</w:t>
      </w:r>
      <w:r>
        <w:rPr>
          <w:rFonts w:hint="eastAsia" w:asciiTheme="minorEastAsia" w:hAnsiTheme="minorEastAsia" w:eastAsiaTheme="minorEastAsia"/>
          <w:sz w:val="32"/>
          <w:szCs w:val="32"/>
        </w:rPr>
        <w:t>%，主要是</w:t>
      </w:r>
      <w:r>
        <w:rPr>
          <w:rFonts w:hint="eastAsia" w:asciiTheme="minorEastAsia" w:hAnsiTheme="minorEastAsia" w:eastAsiaTheme="minorEastAsia"/>
          <w:sz w:val="32"/>
          <w:szCs w:val="32"/>
          <w:lang w:eastAsia="zh-CN"/>
        </w:rPr>
        <w:t>基本建设项目拨款支出增加。</w:t>
      </w:r>
    </w:p>
    <w:p w14:paraId="499D3E7B">
      <w:pPr>
        <w:pStyle w:val="9"/>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13083A73">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年度财政拨款支出12334.65万元，主要用于以下方面：一般公共服务（类）支出2.4万元，占</w:t>
      </w:r>
      <w:r>
        <w:rPr>
          <w:rFonts w:hint="eastAsia" w:asciiTheme="minorEastAsia" w:hAnsiTheme="minorEastAsia" w:eastAsiaTheme="minorEastAsia"/>
          <w:sz w:val="32"/>
          <w:szCs w:val="32"/>
          <w:lang w:val="en-US" w:eastAsia="zh-CN"/>
        </w:rPr>
        <w:t>0.02</w:t>
      </w:r>
      <w:r>
        <w:rPr>
          <w:rFonts w:hint="eastAsia" w:asciiTheme="minorEastAsia" w:hAnsiTheme="minorEastAsia" w:eastAsiaTheme="minorEastAsia"/>
          <w:sz w:val="32"/>
          <w:szCs w:val="32"/>
        </w:rPr>
        <w:t>%；教育（类）支出12261.45万元，占</w:t>
      </w:r>
      <w:r>
        <w:rPr>
          <w:rFonts w:hint="eastAsia" w:asciiTheme="minorEastAsia" w:hAnsiTheme="minorEastAsia" w:eastAsiaTheme="minorEastAsia"/>
          <w:sz w:val="32"/>
          <w:szCs w:val="32"/>
          <w:lang w:val="en-US" w:eastAsia="zh-CN"/>
        </w:rPr>
        <w:t>99.41</w:t>
      </w:r>
      <w:r>
        <w:rPr>
          <w:rFonts w:hint="eastAsia" w:asciiTheme="minorEastAsia" w:hAnsiTheme="minorEastAsia" w:eastAsiaTheme="minorEastAsia"/>
          <w:sz w:val="32"/>
          <w:szCs w:val="32"/>
        </w:rPr>
        <w:t>%;社会保障和就业支出48.22万元，占</w:t>
      </w:r>
      <w:r>
        <w:rPr>
          <w:rFonts w:hint="eastAsia" w:asciiTheme="minorEastAsia" w:hAnsiTheme="minorEastAsia" w:eastAsiaTheme="minorEastAsia"/>
          <w:sz w:val="32"/>
          <w:szCs w:val="32"/>
          <w:lang w:val="en-US" w:eastAsia="zh-CN"/>
        </w:rPr>
        <w:t>0.39</w:t>
      </w:r>
      <w:r>
        <w:rPr>
          <w:rFonts w:hint="eastAsia" w:asciiTheme="minorEastAsia" w:hAnsiTheme="minorEastAsia" w:eastAsiaTheme="minorEastAsia"/>
          <w:sz w:val="32"/>
          <w:szCs w:val="32"/>
        </w:rPr>
        <w:t>%；卫生健康支出12.28万元，</w:t>
      </w:r>
      <w:r>
        <w:rPr>
          <w:rFonts w:hint="eastAsia" w:asciiTheme="minorEastAsia" w:hAnsiTheme="minorEastAsia" w:eastAsiaTheme="minorEastAsia"/>
          <w:sz w:val="32"/>
          <w:szCs w:val="32"/>
          <w:lang w:val="en-US" w:eastAsia="zh-CN"/>
        </w:rPr>
        <w:t>0.10</w:t>
      </w:r>
      <w:r>
        <w:rPr>
          <w:rFonts w:hint="eastAsia" w:asciiTheme="minorEastAsia" w:hAnsiTheme="minorEastAsia" w:eastAsiaTheme="minorEastAsia"/>
          <w:sz w:val="32"/>
          <w:szCs w:val="32"/>
        </w:rPr>
        <w:t>占%；</w:t>
      </w:r>
      <w:r>
        <w:rPr>
          <w:rFonts w:asciiTheme="minorEastAsia" w:hAnsiTheme="minorEastAsia" w:eastAsiaTheme="minorEastAsia"/>
          <w:sz w:val="32"/>
          <w:szCs w:val="32"/>
        </w:rPr>
        <w:t>住房保障支出</w:t>
      </w:r>
      <w:r>
        <w:rPr>
          <w:rFonts w:hint="eastAsia" w:asciiTheme="minorEastAsia" w:hAnsiTheme="minorEastAsia" w:eastAsiaTheme="minorEastAsia"/>
          <w:sz w:val="32"/>
          <w:szCs w:val="32"/>
        </w:rPr>
        <w:t>10.29</w:t>
      </w:r>
      <w:r>
        <w:rPr>
          <w:rFonts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0.08</w:t>
      </w:r>
      <w:r>
        <w:rPr>
          <w:rFonts w:asciiTheme="minorEastAsia" w:hAnsiTheme="minorEastAsia" w:eastAsiaTheme="minorEastAsia"/>
          <w:sz w:val="32"/>
          <w:szCs w:val="32"/>
        </w:rPr>
        <w:t>%</w:t>
      </w:r>
      <w:r>
        <w:rPr>
          <w:rFonts w:hint="eastAsia" w:asciiTheme="minorEastAsia" w:hAnsiTheme="minorEastAsia" w:eastAsiaTheme="minorEastAsia"/>
          <w:sz w:val="32"/>
          <w:szCs w:val="32"/>
        </w:rPr>
        <w:t>。</w:t>
      </w:r>
    </w:p>
    <w:p w14:paraId="43C38F39">
      <w:pPr>
        <w:pStyle w:val="9"/>
        <w:ind w:firstLine="800" w:firstLineChars="250"/>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（三）财政拨款支出决算具体情况</w:t>
      </w:r>
    </w:p>
    <w:p w14:paraId="0694C289">
      <w:pPr>
        <w:pStyle w:val="9"/>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年度财政拨款支出年初预算数为</w:t>
      </w:r>
      <w:r>
        <w:rPr>
          <w:rFonts w:hint="eastAsia" w:asciiTheme="minorEastAsia" w:hAnsiTheme="minorEastAsia" w:eastAsiaTheme="minorEastAsia"/>
          <w:color w:val="auto"/>
          <w:sz w:val="32"/>
          <w:szCs w:val="32"/>
          <w:lang w:val="en-US" w:eastAsia="zh-CN"/>
        </w:rPr>
        <w:t>1658.13</w:t>
      </w:r>
      <w:r>
        <w:rPr>
          <w:rFonts w:hint="eastAsia" w:asciiTheme="minorEastAsia" w:hAnsiTheme="minorEastAsia" w:eastAsiaTheme="minorEastAsia"/>
          <w:color w:val="auto"/>
          <w:sz w:val="32"/>
          <w:szCs w:val="32"/>
        </w:rPr>
        <w:t>万元，支出决算数为12334.65万元，完成年初预算的</w:t>
      </w:r>
      <w:r>
        <w:rPr>
          <w:rFonts w:hint="eastAsia" w:asciiTheme="minorEastAsia" w:hAnsiTheme="minorEastAsia" w:eastAsiaTheme="minorEastAsia"/>
          <w:color w:val="auto"/>
          <w:sz w:val="32"/>
          <w:szCs w:val="32"/>
          <w:lang w:val="en-US" w:eastAsia="zh-CN"/>
        </w:rPr>
        <w:t>743.89</w:t>
      </w:r>
      <w:r>
        <w:rPr>
          <w:rFonts w:hint="eastAsia" w:asciiTheme="minorEastAsia" w:hAnsiTheme="minorEastAsia" w:eastAsiaTheme="minorEastAsia"/>
          <w:color w:val="auto"/>
          <w:sz w:val="32"/>
          <w:szCs w:val="32"/>
        </w:rPr>
        <w:t>%，其中：</w:t>
      </w:r>
    </w:p>
    <w:p w14:paraId="01865CA3">
      <w:pPr>
        <w:pStyle w:val="9"/>
        <w:ind w:firstLine="800" w:firstLineChars="250"/>
        <w:rPr>
          <w:rFonts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1、一般公共服务（类）（201）纪检监察事务（20111）行政运行（2011101）。</w:t>
      </w:r>
    </w:p>
    <w:p w14:paraId="6B98C477">
      <w:pPr>
        <w:pStyle w:val="9"/>
        <w:ind w:firstLine="800" w:firstLineChars="25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年初预算为0万元，支出决算为2.4万元，决算数大于年初预算数的主要原因是：纪委驻教育局纪检组临时增加办公经费。</w:t>
      </w:r>
    </w:p>
    <w:p w14:paraId="2C4E2629">
      <w:pPr>
        <w:pStyle w:val="9"/>
        <w:numPr>
          <w:ilvl w:val="0"/>
          <w:numId w:val="3"/>
        </w:numPr>
        <w:ind w:firstLine="800"/>
        <w:rPr>
          <w:rFonts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）教育管理事务（20501）行政运行（</w:t>
      </w:r>
      <w:r>
        <w:rPr>
          <w:rFonts w:ascii="宋体" w:hAnsi="宋体" w:eastAsia="宋体" w:cs="宋体"/>
          <w:sz w:val="32"/>
          <w:szCs w:val="32"/>
        </w:rPr>
        <w:t>2050101</w:t>
      </w:r>
      <w:r>
        <w:rPr>
          <w:rFonts w:hint="eastAsia" w:ascii="宋体" w:hAnsi="宋体" w:eastAsia="宋体" w:cs="宋体"/>
          <w:sz w:val="32"/>
          <w:szCs w:val="32"/>
        </w:rPr>
        <w:t>）</w:t>
      </w:r>
    </w:p>
    <w:p w14:paraId="43B13C39">
      <w:pPr>
        <w:pStyle w:val="9"/>
        <w:ind w:firstLine="960" w:firstLineChars="300"/>
        <w:rPr>
          <w:rFonts w:hint="eastAsia" w:ascii="宋体" w:hAnsi="宋体" w:eastAsia="宋体" w:cs="宋体"/>
          <w:sz w:val="32"/>
          <w:szCs w:val="32"/>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万元，支出决算为1899.13万元，主要是增加</w:t>
      </w:r>
      <w:r>
        <w:rPr>
          <w:rFonts w:hint="eastAsia" w:ascii="宋体" w:hAnsi="宋体" w:eastAsia="宋体" w:cs="宋体"/>
          <w:sz w:val="32"/>
          <w:szCs w:val="32"/>
          <w:lang w:eastAsia="zh-CN"/>
        </w:rPr>
        <w:t>乡镇学校的基本建设费</w:t>
      </w:r>
      <w:r>
        <w:rPr>
          <w:rFonts w:hint="eastAsia" w:ascii="宋体" w:hAnsi="宋体" w:eastAsia="宋体" w:cs="宋体"/>
          <w:sz w:val="32"/>
          <w:szCs w:val="32"/>
        </w:rPr>
        <w:t>用。</w:t>
      </w:r>
    </w:p>
    <w:p w14:paraId="177C1225">
      <w:pPr>
        <w:pStyle w:val="9"/>
        <w:numPr>
          <w:ilvl w:val="0"/>
          <w:numId w:val="3"/>
        </w:numPr>
        <w:ind w:firstLine="800"/>
        <w:rPr>
          <w:rFonts w:hint="eastAsia"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）教育管理事务（2050</w:t>
      </w:r>
      <w:r>
        <w:rPr>
          <w:rFonts w:hint="eastAsia" w:ascii="宋体" w:hAnsi="宋体" w:eastAsia="宋体" w:cs="宋体"/>
          <w:sz w:val="32"/>
          <w:szCs w:val="32"/>
          <w:lang w:val="en-US" w:eastAsia="zh-CN"/>
        </w:rPr>
        <w:t>1</w:t>
      </w:r>
      <w:r>
        <w:rPr>
          <w:rFonts w:hint="eastAsia" w:ascii="宋体" w:hAnsi="宋体" w:eastAsia="宋体" w:cs="宋体"/>
          <w:sz w:val="32"/>
          <w:szCs w:val="32"/>
        </w:rPr>
        <w:t>） 一般行政管理事务（</w:t>
      </w:r>
      <w:r>
        <w:rPr>
          <w:rFonts w:ascii="宋体" w:hAnsi="宋体" w:eastAsia="宋体" w:cs="宋体"/>
          <w:sz w:val="32"/>
          <w:szCs w:val="32"/>
        </w:rPr>
        <w:t>205010</w:t>
      </w:r>
      <w:r>
        <w:rPr>
          <w:rFonts w:hint="eastAsia" w:ascii="宋体" w:hAnsi="宋体" w:eastAsia="宋体" w:cs="宋体"/>
          <w:sz w:val="32"/>
          <w:szCs w:val="32"/>
          <w:lang w:val="en-US" w:eastAsia="zh-CN"/>
        </w:rPr>
        <w:t>2</w:t>
      </w:r>
      <w:r>
        <w:rPr>
          <w:rFonts w:hint="eastAsia" w:ascii="宋体" w:hAnsi="宋体" w:eastAsia="宋体" w:cs="宋体"/>
          <w:sz w:val="32"/>
          <w:szCs w:val="32"/>
        </w:rPr>
        <w:t>）</w:t>
      </w:r>
    </w:p>
    <w:p w14:paraId="5A5AB1EC">
      <w:pPr>
        <w:pStyle w:val="9"/>
        <w:numPr>
          <w:ilvl w:val="0"/>
          <w:numId w:val="0"/>
        </w:numPr>
        <w:ind w:left="1050" w:leftChars="0"/>
        <w:rPr>
          <w:rFonts w:hint="eastAsia" w:ascii="宋体" w:hAnsi="宋体" w:eastAsia="宋体" w:cs="宋体"/>
          <w:sz w:val="32"/>
          <w:szCs w:val="32"/>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万元，支出决算为170.26万元，主要是增加</w:t>
      </w:r>
      <w:r>
        <w:rPr>
          <w:rFonts w:hint="eastAsia" w:ascii="宋体" w:hAnsi="宋体" w:eastAsia="宋体" w:cs="宋体"/>
          <w:sz w:val="32"/>
          <w:szCs w:val="32"/>
          <w:lang w:eastAsia="zh-CN"/>
        </w:rPr>
        <w:t>乡镇学校的基本建设费</w:t>
      </w:r>
      <w:r>
        <w:rPr>
          <w:rFonts w:hint="eastAsia" w:ascii="宋体" w:hAnsi="宋体" w:eastAsia="宋体" w:cs="宋体"/>
          <w:sz w:val="32"/>
          <w:szCs w:val="32"/>
        </w:rPr>
        <w:t>用。</w:t>
      </w:r>
    </w:p>
    <w:p w14:paraId="6E91D635">
      <w:pPr>
        <w:pStyle w:val="9"/>
        <w:numPr>
          <w:ilvl w:val="0"/>
          <w:numId w:val="3"/>
        </w:numPr>
        <w:ind w:firstLine="800"/>
        <w:rPr>
          <w:rFonts w:hint="eastAsia" w:asciiTheme="minorEastAsia" w:hAnsiTheme="minorEastAsia" w:eastAsiaTheme="minorEastAsia"/>
          <w:color w:val="auto"/>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）教育管理事务（2050</w:t>
      </w:r>
      <w:r>
        <w:rPr>
          <w:rFonts w:hint="eastAsia" w:ascii="宋体" w:hAnsi="宋体" w:eastAsia="宋体" w:cs="宋体"/>
          <w:sz w:val="32"/>
          <w:szCs w:val="32"/>
          <w:lang w:val="en-US" w:eastAsia="zh-CN"/>
        </w:rPr>
        <w:t>1</w:t>
      </w:r>
      <w:r>
        <w:rPr>
          <w:rFonts w:hint="eastAsia" w:ascii="宋体" w:hAnsi="宋体" w:eastAsia="宋体" w:cs="宋体"/>
          <w:sz w:val="32"/>
          <w:szCs w:val="32"/>
        </w:rPr>
        <w:t>） 其他教育管理事务支出（2050199）</w:t>
      </w:r>
    </w:p>
    <w:p w14:paraId="5B5B3D1E">
      <w:pPr>
        <w:pStyle w:val="9"/>
        <w:numPr>
          <w:ilvl w:val="0"/>
          <w:numId w:val="0"/>
        </w:numPr>
        <w:ind w:left="1050" w:leftChars="0"/>
        <w:rPr>
          <w:rFonts w:hint="eastAsia" w:asciiTheme="minorEastAsia" w:hAnsiTheme="minorEastAsia" w:eastAsiaTheme="minorEastAsia"/>
          <w:color w:val="auto"/>
          <w:sz w:val="32"/>
          <w:szCs w:val="32"/>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万元，支出决算为1064.26万元，主要是增加</w:t>
      </w:r>
      <w:r>
        <w:rPr>
          <w:rFonts w:hint="eastAsia" w:ascii="宋体" w:hAnsi="宋体" w:eastAsia="宋体" w:cs="宋体"/>
          <w:sz w:val="32"/>
          <w:szCs w:val="32"/>
          <w:lang w:eastAsia="zh-CN"/>
        </w:rPr>
        <w:t>乡镇学校的基本建设费</w:t>
      </w:r>
      <w:r>
        <w:rPr>
          <w:rFonts w:hint="eastAsia" w:ascii="宋体" w:hAnsi="宋体" w:eastAsia="宋体" w:cs="宋体"/>
          <w:sz w:val="32"/>
          <w:szCs w:val="32"/>
        </w:rPr>
        <w:t>用。</w:t>
      </w:r>
    </w:p>
    <w:p w14:paraId="1E225164">
      <w:pPr>
        <w:pStyle w:val="9"/>
        <w:numPr>
          <w:ilvl w:val="0"/>
          <w:numId w:val="3"/>
        </w:numPr>
        <w:ind w:firstLine="800"/>
        <w:rPr>
          <w:rFonts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）普通教育（2050</w:t>
      </w:r>
      <w:r>
        <w:rPr>
          <w:rFonts w:hint="eastAsia" w:ascii="宋体" w:hAnsi="宋体" w:eastAsia="宋体" w:cs="宋体"/>
          <w:sz w:val="32"/>
          <w:szCs w:val="32"/>
          <w:lang w:val="en-US" w:eastAsia="zh-CN"/>
        </w:rPr>
        <w:t>2</w:t>
      </w:r>
      <w:r>
        <w:rPr>
          <w:rFonts w:hint="eastAsia" w:ascii="宋体" w:hAnsi="宋体" w:eastAsia="宋体" w:cs="宋体"/>
          <w:sz w:val="32"/>
          <w:szCs w:val="32"/>
        </w:rPr>
        <w:t>）学前教育（</w:t>
      </w:r>
      <w:r>
        <w:rPr>
          <w:rFonts w:ascii="宋体" w:hAnsi="宋体" w:eastAsia="宋体" w:cs="宋体"/>
          <w:sz w:val="32"/>
          <w:szCs w:val="32"/>
        </w:rPr>
        <w:t>2050</w:t>
      </w:r>
      <w:r>
        <w:rPr>
          <w:rFonts w:hint="eastAsia" w:ascii="宋体" w:hAnsi="宋体" w:eastAsia="宋体" w:cs="宋体"/>
          <w:sz w:val="32"/>
          <w:szCs w:val="32"/>
          <w:lang w:val="en-US" w:eastAsia="zh-CN"/>
        </w:rPr>
        <w:t>2</w:t>
      </w:r>
      <w:r>
        <w:rPr>
          <w:rFonts w:ascii="宋体" w:hAnsi="宋体" w:eastAsia="宋体" w:cs="宋体"/>
          <w:sz w:val="32"/>
          <w:szCs w:val="32"/>
        </w:rPr>
        <w:t>01</w:t>
      </w:r>
      <w:r>
        <w:rPr>
          <w:rFonts w:hint="eastAsia" w:ascii="宋体" w:hAnsi="宋体" w:eastAsia="宋体" w:cs="宋体"/>
          <w:sz w:val="32"/>
          <w:szCs w:val="32"/>
        </w:rPr>
        <w:t>）</w:t>
      </w:r>
    </w:p>
    <w:p w14:paraId="0F005E41">
      <w:pPr>
        <w:pStyle w:val="9"/>
        <w:ind w:firstLine="960" w:firstLineChars="300"/>
        <w:rPr>
          <w:rFonts w:hint="eastAsia" w:ascii="宋体" w:hAnsi="宋体" w:eastAsia="宋体" w:cs="宋体"/>
          <w:sz w:val="32"/>
          <w:szCs w:val="32"/>
          <w:lang w:eastAsia="zh-CN"/>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万元，支出决算为897.57万元，</w:t>
      </w:r>
      <w:r>
        <w:rPr>
          <w:rFonts w:hint="eastAsia" w:ascii="宋体" w:hAnsi="宋体" w:eastAsia="宋体" w:cs="宋体"/>
          <w:sz w:val="32"/>
          <w:szCs w:val="32"/>
          <w:lang w:eastAsia="zh-CN"/>
        </w:rPr>
        <w:t>主要是用于学前教育家庭经济困难幼儿入园补助，及县幼儿园的基本建设开支。</w:t>
      </w:r>
    </w:p>
    <w:p w14:paraId="7880B453">
      <w:pPr>
        <w:pStyle w:val="9"/>
        <w:numPr>
          <w:ilvl w:val="0"/>
          <w:numId w:val="3"/>
        </w:numPr>
        <w:ind w:firstLine="800"/>
        <w:rPr>
          <w:rFonts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）普通教育（2050</w:t>
      </w:r>
      <w:r>
        <w:rPr>
          <w:rFonts w:hint="eastAsia" w:ascii="宋体" w:hAnsi="宋体" w:eastAsia="宋体" w:cs="宋体"/>
          <w:sz w:val="32"/>
          <w:szCs w:val="32"/>
          <w:lang w:val="en-US" w:eastAsia="zh-CN"/>
        </w:rPr>
        <w:t>2</w:t>
      </w:r>
      <w:r>
        <w:rPr>
          <w:rFonts w:hint="eastAsia" w:ascii="宋体" w:hAnsi="宋体" w:eastAsia="宋体" w:cs="宋体"/>
          <w:sz w:val="32"/>
          <w:szCs w:val="32"/>
        </w:rPr>
        <w:t>）小学教育（</w:t>
      </w:r>
      <w:r>
        <w:rPr>
          <w:rFonts w:ascii="宋体" w:hAnsi="宋体" w:eastAsia="宋体" w:cs="宋体"/>
          <w:sz w:val="32"/>
          <w:szCs w:val="32"/>
        </w:rPr>
        <w:t>2050</w:t>
      </w:r>
      <w:r>
        <w:rPr>
          <w:rFonts w:hint="eastAsia" w:ascii="宋体" w:hAnsi="宋体" w:eastAsia="宋体" w:cs="宋体"/>
          <w:sz w:val="32"/>
          <w:szCs w:val="32"/>
          <w:lang w:val="en-US" w:eastAsia="zh-CN"/>
        </w:rPr>
        <w:t>2</w:t>
      </w:r>
      <w:r>
        <w:rPr>
          <w:rFonts w:ascii="宋体" w:hAnsi="宋体" w:eastAsia="宋体" w:cs="宋体"/>
          <w:sz w:val="32"/>
          <w:szCs w:val="32"/>
        </w:rPr>
        <w:t>0</w:t>
      </w:r>
      <w:r>
        <w:rPr>
          <w:rFonts w:hint="eastAsia" w:ascii="宋体" w:hAnsi="宋体" w:eastAsia="宋体" w:cs="宋体"/>
          <w:sz w:val="32"/>
          <w:szCs w:val="32"/>
          <w:lang w:val="en-US" w:eastAsia="zh-CN"/>
        </w:rPr>
        <w:t>2</w:t>
      </w:r>
      <w:r>
        <w:rPr>
          <w:rFonts w:hint="eastAsia" w:ascii="宋体" w:hAnsi="宋体" w:eastAsia="宋体" w:cs="宋体"/>
          <w:sz w:val="32"/>
          <w:szCs w:val="32"/>
        </w:rPr>
        <w:t>）</w:t>
      </w:r>
    </w:p>
    <w:p w14:paraId="42A73448">
      <w:pPr>
        <w:pStyle w:val="9"/>
        <w:ind w:firstLine="960" w:firstLineChars="300"/>
        <w:rPr>
          <w:rFonts w:hint="eastAsia" w:ascii="宋体" w:hAnsi="宋体" w:eastAsia="宋体" w:cs="宋体"/>
          <w:sz w:val="32"/>
          <w:szCs w:val="32"/>
          <w:lang w:eastAsia="zh-CN"/>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万元，支出决算为1625.73万元，</w:t>
      </w:r>
      <w:r>
        <w:rPr>
          <w:rFonts w:hint="eastAsia" w:ascii="宋体" w:hAnsi="宋体" w:eastAsia="宋体" w:cs="宋体"/>
          <w:sz w:val="32"/>
          <w:szCs w:val="32"/>
          <w:lang w:eastAsia="zh-CN"/>
        </w:rPr>
        <w:t>主要用于拨付三杰学校、苗苗学校公用经费及义务教育家庭经济困难学生生活补助等。</w:t>
      </w:r>
    </w:p>
    <w:p w14:paraId="1A79BB3B">
      <w:pPr>
        <w:pStyle w:val="9"/>
        <w:numPr>
          <w:ilvl w:val="0"/>
          <w:numId w:val="3"/>
        </w:numPr>
        <w:ind w:firstLine="800"/>
        <w:rPr>
          <w:rFonts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）普通教育（2050</w:t>
      </w:r>
      <w:r>
        <w:rPr>
          <w:rFonts w:hint="eastAsia" w:ascii="宋体" w:hAnsi="宋体" w:eastAsia="宋体" w:cs="宋体"/>
          <w:sz w:val="32"/>
          <w:szCs w:val="32"/>
          <w:lang w:val="en-US" w:eastAsia="zh-CN"/>
        </w:rPr>
        <w:t>2</w:t>
      </w:r>
      <w:r>
        <w:rPr>
          <w:rFonts w:hint="eastAsia" w:ascii="宋体" w:hAnsi="宋体" w:eastAsia="宋体" w:cs="宋体"/>
          <w:sz w:val="32"/>
          <w:szCs w:val="32"/>
        </w:rPr>
        <w:t>）初中教育（</w:t>
      </w:r>
      <w:r>
        <w:rPr>
          <w:rFonts w:ascii="宋体" w:hAnsi="宋体" w:eastAsia="宋体" w:cs="宋体"/>
          <w:sz w:val="32"/>
          <w:szCs w:val="32"/>
        </w:rPr>
        <w:t>2050</w:t>
      </w:r>
      <w:r>
        <w:rPr>
          <w:rFonts w:hint="eastAsia" w:ascii="宋体" w:hAnsi="宋体" w:eastAsia="宋体" w:cs="宋体"/>
          <w:sz w:val="32"/>
          <w:szCs w:val="32"/>
          <w:lang w:val="en-US" w:eastAsia="zh-CN"/>
        </w:rPr>
        <w:t>2</w:t>
      </w:r>
      <w:r>
        <w:rPr>
          <w:rFonts w:ascii="宋体" w:hAnsi="宋体" w:eastAsia="宋体" w:cs="宋体"/>
          <w:sz w:val="32"/>
          <w:szCs w:val="32"/>
        </w:rPr>
        <w:t>0</w:t>
      </w:r>
      <w:r>
        <w:rPr>
          <w:rFonts w:hint="eastAsia" w:ascii="宋体" w:hAnsi="宋体" w:eastAsia="宋体" w:cs="宋体"/>
          <w:sz w:val="32"/>
          <w:szCs w:val="32"/>
          <w:lang w:val="en-US" w:eastAsia="zh-CN"/>
        </w:rPr>
        <w:t>3</w:t>
      </w:r>
      <w:r>
        <w:rPr>
          <w:rFonts w:hint="eastAsia" w:ascii="宋体" w:hAnsi="宋体" w:eastAsia="宋体" w:cs="宋体"/>
          <w:sz w:val="32"/>
          <w:szCs w:val="32"/>
        </w:rPr>
        <w:t>）</w:t>
      </w:r>
    </w:p>
    <w:p w14:paraId="090FF933">
      <w:pPr>
        <w:pStyle w:val="9"/>
        <w:ind w:firstLine="960" w:firstLineChars="300"/>
        <w:rPr>
          <w:rFonts w:hint="eastAsia" w:ascii="宋体" w:hAnsi="宋体" w:eastAsia="宋体" w:cs="宋体"/>
          <w:sz w:val="32"/>
          <w:szCs w:val="32"/>
          <w:lang w:eastAsia="zh-CN"/>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万元，支出决算为482.4万元，</w:t>
      </w:r>
      <w:r>
        <w:rPr>
          <w:rFonts w:hint="eastAsia" w:ascii="宋体" w:hAnsi="宋体" w:eastAsia="宋体" w:cs="宋体"/>
          <w:sz w:val="32"/>
          <w:szCs w:val="32"/>
          <w:lang w:eastAsia="zh-CN"/>
        </w:rPr>
        <w:t>主要用于鸿志中学公用经费、雅堂芙蓉学校配电工程等相关费用。</w:t>
      </w:r>
    </w:p>
    <w:p w14:paraId="0EFEDB70">
      <w:pPr>
        <w:pStyle w:val="9"/>
        <w:numPr>
          <w:ilvl w:val="0"/>
          <w:numId w:val="3"/>
        </w:numPr>
        <w:ind w:firstLine="800"/>
        <w:rPr>
          <w:rFonts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）普通教育（2050</w:t>
      </w:r>
      <w:r>
        <w:rPr>
          <w:rFonts w:hint="eastAsia" w:ascii="宋体" w:hAnsi="宋体" w:eastAsia="宋体" w:cs="宋体"/>
          <w:sz w:val="32"/>
          <w:szCs w:val="32"/>
          <w:lang w:val="en-US" w:eastAsia="zh-CN"/>
        </w:rPr>
        <w:t>2</w:t>
      </w:r>
      <w:r>
        <w:rPr>
          <w:rFonts w:hint="eastAsia" w:ascii="宋体" w:hAnsi="宋体" w:eastAsia="宋体" w:cs="宋体"/>
          <w:sz w:val="32"/>
          <w:szCs w:val="32"/>
        </w:rPr>
        <w:t>）高中教育（</w:t>
      </w:r>
      <w:r>
        <w:rPr>
          <w:rFonts w:ascii="宋体" w:hAnsi="宋体" w:eastAsia="宋体" w:cs="宋体"/>
          <w:sz w:val="32"/>
          <w:szCs w:val="32"/>
        </w:rPr>
        <w:t>2050</w:t>
      </w:r>
      <w:r>
        <w:rPr>
          <w:rFonts w:hint="eastAsia" w:ascii="宋体" w:hAnsi="宋体" w:eastAsia="宋体" w:cs="宋体"/>
          <w:sz w:val="32"/>
          <w:szCs w:val="32"/>
          <w:lang w:val="en-US" w:eastAsia="zh-CN"/>
        </w:rPr>
        <w:t>2</w:t>
      </w:r>
      <w:r>
        <w:rPr>
          <w:rFonts w:ascii="宋体" w:hAnsi="宋体" w:eastAsia="宋体" w:cs="宋体"/>
          <w:sz w:val="32"/>
          <w:szCs w:val="32"/>
        </w:rPr>
        <w:t>0</w:t>
      </w:r>
      <w:r>
        <w:rPr>
          <w:rFonts w:hint="eastAsia" w:ascii="宋体" w:hAnsi="宋体" w:eastAsia="宋体" w:cs="宋体"/>
          <w:sz w:val="32"/>
          <w:szCs w:val="32"/>
          <w:lang w:val="en-US" w:eastAsia="zh-CN"/>
        </w:rPr>
        <w:t>4</w:t>
      </w:r>
      <w:r>
        <w:rPr>
          <w:rFonts w:hint="eastAsia" w:ascii="宋体" w:hAnsi="宋体" w:eastAsia="宋体" w:cs="宋体"/>
          <w:sz w:val="32"/>
          <w:szCs w:val="32"/>
        </w:rPr>
        <w:t>）</w:t>
      </w:r>
    </w:p>
    <w:p w14:paraId="4F2FA174">
      <w:pPr>
        <w:pStyle w:val="9"/>
        <w:ind w:firstLine="960" w:firstLineChars="300"/>
        <w:rPr>
          <w:rFonts w:hint="eastAsia" w:ascii="宋体" w:hAnsi="宋体" w:eastAsia="宋体" w:cs="宋体"/>
          <w:sz w:val="32"/>
          <w:szCs w:val="32"/>
          <w:lang w:eastAsia="zh-CN"/>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万元，支出决算为525.51万元，</w:t>
      </w:r>
      <w:r>
        <w:rPr>
          <w:rFonts w:hint="eastAsia" w:ascii="宋体" w:hAnsi="宋体" w:eastAsia="宋体" w:cs="宋体"/>
          <w:sz w:val="32"/>
          <w:szCs w:val="32"/>
          <w:lang w:eastAsia="zh-CN"/>
        </w:rPr>
        <w:t>主要用于楚才学校、凯文学校及非义务学校公用经费、免学费、免教科书、助学金等相关费用的拨款。</w:t>
      </w:r>
    </w:p>
    <w:p w14:paraId="0E013755">
      <w:pPr>
        <w:pStyle w:val="9"/>
        <w:numPr>
          <w:ilvl w:val="0"/>
          <w:numId w:val="3"/>
        </w:numPr>
        <w:ind w:firstLine="800"/>
        <w:rPr>
          <w:rFonts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）普通教育（2050</w:t>
      </w:r>
      <w:r>
        <w:rPr>
          <w:rFonts w:hint="eastAsia" w:ascii="宋体" w:hAnsi="宋体" w:eastAsia="宋体" w:cs="宋体"/>
          <w:sz w:val="32"/>
          <w:szCs w:val="32"/>
          <w:lang w:val="en-US" w:eastAsia="zh-CN"/>
        </w:rPr>
        <w:t>2</w:t>
      </w:r>
      <w:r>
        <w:rPr>
          <w:rFonts w:hint="eastAsia" w:ascii="宋体" w:hAnsi="宋体" w:eastAsia="宋体" w:cs="宋体"/>
          <w:sz w:val="32"/>
          <w:szCs w:val="32"/>
        </w:rPr>
        <w:t>） 高等教育（</w:t>
      </w:r>
      <w:r>
        <w:rPr>
          <w:rFonts w:ascii="宋体" w:hAnsi="宋体" w:eastAsia="宋体" w:cs="宋体"/>
          <w:sz w:val="32"/>
          <w:szCs w:val="32"/>
        </w:rPr>
        <w:t>2050</w:t>
      </w:r>
      <w:r>
        <w:rPr>
          <w:rFonts w:hint="eastAsia" w:ascii="宋体" w:hAnsi="宋体" w:eastAsia="宋体" w:cs="宋体"/>
          <w:sz w:val="32"/>
          <w:szCs w:val="32"/>
          <w:lang w:val="en-US" w:eastAsia="zh-CN"/>
        </w:rPr>
        <w:t>2</w:t>
      </w:r>
      <w:r>
        <w:rPr>
          <w:rFonts w:ascii="宋体" w:hAnsi="宋体" w:eastAsia="宋体" w:cs="宋体"/>
          <w:sz w:val="32"/>
          <w:szCs w:val="32"/>
        </w:rPr>
        <w:t>0</w:t>
      </w:r>
      <w:r>
        <w:rPr>
          <w:rFonts w:hint="eastAsia" w:ascii="宋体" w:hAnsi="宋体" w:eastAsia="宋体" w:cs="宋体"/>
          <w:sz w:val="32"/>
          <w:szCs w:val="32"/>
          <w:lang w:val="en-US" w:eastAsia="zh-CN"/>
        </w:rPr>
        <w:t>5</w:t>
      </w:r>
      <w:r>
        <w:rPr>
          <w:rFonts w:hint="eastAsia" w:ascii="宋体" w:hAnsi="宋体" w:eastAsia="宋体" w:cs="宋体"/>
          <w:sz w:val="32"/>
          <w:szCs w:val="32"/>
        </w:rPr>
        <w:t>）</w:t>
      </w:r>
    </w:p>
    <w:p w14:paraId="7E93D648">
      <w:pPr>
        <w:pStyle w:val="9"/>
        <w:ind w:firstLine="960" w:firstLineChars="300"/>
        <w:rPr>
          <w:rFonts w:hint="eastAsia" w:asciiTheme="minorEastAsia" w:hAnsiTheme="minorEastAsia" w:eastAsiaTheme="minorEastAsia"/>
          <w:color w:val="auto"/>
          <w:sz w:val="32"/>
          <w:szCs w:val="32"/>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万元，支出决算为112万元，完成年初预算的130.22</w:t>
      </w:r>
      <w:r>
        <w:rPr>
          <w:rFonts w:ascii="宋体" w:hAnsi="宋体" w:eastAsia="宋体" w:cs="宋体"/>
          <w:sz w:val="32"/>
          <w:szCs w:val="32"/>
        </w:rPr>
        <w:t>%</w:t>
      </w:r>
      <w:r>
        <w:rPr>
          <w:rFonts w:hint="eastAsia" w:ascii="宋体" w:hAnsi="宋体" w:eastAsia="宋体" w:cs="宋体"/>
          <w:sz w:val="32"/>
          <w:szCs w:val="32"/>
        </w:rPr>
        <w:t>。主要是临时增加专用材料费用。</w:t>
      </w:r>
    </w:p>
    <w:p w14:paraId="7CF90696">
      <w:pPr>
        <w:pStyle w:val="9"/>
        <w:numPr>
          <w:ilvl w:val="0"/>
          <w:numId w:val="3"/>
        </w:numPr>
        <w:ind w:firstLine="800"/>
        <w:rPr>
          <w:rFonts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）普通教育（2050</w:t>
      </w:r>
      <w:r>
        <w:rPr>
          <w:rFonts w:hint="eastAsia" w:ascii="宋体" w:hAnsi="宋体" w:eastAsia="宋体" w:cs="宋体"/>
          <w:sz w:val="32"/>
          <w:szCs w:val="32"/>
          <w:lang w:val="en-US" w:eastAsia="zh-CN"/>
        </w:rPr>
        <w:t>2</w:t>
      </w:r>
      <w:r>
        <w:rPr>
          <w:rFonts w:hint="eastAsia" w:ascii="宋体" w:hAnsi="宋体" w:eastAsia="宋体" w:cs="宋体"/>
          <w:sz w:val="32"/>
          <w:szCs w:val="32"/>
        </w:rPr>
        <w:t>）其他普通教育支出（2050299）</w:t>
      </w:r>
    </w:p>
    <w:p w14:paraId="2FA66FFF">
      <w:pPr>
        <w:pStyle w:val="9"/>
        <w:ind w:firstLine="960" w:firstLineChars="300"/>
        <w:rPr>
          <w:rFonts w:hint="eastAsia" w:eastAsia="宋体" w:asciiTheme="minorEastAsia" w:hAnsiTheme="minorEastAsia"/>
          <w:color w:val="auto"/>
          <w:sz w:val="32"/>
          <w:szCs w:val="32"/>
          <w:lang w:eastAsia="zh-CN"/>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万元，支出决算为2928.9万元，</w:t>
      </w:r>
      <w:r>
        <w:rPr>
          <w:rFonts w:hint="eastAsia" w:ascii="宋体" w:hAnsi="宋体" w:eastAsia="宋体" w:cs="宋体"/>
          <w:sz w:val="32"/>
          <w:szCs w:val="32"/>
          <w:lang w:eastAsia="zh-CN"/>
        </w:rPr>
        <w:t>主要用于乡村教师生活补助、校车奖补资金、雅堂芙蓉学校农民工工资性支出。</w:t>
      </w:r>
    </w:p>
    <w:p w14:paraId="0A8089D9">
      <w:pPr>
        <w:pStyle w:val="9"/>
        <w:numPr>
          <w:ilvl w:val="0"/>
          <w:numId w:val="3"/>
        </w:numPr>
        <w:ind w:firstLine="800"/>
        <w:rPr>
          <w:rFonts w:hint="eastAsia" w:ascii="宋体" w:hAnsi="宋体" w:eastAsia="宋体" w:cs="宋体"/>
          <w:sz w:val="32"/>
          <w:szCs w:val="32"/>
        </w:rPr>
      </w:pPr>
      <w:r>
        <w:rPr>
          <w:rFonts w:hint="eastAsia" w:ascii="宋体" w:hAnsi="宋体" w:eastAsia="宋体" w:cs="宋体"/>
          <w:sz w:val="32"/>
          <w:szCs w:val="32"/>
        </w:rPr>
        <w:t>教育支出（</w:t>
      </w:r>
      <w:r>
        <w:rPr>
          <w:rFonts w:ascii="宋体" w:hAnsi="宋体" w:eastAsia="宋体" w:cs="宋体"/>
          <w:sz w:val="32"/>
          <w:szCs w:val="32"/>
        </w:rPr>
        <w:t>205</w:t>
      </w:r>
      <w:r>
        <w:rPr>
          <w:rFonts w:hint="eastAsia" w:ascii="宋体" w:hAnsi="宋体" w:eastAsia="宋体" w:cs="宋体"/>
          <w:sz w:val="32"/>
          <w:szCs w:val="32"/>
        </w:rPr>
        <w:t xml:space="preserve">）其他教育支出（20599） 其他教育支出（2059999） </w:t>
      </w:r>
    </w:p>
    <w:p w14:paraId="251A32E2">
      <w:pPr>
        <w:pStyle w:val="9"/>
        <w:numPr>
          <w:ilvl w:val="0"/>
          <w:numId w:val="0"/>
        </w:numPr>
        <w:ind w:firstLine="960" w:firstLineChars="300"/>
        <w:rPr>
          <w:rFonts w:hint="eastAsia" w:ascii="宋体" w:hAnsi="宋体" w:eastAsia="宋体" w:cs="宋体"/>
          <w:sz w:val="32"/>
          <w:szCs w:val="32"/>
          <w:lang w:eastAsia="zh-CN"/>
        </w:rPr>
      </w:pPr>
      <w:r>
        <w:rPr>
          <w:rFonts w:hint="eastAsia" w:ascii="宋体" w:hAnsi="宋体" w:eastAsia="宋体" w:cs="宋体"/>
          <w:sz w:val="32"/>
          <w:szCs w:val="32"/>
        </w:rPr>
        <w:t>年初预算为</w:t>
      </w:r>
      <w:r>
        <w:rPr>
          <w:rFonts w:hint="eastAsia" w:ascii="宋体" w:hAnsi="宋体" w:eastAsia="宋体" w:cs="宋体"/>
          <w:sz w:val="32"/>
          <w:szCs w:val="32"/>
          <w:lang w:val="en-US" w:eastAsia="zh-CN"/>
        </w:rPr>
        <w:t>0</w:t>
      </w:r>
      <w:r>
        <w:rPr>
          <w:rFonts w:hint="eastAsia" w:ascii="宋体" w:hAnsi="宋体" w:eastAsia="宋体" w:cs="宋体"/>
          <w:sz w:val="32"/>
          <w:szCs w:val="32"/>
        </w:rPr>
        <w:t>万元，支出决算为2555.68万元，</w:t>
      </w:r>
      <w:r>
        <w:rPr>
          <w:rFonts w:hint="eastAsia" w:ascii="宋体" w:hAnsi="宋体" w:eastAsia="宋体" w:cs="宋体"/>
          <w:sz w:val="32"/>
          <w:szCs w:val="32"/>
          <w:lang w:eastAsia="zh-CN"/>
        </w:rPr>
        <w:t>主要用于圣达学校工程款、二三幼儿园设备款等。</w:t>
      </w:r>
    </w:p>
    <w:p w14:paraId="0E614BD1">
      <w:pPr>
        <w:pStyle w:val="9"/>
        <w:ind w:firstLine="1120" w:firstLineChars="350"/>
        <w:rPr>
          <w:rFonts w:ascii="宋体" w:hAnsi="宋体" w:eastAsia="宋体" w:cs="Times New Roman"/>
          <w:sz w:val="32"/>
          <w:szCs w:val="32"/>
        </w:rPr>
      </w:pPr>
      <w:r>
        <w:rPr>
          <w:rFonts w:hint="eastAsia" w:ascii="宋体" w:hAnsi="宋体" w:eastAsia="宋体" w:cs="宋体"/>
          <w:sz w:val="32"/>
          <w:szCs w:val="32"/>
          <w:lang w:val="en-US" w:eastAsia="zh-CN"/>
        </w:rPr>
        <w:t>12</w:t>
      </w:r>
      <w:r>
        <w:rPr>
          <w:rFonts w:hint="eastAsia" w:ascii="宋体" w:hAnsi="宋体" w:eastAsia="宋体" w:cs="宋体"/>
          <w:sz w:val="32"/>
          <w:szCs w:val="32"/>
        </w:rPr>
        <w:t>、社会保障和就业支出（</w:t>
      </w:r>
      <w:r>
        <w:rPr>
          <w:rFonts w:ascii="宋体" w:hAnsi="宋体" w:eastAsia="宋体" w:cs="宋体"/>
          <w:sz w:val="32"/>
          <w:szCs w:val="32"/>
        </w:rPr>
        <w:t>208</w:t>
      </w:r>
      <w:r>
        <w:rPr>
          <w:rFonts w:hint="eastAsia" w:ascii="宋体" w:hAnsi="宋体" w:eastAsia="宋体" w:cs="宋体"/>
          <w:sz w:val="32"/>
          <w:szCs w:val="32"/>
        </w:rPr>
        <w:t>）行政事业单位养老支出（20805）机关事业单位基本养老保险缴费支出（2080505）。</w:t>
      </w:r>
    </w:p>
    <w:p w14:paraId="7F1FFE13">
      <w:pPr>
        <w:pStyle w:val="9"/>
        <w:ind w:firstLine="960" w:firstLineChars="300"/>
        <w:rPr>
          <w:rFonts w:hint="eastAsia" w:ascii="宋体" w:hAnsi="宋体" w:eastAsia="宋体" w:cs="宋体"/>
          <w:sz w:val="32"/>
          <w:szCs w:val="32"/>
          <w:lang w:eastAsia="zh-CN"/>
        </w:rPr>
      </w:pPr>
      <w:r>
        <w:rPr>
          <w:rFonts w:hint="eastAsia" w:ascii="宋体" w:hAnsi="宋体" w:eastAsia="宋体" w:cs="宋体"/>
          <w:sz w:val="32"/>
          <w:szCs w:val="32"/>
        </w:rPr>
        <w:t>支出决算为23.1万元，</w:t>
      </w:r>
      <w:r>
        <w:rPr>
          <w:rFonts w:hint="eastAsia" w:asciiTheme="minorEastAsia" w:hAnsiTheme="minorEastAsia" w:eastAsiaTheme="minorEastAsia"/>
          <w:sz w:val="32"/>
          <w:szCs w:val="32"/>
        </w:rPr>
        <w:t>决算数大于年初预算数</w:t>
      </w:r>
      <w:r>
        <w:rPr>
          <w:rFonts w:hint="eastAsia" w:ascii="宋体" w:hAnsi="宋体" w:eastAsia="宋体" w:cs="宋体"/>
          <w:sz w:val="32"/>
          <w:szCs w:val="32"/>
        </w:rPr>
        <w:t>主要原因是预算</w:t>
      </w:r>
      <w:r>
        <w:rPr>
          <w:rFonts w:hint="eastAsia" w:ascii="宋体" w:hAnsi="宋体" w:eastAsia="宋体" w:cs="宋体"/>
          <w:sz w:val="32"/>
          <w:szCs w:val="32"/>
          <w:lang w:eastAsia="zh-CN"/>
        </w:rPr>
        <w:t>以上年度实际支出数为基础</w:t>
      </w:r>
      <w:r>
        <w:rPr>
          <w:rFonts w:hint="eastAsia" w:ascii="宋体" w:hAnsi="宋体" w:eastAsia="宋体" w:cs="宋体"/>
          <w:sz w:val="32"/>
          <w:szCs w:val="32"/>
        </w:rPr>
        <w:t>，与本年度实际支出相差较大。</w:t>
      </w:r>
    </w:p>
    <w:p w14:paraId="0B2A723C">
      <w:pPr>
        <w:pStyle w:val="9"/>
        <w:ind w:firstLine="1120" w:firstLineChars="350"/>
        <w:rPr>
          <w:rFonts w:ascii="宋体" w:hAnsi="宋体" w:eastAsia="宋体" w:cs="Times New Roman"/>
          <w:sz w:val="32"/>
          <w:szCs w:val="32"/>
        </w:rPr>
      </w:pPr>
      <w:r>
        <w:rPr>
          <w:rFonts w:hint="eastAsia" w:ascii="宋体" w:hAnsi="宋体" w:eastAsia="宋体" w:cs="宋体"/>
          <w:sz w:val="32"/>
          <w:szCs w:val="32"/>
          <w:lang w:val="en-US" w:eastAsia="zh-CN"/>
        </w:rPr>
        <w:t>13</w:t>
      </w:r>
      <w:r>
        <w:rPr>
          <w:rFonts w:hint="eastAsia" w:ascii="宋体" w:hAnsi="宋体" w:eastAsia="宋体" w:cs="宋体"/>
          <w:sz w:val="32"/>
          <w:szCs w:val="32"/>
        </w:rPr>
        <w:t>、社会保障和就业支出（</w:t>
      </w:r>
      <w:r>
        <w:rPr>
          <w:rFonts w:ascii="宋体" w:hAnsi="宋体" w:eastAsia="宋体" w:cs="宋体"/>
          <w:sz w:val="32"/>
          <w:szCs w:val="32"/>
        </w:rPr>
        <w:t>208</w:t>
      </w:r>
      <w:r>
        <w:rPr>
          <w:rFonts w:hint="eastAsia" w:ascii="宋体" w:hAnsi="宋体" w:eastAsia="宋体" w:cs="宋体"/>
          <w:sz w:val="32"/>
          <w:szCs w:val="32"/>
        </w:rPr>
        <w:t>）抚恤（20808）死亡抚恤（</w:t>
      </w:r>
      <w:r>
        <w:rPr>
          <w:rFonts w:ascii="宋体" w:hAnsi="宋体" w:eastAsia="宋体" w:cs="宋体"/>
          <w:sz w:val="32"/>
          <w:szCs w:val="32"/>
        </w:rPr>
        <w:t>2080801</w:t>
      </w:r>
      <w:r>
        <w:rPr>
          <w:rFonts w:hint="eastAsia" w:ascii="宋体" w:hAnsi="宋体" w:eastAsia="宋体" w:cs="宋体"/>
          <w:sz w:val="32"/>
          <w:szCs w:val="32"/>
        </w:rPr>
        <w:t>）。</w:t>
      </w:r>
    </w:p>
    <w:p w14:paraId="7A916399">
      <w:pPr>
        <w:pStyle w:val="9"/>
        <w:ind w:firstLine="960" w:firstLineChars="300"/>
        <w:rPr>
          <w:rFonts w:ascii="宋体" w:hAnsi="宋体" w:eastAsia="宋体" w:cs="宋体"/>
          <w:sz w:val="32"/>
          <w:szCs w:val="32"/>
        </w:rPr>
      </w:pPr>
      <w:r>
        <w:rPr>
          <w:rFonts w:hint="eastAsia" w:ascii="宋体" w:hAnsi="宋体" w:eastAsia="宋体" w:cs="宋体"/>
          <w:sz w:val="32"/>
          <w:szCs w:val="32"/>
        </w:rPr>
        <w:t>支出决算为25.12万元，</w:t>
      </w:r>
      <w:r>
        <w:rPr>
          <w:rFonts w:hint="eastAsia" w:asciiTheme="minorEastAsia" w:hAnsiTheme="minorEastAsia" w:eastAsiaTheme="minorEastAsia"/>
          <w:sz w:val="32"/>
          <w:szCs w:val="32"/>
        </w:rPr>
        <w:t>决算数大于年初预算数</w:t>
      </w:r>
      <w:r>
        <w:rPr>
          <w:rFonts w:hint="eastAsia" w:ascii="宋体" w:hAnsi="宋体" w:eastAsia="宋体" w:cs="宋体"/>
          <w:sz w:val="32"/>
          <w:szCs w:val="32"/>
        </w:rPr>
        <w:t>主要原因是预算</w:t>
      </w:r>
      <w:r>
        <w:rPr>
          <w:rFonts w:hint="eastAsia" w:ascii="宋体" w:hAnsi="宋体" w:eastAsia="宋体" w:cs="宋体"/>
          <w:sz w:val="32"/>
          <w:szCs w:val="32"/>
          <w:lang w:eastAsia="zh-CN"/>
        </w:rPr>
        <w:t>以上年度实际支出数为基础</w:t>
      </w:r>
      <w:r>
        <w:rPr>
          <w:rFonts w:hint="eastAsia" w:ascii="宋体" w:hAnsi="宋体" w:eastAsia="宋体" w:cs="宋体"/>
          <w:sz w:val="32"/>
          <w:szCs w:val="32"/>
        </w:rPr>
        <w:t>，与本年度实际支出相差较大。</w:t>
      </w:r>
    </w:p>
    <w:p w14:paraId="6B60E908">
      <w:pPr>
        <w:pStyle w:val="9"/>
        <w:ind w:firstLine="1280" w:firstLineChars="400"/>
        <w:rPr>
          <w:rFonts w:ascii="宋体" w:hAnsi="宋体" w:eastAsia="宋体" w:cs="宋体"/>
          <w:sz w:val="32"/>
          <w:szCs w:val="32"/>
        </w:rPr>
      </w:pPr>
      <w:r>
        <w:rPr>
          <w:rFonts w:hint="eastAsia" w:ascii="宋体" w:hAnsi="宋体" w:eastAsia="宋体" w:cs="宋体"/>
          <w:sz w:val="32"/>
          <w:szCs w:val="32"/>
          <w:lang w:val="en-US" w:eastAsia="zh-CN"/>
        </w:rPr>
        <w:t>14</w:t>
      </w:r>
      <w:r>
        <w:rPr>
          <w:rFonts w:hint="eastAsia" w:ascii="宋体" w:hAnsi="宋体" w:eastAsia="宋体" w:cs="宋体"/>
          <w:sz w:val="32"/>
          <w:szCs w:val="32"/>
        </w:rPr>
        <w:t>、卫生健康支出（210）行政事业单位医疗（21011）行政单位医疗（2101101）</w:t>
      </w:r>
    </w:p>
    <w:p w14:paraId="40B593DB">
      <w:pPr>
        <w:pStyle w:val="9"/>
        <w:ind w:firstLine="960" w:firstLineChars="300"/>
        <w:rPr>
          <w:rFonts w:ascii="宋体" w:hAnsi="宋体" w:eastAsia="宋体" w:cs="宋体"/>
          <w:sz w:val="32"/>
          <w:szCs w:val="32"/>
        </w:rPr>
      </w:pPr>
      <w:r>
        <w:rPr>
          <w:rFonts w:hint="eastAsia" w:asciiTheme="minorEastAsia" w:hAnsiTheme="minorEastAsia" w:eastAsiaTheme="minorEastAsia"/>
          <w:sz w:val="32"/>
          <w:szCs w:val="32"/>
        </w:rPr>
        <w:t>支出决算为</w:t>
      </w:r>
      <w:r>
        <w:rPr>
          <w:rFonts w:hint="eastAsia" w:asciiTheme="minorEastAsia" w:hAnsiTheme="minorEastAsia" w:eastAsiaTheme="minorEastAsia"/>
          <w:sz w:val="32"/>
          <w:szCs w:val="32"/>
          <w:lang w:val="en-US" w:eastAsia="zh-CN"/>
        </w:rPr>
        <w:t>12.18</w:t>
      </w:r>
      <w:r>
        <w:rPr>
          <w:rFonts w:hint="eastAsia" w:asciiTheme="minorEastAsia" w:hAnsiTheme="minorEastAsia" w:eastAsiaTheme="minorEastAsia"/>
          <w:sz w:val="32"/>
          <w:szCs w:val="32"/>
        </w:rPr>
        <w:t>万元，决算数大于年初预算数</w:t>
      </w:r>
      <w:r>
        <w:rPr>
          <w:rFonts w:hint="eastAsia" w:ascii="宋体" w:hAnsi="宋体" w:eastAsia="宋体" w:cs="宋体"/>
          <w:sz w:val="32"/>
          <w:szCs w:val="32"/>
        </w:rPr>
        <w:t>主要原因是预算</w:t>
      </w:r>
      <w:r>
        <w:rPr>
          <w:rFonts w:hint="eastAsia" w:ascii="宋体" w:hAnsi="宋体" w:eastAsia="宋体" w:cs="宋体"/>
          <w:sz w:val="32"/>
          <w:szCs w:val="32"/>
          <w:lang w:eastAsia="zh-CN"/>
        </w:rPr>
        <w:t>以上年度实际支出数为基础</w:t>
      </w:r>
      <w:r>
        <w:rPr>
          <w:rFonts w:hint="eastAsia" w:ascii="宋体" w:hAnsi="宋体" w:eastAsia="宋体" w:cs="宋体"/>
          <w:sz w:val="32"/>
          <w:szCs w:val="32"/>
        </w:rPr>
        <w:t>，与本年度实际支出相差较大。</w:t>
      </w:r>
    </w:p>
    <w:p w14:paraId="072AC375">
      <w:pPr>
        <w:pStyle w:val="9"/>
        <w:ind w:firstLine="960" w:firstLineChars="3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、住房保障支出（221）住房改革支出（22102）住房公积金（2210201）</w:t>
      </w:r>
    </w:p>
    <w:p w14:paraId="462ECF75">
      <w:pPr>
        <w:pStyle w:val="9"/>
        <w:ind w:firstLine="1280" w:firstLineChars="400"/>
        <w:rPr>
          <w:rFonts w:asciiTheme="minorEastAsia" w:hAnsiTheme="minorEastAsia" w:eastAsiaTheme="minorEastAsia"/>
          <w:sz w:val="32"/>
          <w:szCs w:val="32"/>
        </w:rPr>
      </w:pPr>
      <w:r>
        <w:rPr>
          <w:rFonts w:hint="eastAsia" w:asciiTheme="minorEastAsia" w:hAnsiTheme="minorEastAsia" w:eastAsiaTheme="minorEastAsia"/>
          <w:sz w:val="32"/>
          <w:szCs w:val="32"/>
        </w:rPr>
        <w:t>支出决算为10.29万元，决算数大于年初预算数的主要原因是：财政配套的住房公积金没有纳入财政年初预算。</w:t>
      </w:r>
    </w:p>
    <w:p w14:paraId="0EC107A0">
      <w:pPr>
        <w:pStyle w:val="9"/>
        <w:rPr>
          <w:rFonts w:hAnsi="黑体"/>
          <w:b/>
          <w:sz w:val="32"/>
          <w:szCs w:val="32"/>
        </w:rPr>
      </w:pPr>
      <w:r>
        <w:rPr>
          <w:rFonts w:hint="eastAsia" w:hAnsi="黑体"/>
          <w:b/>
          <w:sz w:val="32"/>
          <w:szCs w:val="32"/>
        </w:rPr>
        <w:t>六、一般公共预算财政拨款基本支出决算情况说明</w:t>
      </w:r>
    </w:p>
    <w:p w14:paraId="2B5021A3">
      <w:pPr>
        <w:pStyle w:val="9"/>
        <w:ind w:firstLine="640" w:firstLineChars="200"/>
        <w:rPr>
          <w:rFonts w:hint="eastAsia" w:asciiTheme="minorEastAsia" w:hAnsiTheme="minorEastAsia" w:eastAsiaTheme="minorEastAsia"/>
          <w:color w:val="auto"/>
          <w:sz w:val="32"/>
          <w:szCs w:val="32"/>
        </w:rPr>
      </w:pPr>
      <w:r>
        <w:rPr>
          <w:rFonts w:hint="eastAsia" w:asciiTheme="minorEastAsia" w:hAnsiTheme="minorEastAsia" w:eastAsiaTheme="minorEastAsia"/>
          <w:color w:val="auto"/>
          <w:sz w:val="32"/>
          <w:szCs w:val="32"/>
        </w:rPr>
        <w:t>202</w:t>
      </w:r>
      <w:r>
        <w:rPr>
          <w:rFonts w:hint="eastAsia" w:asciiTheme="minorEastAsia" w:hAnsiTheme="minorEastAsia" w:eastAsiaTheme="minorEastAsia"/>
          <w:color w:val="auto"/>
          <w:sz w:val="32"/>
          <w:szCs w:val="32"/>
          <w:lang w:val="en-US" w:eastAsia="zh-CN"/>
        </w:rPr>
        <w:t>2</w:t>
      </w:r>
      <w:r>
        <w:rPr>
          <w:rFonts w:hint="eastAsia" w:asciiTheme="minorEastAsia" w:hAnsiTheme="minorEastAsia" w:eastAsiaTheme="minorEastAsia"/>
          <w:color w:val="auto"/>
          <w:sz w:val="32"/>
          <w:szCs w:val="32"/>
        </w:rPr>
        <w:t>年度财政拨款基本支出5828.37万元，其中：</w:t>
      </w:r>
    </w:p>
    <w:p w14:paraId="0C158B26">
      <w:pPr>
        <w:pStyle w:val="9"/>
        <w:ind w:firstLine="640" w:firstLineChars="200"/>
        <w:rPr>
          <w:rFonts w:hint="eastAsia" w:ascii="宋体" w:hAnsi="宋体" w:eastAsia="宋体" w:cs="宋体"/>
          <w:color w:val="000000" w:themeColor="text1"/>
          <w:sz w:val="32"/>
          <w:szCs w:val="32"/>
          <w14:textFill>
            <w14:solidFill>
              <w14:schemeClr w14:val="tx1"/>
            </w14:solidFill>
          </w14:textFill>
        </w:rPr>
      </w:pPr>
      <w:r>
        <w:rPr>
          <w:rFonts w:hint="eastAsia" w:asciiTheme="minorEastAsia" w:hAnsiTheme="minorEastAsia" w:eastAsiaTheme="minorEastAsia"/>
          <w:color w:val="auto"/>
          <w:sz w:val="32"/>
          <w:szCs w:val="32"/>
        </w:rPr>
        <w:t>人员经费5134.39万元，占基本支出的</w:t>
      </w:r>
      <w:r>
        <w:rPr>
          <w:rFonts w:hint="eastAsia" w:asciiTheme="minorEastAsia" w:hAnsiTheme="minorEastAsia" w:eastAsiaTheme="minorEastAsia"/>
          <w:color w:val="auto"/>
          <w:sz w:val="32"/>
          <w:szCs w:val="32"/>
          <w:lang w:val="en-US" w:eastAsia="zh-CN"/>
        </w:rPr>
        <w:t>88.09</w:t>
      </w:r>
      <w:r>
        <w:rPr>
          <w:rFonts w:hint="eastAsia" w:asciiTheme="minorEastAsia" w:hAnsiTheme="minorEastAsia" w:eastAsiaTheme="minorEastAsia"/>
          <w:color w:val="auto"/>
          <w:sz w:val="32"/>
          <w:szCs w:val="32"/>
        </w:rPr>
        <w:t>%,</w:t>
      </w:r>
      <w:r>
        <w:rPr>
          <w:rFonts w:hint="eastAsia" w:ascii="宋体" w:hAnsi="宋体" w:eastAsia="宋体" w:cs="宋体"/>
          <w:color w:val="auto"/>
          <w:sz w:val="32"/>
          <w:szCs w:val="32"/>
        </w:rPr>
        <w:t>主要包括基本工资</w:t>
      </w:r>
      <w:r>
        <w:rPr>
          <w:rFonts w:hint="eastAsia" w:ascii="宋体" w:hAnsi="宋体" w:eastAsia="宋体" w:cs="宋体"/>
          <w:color w:val="auto"/>
          <w:sz w:val="32"/>
          <w:szCs w:val="32"/>
          <w:lang w:val="en-US" w:eastAsia="zh-CN"/>
        </w:rPr>
        <w:t>730.33万元</w:t>
      </w:r>
      <w:r>
        <w:rPr>
          <w:rFonts w:hint="eastAsia" w:ascii="宋体" w:hAnsi="宋体" w:eastAsia="宋体" w:cs="宋体"/>
          <w:color w:val="auto"/>
          <w:sz w:val="32"/>
          <w:szCs w:val="32"/>
        </w:rPr>
        <w:t>、津贴补贴</w:t>
      </w:r>
      <w:r>
        <w:rPr>
          <w:rFonts w:hint="eastAsia" w:ascii="宋体" w:hAnsi="宋体" w:eastAsia="宋体" w:cs="宋体"/>
          <w:color w:val="auto"/>
          <w:sz w:val="32"/>
          <w:szCs w:val="32"/>
          <w:lang w:val="en-US" w:eastAsia="zh-CN"/>
        </w:rPr>
        <w:t>257.19万元</w:t>
      </w:r>
      <w:r>
        <w:rPr>
          <w:rFonts w:hint="eastAsia" w:ascii="宋体" w:hAnsi="宋体" w:eastAsia="宋体" w:cs="宋体"/>
          <w:color w:val="auto"/>
          <w:sz w:val="32"/>
          <w:szCs w:val="32"/>
        </w:rPr>
        <w:t>、</w:t>
      </w:r>
      <w:r>
        <w:rPr>
          <w:rFonts w:hint="eastAsia" w:ascii="宋体" w:hAnsi="宋体" w:eastAsia="宋体" w:cs="宋体"/>
          <w:color w:val="000000" w:themeColor="text1"/>
          <w:sz w:val="32"/>
          <w:szCs w:val="32"/>
          <w14:textFill>
            <w14:solidFill>
              <w14:schemeClr w14:val="tx1"/>
            </w14:solidFill>
          </w14:textFill>
        </w:rPr>
        <w:t>奖金</w:t>
      </w:r>
      <w:r>
        <w:rPr>
          <w:rFonts w:hint="eastAsia" w:ascii="宋体" w:hAnsi="宋体" w:eastAsia="宋体" w:cs="宋体"/>
          <w:color w:val="000000" w:themeColor="text1"/>
          <w:sz w:val="32"/>
          <w:szCs w:val="32"/>
          <w:lang w:val="en-US" w:eastAsia="zh-CN"/>
          <w14:textFill>
            <w14:solidFill>
              <w14:schemeClr w14:val="tx1"/>
            </w14:solidFill>
          </w14:textFill>
        </w:rPr>
        <w:t>12.96万元</w:t>
      </w:r>
      <w:r>
        <w:rPr>
          <w:rFonts w:hint="eastAsia" w:ascii="宋体" w:hAnsi="宋体" w:eastAsia="宋体" w:cs="宋体"/>
          <w:color w:val="000000" w:themeColor="text1"/>
          <w:sz w:val="32"/>
          <w:szCs w:val="32"/>
          <w14:textFill>
            <w14:solidFill>
              <w14:schemeClr w14:val="tx1"/>
            </w14:solidFill>
          </w14:textFill>
        </w:rPr>
        <w:t>、伙食补助费30.72</w:t>
      </w:r>
      <w:r>
        <w:rPr>
          <w:rFonts w:hint="eastAsia" w:ascii="宋体" w:hAnsi="宋体" w:eastAsia="宋体" w:cs="宋体"/>
          <w:color w:val="000000" w:themeColor="text1"/>
          <w:sz w:val="32"/>
          <w:szCs w:val="32"/>
          <w:lang w:eastAsia="zh-CN"/>
          <w14:textFill>
            <w14:solidFill>
              <w14:schemeClr w14:val="tx1"/>
            </w14:solidFill>
          </w14:textFill>
        </w:rPr>
        <w:t>万元、绩效工资151.03万元、机关事业单位基本养老保险缴费</w:t>
      </w:r>
      <w:r>
        <w:rPr>
          <w:rFonts w:hint="eastAsia" w:ascii="宋体" w:hAnsi="宋体" w:eastAsia="宋体" w:cs="宋体"/>
          <w:color w:val="000000" w:themeColor="text1"/>
          <w:sz w:val="32"/>
          <w:szCs w:val="32"/>
          <w:lang w:val="en-US" w:eastAsia="zh-CN"/>
          <w14:textFill>
            <w14:solidFill>
              <w14:schemeClr w14:val="tx1"/>
            </w14:solidFill>
          </w14:textFill>
        </w:rPr>
        <w:t>144.95万元、职工</w:t>
      </w:r>
      <w:r>
        <w:rPr>
          <w:rFonts w:hint="eastAsia" w:ascii="宋体" w:hAnsi="宋体" w:eastAsia="宋体" w:cs="宋体"/>
          <w:color w:val="000000" w:themeColor="text1"/>
          <w:sz w:val="32"/>
          <w:szCs w:val="32"/>
          <w14:textFill>
            <w14:solidFill>
              <w14:schemeClr w14:val="tx1"/>
            </w14:solidFill>
          </w14:textFill>
        </w:rPr>
        <w:t>基本养老</w:t>
      </w:r>
      <w:r>
        <w:rPr>
          <w:rFonts w:hint="eastAsia" w:ascii="宋体" w:hAnsi="宋体" w:eastAsia="宋体" w:cs="宋体"/>
          <w:color w:val="000000" w:themeColor="text1"/>
          <w:sz w:val="32"/>
          <w:szCs w:val="32"/>
          <w:lang w:val="en-US" w:eastAsia="zh-CN"/>
          <w14:textFill>
            <w14:solidFill>
              <w14:schemeClr w14:val="tx1"/>
            </w14:solidFill>
          </w14:textFill>
        </w:rPr>
        <w:t>保险</w:t>
      </w:r>
      <w:r>
        <w:rPr>
          <w:rFonts w:hint="eastAsia" w:ascii="宋体" w:hAnsi="宋体" w:eastAsia="宋体" w:cs="宋体"/>
          <w:color w:val="000000" w:themeColor="text1"/>
          <w:sz w:val="32"/>
          <w:szCs w:val="32"/>
          <w14:textFill>
            <w14:solidFill>
              <w14:schemeClr w14:val="tx1"/>
            </w14:solidFill>
          </w14:textFill>
        </w:rPr>
        <w:t>缴费</w:t>
      </w:r>
      <w:r>
        <w:rPr>
          <w:rFonts w:hint="eastAsia" w:ascii="宋体" w:hAnsi="宋体" w:eastAsia="宋体" w:cs="宋体"/>
          <w:color w:val="000000" w:themeColor="text1"/>
          <w:sz w:val="32"/>
          <w:szCs w:val="32"/>
          <w:lang w:val="en-US" w:eastAsia="zh-CN"/>
          <w14:textFill>
            <w14:solidFill>
              <w14:schemeClr w14:val="tx1"/>
            </w14:solidFill>
          </w14:textFill>
        </w:rPr>
        <w:t>0万元</w:t>
      </w:r>
      <w:r>
        <w:rPr>
          <w:rFonts w:hint="eastAsia" w:ascii="宋体" w:hAnsi="宋体" w:eastAsia="宋体" w:cs="宋体"/>
          <w:color w:val="000000" w:themeColor="text1"/>
          <w:sz w:val="32"/>
          <w:szCs w:val="32"/>
          <w14:textFill>
            <w14:solidFill>
              <w14:schemeClr w14:val="tx1"/>
            </w14:solidFill>
          </w14:textFill>
        </w:rPr>
        <w:t>、职工基本医疗保险缴费76.68</w:t>
      </w:r>
      <w:r>
        <w:rPr>
          <w:rFonts w:hint="eastAsia" w:ascii="宋体" w:hAnsi="宋体" w:eastAsia="宋体" w:cs="宋体"/>
          <w:color w:val="000000" w:themeColor="text1"/>
          <w:sz w:val="32"/>
          <w:szCs w:val="32"/>
          <w:lang w:eastAsia="zh-CN"/>
          <w14:textFill>
            <w14:solidFill>
              <w14:schemeClr w14:val="tx1"/>
            </w14:solidFill>
          </w14:textFill>
        </w:rPr>
        <w:t>万元、其他社会保障缴费</w:t>
      </w:r>
      <w:r>
        <w:rPr>
          <w:rFonts w:hint="eastAsia" w:ascii="宋体" w:hAnsi="宋体" w:eastAsia="宋体" w:cs="宋体"/>
          <w:color w:val="000000" w:themeColor="text1"/>
          <w:sz w:val="32"/>
          <w:szCs w:val="32"/>
          <w:lang w:val="en-US" w:eastAsia="zh-CN"/>
          <w14:textFill>
            <w14:solidFill>
              <w14:schemeClr w14:val="tx1"/>
            </w14:solidFill>
          </w14:textFill>
        </w:rPr>
        <w:t>184.12万元、</w:t>
      </w:r>
      <w:r>
        <w:rPr>
          <w:rFonts w:hint="eastAsia" w:ascii="宋体" w:hAnsi="宋体" w:eastAsia="宋体" w:cs="宋体"/>
          <w:color w:val="000000" w:themeColor="text1"/>
          <w:sz w:val="32"/>
          <w:szCs w:val="32"/>
          <w14:textFill>
            <w14:solidFill>
              <w14:schemeClr w14:val="tx1"/>
            </w14:solidFill>
          </w14:textFill>
        </w:rPr>
        <w:t>住房公积金</w:t>
      </w:r>
      <w:r>
        <w:rPr>
          <w:rFonts w:hint="eastAsia" w:ascii="宋体" w:hAnsi="宋体" w:eastAsia="宋体" w:cs="宋体"/>
          <w:color w:val="000000" w:themeColor="text1"/>
          <w:sz w:val="32"/>
          <w:szCs w:val="32"/>
          <w:lang w:val="en-US" w:eastAsia="zh-CN"/>
          <w14:textFill>
            <w14:solidFill>
              <w14:schemeClr w14:val="tx1"/>
            </w14:solidFill>
          </w14:textFill>
        </w:rPr>
        <w:t>68.34万元</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eastAsia="zh-CN"/>
          <w14:textFill>
            <w14:solidFill>
              <w14:schemeClr w14:val="tx1"/>
            </w14:solidFill>
          </w14:textFill>
        </w:rPr>
        <w:t>其他工资福利支出</w:t>
      </w:r>
      <w:r>
        <w:rPr>
          <w:rFonts w:hint="eastAsia" w:ascii="宋体" w:hAnsi="宋体" w:eastAsia="宋体" w:cs="宋体"/>
          <w:color w:val="000000" w:themeColor="text1"/>
          <w:sz w:val="32"/>
          <w:szCs w:val="32"/>
          <w:lang w:val="en-US" w:eastAsia="zh-CN"/>
          <w14:textFill>
            <w14:solidFill>
              <w14:schemeClr w14:val="tx1"/>
            </w14:solidFill>
          </w14:textFill>
        </w:rPr>
        <w:t>13.45万元，</w:t>
      </w:r>
      <w:r>
        <w:rPr>
          <w:rFonts w:hint="eastAsia" w:ascii="宋体" w:hAnsi="宋体" w:eastAsia="宋体" w:cs="宋体"/>
          <w:color w:val="000000" w:themeColor="text1"/>
          <w:sz w:val="32"/>
          <w:szCs w:val="32"/>
          <w14:textFill>
            <w14:solidFill>
              <w14:schemeClr w14:val="tx1"/>
            </w14:solidFill>
          </w14:textFill>
        </w:rPr>
        <w:t>对个人和家庭补助</w:t>
      </w:r>
      <w:r>
        <w:rPr>
          <w:rFonts w:hint="eastAsia" w:ascii="宋体" w:hAnsi="宋体" w:eastAsia="宋体" w:cs="宋体"/>
          <w:color w:val="000000" w:themeColor="text1"/>
          <w:sz w:val="32"/>
          <w:szCs w:val="32"/>
          <w:lang w:val="en-US" w:eastAsia="zh-CN"/>
          <w14:textFill>
            <w14:solidFill>
              <w14:schemeClr w14:val="tx1"/>
            </w14:solidFill>
          </w14:textFill>
        </w:rPr>
        <w:t>3464.62万元</w:t>
      </w:r>
      <w:r>
        <w:rPr>
          <w:rFonts w:hint="eastAsia" w:ascii="宋体" w:hAnsi="宋体" w:eastAsia="宋体" w:cs="宋体"/>
          <w:color w:val="000000" w:themeColor="text1"/>
          <w:sz w:val="32"/>
          <w:szCs w:val="32"/>
          <w14:textFill>
            <w14:solidFill>
              <w14:schemeClr w14:val="tx1"/>
            </w14:solidFill>
          </w14:textFill>
        </w:rPr>
        <w:t>等；</w:t>
      </w:r>
    </w:p>
    <w:p w14:paraId="45C53889">
      <w:pPr>
        <w:pStyle w:val="9"/>
        <w:ind w:firstLine="640" w:firstLineChars="200"/>
        <w:rPr>
          <w:rFonts w:hint="eastAsia" w:ascii="宋体" w:hAnsi="宋体" w:eastAsia="宋体" w:cs="Times New Roman"/>
          <w:color w:val="000000" w:themeColor="text1"/>
          <w:sz w:val="32"/>
          <w:szCs w:val="32"/>
          <w:lang w:eastAsia="zh-CN"/>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公用经费693.98万元，占基本支出的</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11.91</w:t>
      </w:r>
      <w:r>
        <w:rPr>
          <w:rFonts w:hint="eastAsia" w:asciiTheme="minorEastAsia" w:hAnsiTheme="minorEastAsia" w:eastAsiaTheme="minorEastAsia"/>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14:textFill>
            <w14:solidFill>
              <w14:schemeClr w14:val="tx1"/>
            </w14:solidFill>
          </w14:textFill>
        </w:rPr>
        <w:t>主要包括办公费</w:t>
      </w:r>
      <w:r>
        <w:rPr>
          <w:rFonts w:hint="eastAsia" w:ascii="宋体" w:hAnsi="宋体" w:eastAsia="宋体" w:cs="宋体"/>
          <w:color w:val="000000" w:themeColor="text1"/>
          <w:sz w:val="32"/>
          <w:szCs w:val="32"/>
          <w:lang w:val="en-US" w:eastAsia="zh-CN"/>
          <w14:textFill>
            <w14:solidFill>
              <w14:schemeClr w14:val="tx1"/>
            </w14:solidFill>
          </w14:textFill>
        </w:rPr>
        <w:t>86.38万元</w:t>
      </w:r>
      <w:r>
        <w:rPr>
          <w:rFonts w:hint="eastAsia" w:ascii="宋体" w:hAnsi="宋体" w:eastAsia="宋体" w:cs="宋体"/>
          <w:color w:val="000000" w:themeColor="text1"/>
          <w:sz w:val="32"/>
          <w:szCs w:val="32"/>
          <w14:textFill>
            <w14:solidFill>
              <w14:schemeClr w14:val="tx1"/>
            </w14:solidFill>
          </w14:textFill>
        </w:rPr>
        <w:t>、印刷费</w:t>
      </w:r>
      <w:r>
        <w:rPr>
          <w:rFonts w:hint="eastAsia" w:ascii="宋体" w:hAnsi="宋体" w:eastAsia="宋体" w:cs="宋体"/>
          <w:color w:val="000000" w:themeColor="text1"/>
          <w:sz w:val="32"/>
          <w:szCs w:val="32"/>
          <w:lang w:val="en-US" w:eastAsia="zh-CN"/>
          <w14:textFill>
            <w14:solidFill>
              <w14:schemeClr w14:val="tx1"/>
            </w14:solidFill>
          </w14:textFill>
        </w:rPr>
        <w:t>10.34万元</w:t>
      </w:r>
      <w:r>
        <w:rPr>
          <w:rFonts w:hint="eastAsia" w:ascii="宋体" w:hAnsi="宋体" w:eastAsia="宋体" w:cs="宋体"/>
          <w:color w:val="000000" w:themeColor="text1"/>
          <w:sz w:val="32"/>
          <w:szCs w:val="32"/>
          <w14:textFill>
            <w14:solidFill>
              <w14:schemeClr w14:val="tx1"/>
            </w14:solidFill>
          </w14:textFill>
        </w:rPr>
        <w:t>、咨询费</w:t>
      </w:r>
      <w:r>
        <w:rPr>
          <w:rFonts w:hint="eastAsia" w:ascii="宋体" w:hAnsi="宋体" w:eastAsia="宋体" w:cs="宋体"/>
          <w:color w:val="000000" w:themeColor="text1"/>
          <w:sz w:val="32"/>
          <w:szCs w:val="32"/>
          <w:lang w:val="en-US" w:eastAsia="zh-CN"/>
          <w14:textFill>
            <w14:solidFill>
              <w14:schemeClr w14:val="tx1"/>
            </w14:solidFill>
          </w14:textFill>
        </w:rPr>
        <w:t>0万元</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eastAsia="zh-CN"/>
          <w14:textFill>
            <w14:solidFill>
              <w14:schemeClr w14:val="tx1"/>
            </w14:solidFill>
          </w14:textFill>
        </w:rPr>
        <w:t>水费</w:t>
      </w:r>
      <w:r>
        <w:rPr>
          <w:rFonts w:hint="eastAsia" w:ascii="宋体" w:hAnsi="宋体" w:eastAsia="宋体" w:cs="宋体"/>
          <w:color w:val="000000" w:themeColor="text1"/>
          <w:sz w:val="32"/>
          <w:szCs w:val="32"/>
          <w:lang w:val="en-US" w:eastAsia="zh-CN"/>
          <w14:textFill>
            <w14:solidFill>
              <w14:schemeClr w14:val="tx1"/>
            </w14:solidFill>
          </w14:textFill>
        </w:rPr>
        <w:t>1.12万元</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eastAsia="zh-CN"/>
          <w14:textFill>
            <w14:solidFill>
              <w14:schemeClr w14:val="tx1"/>
            </w14:solidFill>
          </w14:textFill>
        </w:rPr>
        <w:t>电费</w:t>
      </w:r>
      <w:r>
        <w:rPr>
          <w:rFonts w:hint="eastAsia" w:ascii="宋体" w:hAnsi="宋体" w:eastAsia="宋体" w:cs="宋体"/>
          <w:color w:val="000000" w:themeColor="text1"/>
          <w:sz w:val="32"/>
          <w:szCs w:val="32"/>
          <w:lang w:val="en-US" w:eastAsia="zh-CN"/>
          <w14:textFill>
            <w14:solidFill>
              <w14:schemeClr w14:val="tx1"/>
            </w14:solidFill>
          </w14:textFill>
        </w:rPr>
        <w:t>6.89万元、邮电费0.52万元、</w:t>
      </w:r>
      <w:r>
        <w:rPr>
          <w:rFonts w:hint="eastAsia" w:ascii="宋体" w:hAnsi="宋体" w:eastAsia="宋体" w:cs="宋体"/>
          <w:color w:val="000000" w:themeColor="text1"/>
          <w:sz w:val="32"/>
          <w:szCs w:val="32"/>
          <w14:textFill>
            <w14:solidFill>
              <w14:schemeClr w14:val="tx1"/>
            </w14:solidFill>
          </w14:textFill>
        </w:rPr>
        <w:t>差旅</w:t>
      </w:r>
      <w:r>
        <w:rPr>
          <w:rFonts w:hint="eastAsia" w:ascii="宋体" w:hAnsi="宋体" w:eastAsia="宋体" w:cs="宋体"/>
          <w:color w:val="000000" w:themeColor="text1"/>
          <w:sz w:val="32"/>
          <w:szCs w:val="32"/>
          <w:lang w:val="en-US" w:eastAsia="zh-CN"/>
          <w14:textFill>
            <w14:solidFill>
              <w14:schemeClr w14:val="tx1"/>
            </w14:solidFill>
          </w14:textFill>
        </w:rPr>
        <w:t>费17.74万元</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eastAsia="zh-CN"/>
          <w14:textFill>
            <w14:solidFill>
              <w14:schemeClr w14:val="tx1"/>
            </w14:solidFill>
          </w14:textFill>
        </w:rPr>
        <w:t>维修费</w:t>
      </w:r>
      <w:r>
        <w:rPr>
          <w:rFonts w:hint="eastAsia" w:ascii="宋体" w:hAnsi="宋体" w:eastAsia="宋体" w:cs="宋体"/>
          <w:color w:val="000000" w:themeColor="text1"/>
          <w:sz w:val="32"/>
          <w:szCs w:val="32"/>
          <w:lang w:val="en-US" w:eastAsia="zh-CN"/>
          <w14:textFill>
            <w14:solidFill>
              <w14:schemeClr w14:val="tx1"/>
            </w14:solidFill>
          </w14:textFill>
        </w:rPr>
        <w:t>0.77万元、租赁费0.75万元、会议费6.06万元、培训费0万元、公务接待费0.5万元、劳务费140.72万元</w:t>
      </w:r>
      <w:r>
        <w:rPr>
          <w:rFonts w:hint="eastAsia" w:ascii="宋体" w:hAnsi="宋体" w:eastAsia="宋体" w:cs="宋体"/>
          <w:color w:val="000000" w:themeColor="text1"/>
          <w:sz w:val="32"/>
          <w:szCs w:val="32"/>
          <w14:textFill>
            <w14:solidFill>
              <w14:schemeClr w14:val="tx1"/>
            </w14:solidFill>
          </w14:textFill>
        </w:rPr>
        <w:t>、工会经费</w:t>
      </w:r>
      <w:r>
        <w:rPr>
          <w:rFonts w:hint="eastAsia" w:ascii="宋体" w:hAnsi="宋体" w:eastAsia="宋体" w:cs="宋体"/>
          <w:color w:val="000000" w:themeColor="text1"/>
          <w:sz w:val="32"/>
          <w:szCs w:val="32"/>
          <w:lang w:val="en-US" w:eastAsia="zh-CN"/>
          <w14:textFill>
            <w14:solidFill>
              <w14:schemeClr w14:val="tx1"/>
            </w14:solidFill>
          </w14:textFill>
        </w:rPr>
        <w:t>48.23万元</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eastAsia="zh-CN"/>
          <w14:textFill>
            <w14:solidFill>
              <w14:schemeClr w14:val="tx1"/>
            </w14:solidFill>
          </w14:textFill>
        </w:rPr>
        <w:t>福利费</w:t>
      </w:r>
      <w:r>
        <w:rPr>
          <w:rFonts w:hint="eastAsia" w:ascii="宋体" w:hAnsi="宋体" w:eastAsia="宋体" w:cs="宋体"/>
          <w:color w:val="000000" w:themeColor="text1"/>
          <w:sz w:val="32"/>
          <w:szCs w:val="32"/>
          <w:lang w:val="en-US" w:eastAsia="zh-CN"/>
          <w14:textFill>
            <w14:solidFill>
              <w14:schemeClr w14:val="tx1"/>
            </w14:solidFill>
          </w14:textFill>
        </w:rPr>
        <w:t>0万元、其他交通费用72.48万元、</w:t>
      </w:r>
      <w:r>
        <w:rPr>
          <w:rFonts w:hint="eastAsia" w:ascii="宋体" w:hAnsi="宋体" w:eastAsia="宋体" w:cs="宋体"/>
          <w:color w:val="000000" w:themeColor="text1"/>
          <w:sz w:val="32"/>
          <w:szCs w:val="32"/>
          <w14:textFill>
            <w14:solidFill>
              <w14:schemeClr w14:val="tx1"/>
            </w14:solidFill>
          </w14:textFill>
        </w:rPr>
        <w:t>其他商品和服务支出</w:t>
      </w:r>
      <w:r>
        <w:rPr>
          <w:rFonts w:hint="eastAsia" w:ascii="宋体" w:hAnsi="宋体" w:eastAsia="宋体" w:cs="宋体"/>
          <w:color w:val="000000" w:themeColor="text1"/>
          <w:sz w:val="32"/>
          <w:szCs w:val="32"/>
          <w:lang w:val="en-US" w:eastAsia="zh-CN"/>
          <w14:textFill>
            <w14:solidFill>
              <w14:schemeClr w14:val="tx1"/>
            </w14:solidFill>
          </w14:textFill>
        </w:rPr>
        <w:t>163.69万元</w:t>
      </w:r>
      <w:r>
        <w:rPr>
          <w:rFonts w:hint="eastAsia" w:ascii="宋体" w:hAnsi="宋体" w:eastAsia="宋体" w:cs="宋体"/>
          <w:color w:val="000000" w:themeColor="text1"/>
          <w:sz w:val="32"/>
          <w:szCs w:val="32"/>
          <w14:textFill>
            <w14:solidFill>
              <w14:schemeClr w14:val="tx1"/>
            </w14:solidFill>
          </w14:textFill>
        </w:rPr>
        <w:t>。资本性支出137.78</w:t>
      </w:r>
      <w:r>
        <w:rPr>
          <w:rFonts w:hint="eastAsia" w:ascii="宋体" w:hAnsi="宋体" w:eastAsia="宋体" w:cs="宋体"/>
          <w:color w:val="000000" w:themeColor="text1"/>
          <w:sz w:val="32"/>
          <w:szCs w:val="32"/>
          <w:lang w:eastAsia="zh-CN"/>
          <w14:textFill>
            <w14:solidFill>
              <w14:schemeClr w14:val="tx1"/>
            </w14:solidFill>
          </w14:textFill>
        </w:rPr>
        <w:t>万元。</w:t>
      </w:r>
    </w:p>
    <w:p w14:paraId="032BEABF">
      <w:pPr>
        <w:pStyle w:val="9"/>
        <w:rPr>
          <w:rFonts w:asciiTheme="minorEastAsia" w:hAnsiTheme="minorEastAsia" w:eastAsiaTheme="minorEastAsia"/>
          <w:i/>
          <w:color w:val="FF0000"/>
          <w:sz w:val="32"/>
          <w:szCs w:val="32"/>
        </w:rPr>
      </w:pPr>
    </w:p>
    <w:p w14:paraId="0278F28D">
      <w:pPr>
        <w:pStyle w:val="9"/>
        <w:rPr>
          <w:rFonts w:hAnsi="黑体"/>
          <w:b/>
          <w:sz w:val="32"/>
          <w:szCs w:val="32"/>
        </w:rPr>
      </w:pPr>
      <w:r>
        <w:rPr>
          <w:rFonts w:hint="eastAsia" w:hAnsi="黑体"/>
          <w:b/>
          <w:sz w:val="32"/>
          <w:szCs w:val="32"/>
        </w:rPr>
        <w:t>七、一般公共预算财政拨款“三公”经费支出决算情况说明</w:t>
      </w:r>
    </w:p>
    <w:p w14:paraId="01C8E629">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068269E1">
      <w:pPr>
        <w:pStyle w:val="9"/>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lang w:eastAsia="zh-CN"/>
        </w:rPr>
        <w:t>2022</w:t>
      </w:r>
      <w:r>
        <w:rPr>
          <w:rFonts w:hint="eastAsia" w:asciiTheme="minorEastAsia" w:hAnsiTheme="minorEastAsia" w:eastAsiaTheme="minorEastAsia"/>
          <w:sz w:val="32"/>
          <w:szCs w:val="32"/>
        </w:rPr>
        <w:t>年度“三公”经费财政拨款支出预算为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5万元，支出决算为</w:t>
      </w:r>
      <w:r>
        <w:rPr>
          <w:rFonts w:hint="eastAsia" w:asciiTheme="minorEastAsia" w:hAnsiTheme="minorEastAsia" w:eastAsiaTheme="minorEastAsia"/>
          <w:sz w:val="32"/>
          <w:szCs w:val="32"/>
          <w:lang w:val="en-US" w:eastAsia="zh-CN"/>
        </w:rPr>
        <w:t>0.5</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280045EF">
      <w:pPr>
        <w:pStyle w:val="9"/>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因公出国（境）费支出预算为0万元，支出决算为0万元，完成预算的0%，决算数等于预算数，与上年相比没有增减。</w:t>
      </w:r>
    </w:p>
    <w:p w14:paraId="23CF0259">
      <w:pPr>
        <w:pStyle w:val="9"/>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5万元，支出决算为</w:t>
      </w:r>
      <w:r>
        <w:rPr>
          <w:rFonts w:hint="eastAsia" w:asciiTheme="minorEastAsia" w:hAnsiTheme="minorEastAsia" w:eastAsiaTheme="minorEastAsia"/>
          <w:sz w:val="32"/>
          <w:szCs w:val="32"/>
          <w:lang w:val="en-US" w:eastAsia="zh-CN"/>
        </w:rPr>
        <w:t>0.5</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%，与上年</w:t>
      </w:r>
      <w:r>
        <w:rPr>
          <w:rFonts w:hint="eastAsia" w:asciiTheme="minorEastAsia" w:hAnsiTheme="minorEastAsia" w:eastAsiaTheme="minorEastAsia"/>
          <w:sz w:val="32"/>
          <w:szCs w:val="32"/>
          <w:lang w:val="en-US" w:eastAsia="zh-CN"/>
        </w:rPr>
        <w:t>4.31万元</w:t>
      </w:r>
      <w:r>
        <w:rPr>
          <w:rFonts w:hint="eastAsia" w:asciiTheme="minorEastAsia" w:hAnsiTheme="minorEastAsia" w:eastAsiaTheme="minorEastAsia"/>
          <w:sz w:val="32"/>
          <w:szCs w:val="32"/>
        </w:rPr>
        <w:t>相比减少</w:t>
      </w:r>
      <w:r>
        <w:rPr>
          <w:rFonts w:hint="eastAsia" w:asciiTheme="minorEastAsia" w:hAnsiTheme="minorEastAsia" w:eastAsiaTheme="minorEastAsia"/>
          <w:sz w:val="32"/>
          <w:szCs w:val="32"/>
          <w:lang w:val="en-US" w:eastAsia="zh-CN"/>
        </w:rPr>
        <w:t>3.81</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88.39</w:t>
      </w:r>
      <w:r>
        <w:rPr>
          <w:rFonts w:hint="eastAsia" w:asciiTheme="minorEastAsia" w:hAnsiTheme="minorEastAsia" w:eastAsiaTheme="minorEastAsia"/>
          <w:sz w:val="32"/>
          <w:szCs w:val="32"/>
        </w:rPr>
        <w:t>%,减少的主要原因是严格执行八项规定，厉行节约。</w:t>
      </w:r>
    </w:p>
    <w:p w14:paraId="08C6ACA7">
      <w:pPr>
        <w:pStyle w:val="9"/>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公务用车购置费支出预算为0万元，支出决算为0万元，完成预算的0%，决算数等于预算数，与上年相比没有增减。</w:t>
      </w:r>
    </w:p>
    <w:p w14:paraId="1A8E382D">
      <w:pPr>
        <w:pStyle w:val="9"/>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公务用车运行维护费</w:t>
      </w:r>
      <w:r>
        <w:rPr>
          <w:rFonts w:hint="eastAsia" w:asciiTheme="minorEastAsia" w:hAnsiTheme="minorEastAsia" w:eastAsiaTheme="minorEastAsia"/>
          <w:sz w:val="32"/>
          <w:szCs w:val="32"/>
        </w:rPr>
        <w:t>支出预算为0万元，支出决算为0万元，完成预算的0%，决算数等于预算数，</w:t>
      </w:r>
      <w:r>
        <w:rPr>
          <w:rFonts w:hint="eastAsia" w:ascii="宋体" w:hAnsi="宋体" w:eastAsia="宋体" w:cs="宋体"/>
          <w:sz w:val="32"/>
          <w:szCs w:val="32"/>
        </w:rPr>
        <w:t>与上年相比没有增减</w:t>
      </w:r>
      <w:r>
        <w:rPr>
          <w:rFonts w:hint="eastAsia" w:asciiTheme="minorEastAsia" w:hAnsiTheme="minorEastAsia" w:eastAsiaTheme="minorEastAsia"/>
          <w:sz w:val="32"/>
          <w:szCs w:val="32"/>
        </w:rPr>
        <w:t>。</w:t>
      </w:r>
    </w:p>
    <w:p w14:paraId="13086781">
      <w:pPr>
        <w:pStyle w:val="9"/>
        <w:ind w:firstLine="640" w:firstLineChars="200"/>
        <w:rPr>
          <w:rFonts w:asciiTheme="minorEastAsia" w:hAnsiTheme="minorEastAsia" w:eastAsiaTheme="minorEastAsia"/>
          <w:sz w:val="32"/>
          <w:szCs w:val="32"/>
        </w:rPr>
      </w:pPr>
    </w:p>
    <w:p w14:paraId="4793A573">
      <w:pPr>
        <w:pStyle w:val="9"/>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4F5047BF">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lang w:eastAsia="zh-CN"/>
        </w:rPr>
        <w:t>2022</w:t>
      </w:r>
      <w:r>
        <w:rPr>
          <w:rFonts w:hint="eastAsia" w:asciiTheme="minorEastAsia" w:hAnsiTheme="minorEastAsia" w:eastAsiaTheme="minorEastAsia"/>
          <w:sz w:val="32"/>
          <w:szCs w:val="32"/>
        </w:rPr>
        <w:t>年度“三公”经费财政拨款支出决算中，公务接待费支出决算</w:t>
      </w:r>
      <w:r>
        <w:rPr>
          <w:rFonts w:hint="eastAsia" w:asciiTheme="minorEastAsia" w:hAnsiTheme="minorEastAsia" w:eastAsiaTheme="minorEastAsia"/>
          <w:sz w:val="32"/>
          <w:szCs w:val="32"/>
          <w:lang w:val="en-US" w:eastAsia="zh-CN"/>
        </w:rPr>
        <w:t>0.5</w:t>
      </w:r>
      <w:r>
        <w:rPr>
          <w:rFonts w:hint="eastAsia" w:asciiTheme="minorEastAsia" w:hAnsiTheme="minorEastAsia" w:eastAsiaTheme="minorEastAsia"/>
          <w:sz w:val="32"/>
          <w:szCs w:val="32"/>
        </w:rPr>
        <w:t>万元，占100%,因公出国（境）费支出决算0万元，占0%,公务用车购置费及运行维护费支出决算0万元，占0%。其中：</w:t>
      </w:r>
    </w:p>
    <w:p w14:paraId="140C68F2">
      <w:pPr>
        <w:pStyle w:val="9"/>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w:t>
      </w:r>
    </w:p>
    <w:p w14:paraId="72801A24">
      <w:pPr>
        <w:pStyle w:val="9"/>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2、公务接待费支出决算为4.31万元，全年共接待来访团组57个、来宾320人次，主要是发生的上级防溺水督查和上级教育督导接待支出。</w:t>
      </w:r>
    </w:p>
    <w:p w14:paraId="0C8149F2">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3、公务用车购置费及运行维护费支出决算为0万元，其中：公务用车购置费0万元</w:t>
      </w:r>
      <w:r>
        <w:rPr>
          <w:rFonts w:hint="eastAsia" w:asciiTheme="minorEastAsia" w:hAnsiTheme="minorEastAsia"/>
          <w:sz w:val="32"/>
          <w:szCs w:val="32"/>
          <w:lang w:eastAsia="zh-CN"/>
        </w:rPr>
        <w:t>，</w:t>
      </w:r>
      <w:r>
        <w:rPr>
          <w:rFonts w:hint="eastAsia" w:asciiTheme="minorEastAsia" w:hAnsiTheme="minorEastAsia"/>
          <w:sz w:val="32"/>
          <w:szCs w:val="32"/>
        </w:rPr>
        <w:t>更新公务用车</w:t>
      </w:r>
      <w:r>
        <w:rPr>
          <w:rFonts w:hint="eastAsia" w:asciiTheme="minorEastAsia" w:hAnsiTheme="minorEastAsia"/>
          <w:sz w:val="32"/>
          <w:szCs w:val="32"/>
          <w:lang w:val="en-US" w:eastAsia="zh-CN"/>
        </w:rPr>
        <w:t>0</w:t>
      </w:r>
      <w:r>
        <w:rPr>
          <w:rFonts w:hint="eastAsia" w:asciiTheme="minorEastAsia" w:hAnsiTheme="minorEastAsia"/>
          <w:sz w:val="32"/>
          <w:szCs w:val="32"/>
        </w:rPr>
        <w:t>辆。公务用车运行维护费0万元，截止</w:t>
      </w:r>
      <w:r>
        <w:rPr>
          <w:rFonts w:hint="eastAsia" w:asciiTheme="minorEastAsia" w:hAnsiTheme="minorEastAsia"/>
          <w:sz w:val="32"/>
          <w:szCs w:val="32"/>
          <w:lang w:eastAsia="zh-CN"/>
        </w:rPr>
        <w:t>2022</w:t>
      </w:r>
      <w:r>
        <w:rPr>
          <w:rFonts w:hint="eastAsia" w:asciiTheme="minorEastAsia" w:hAnsiTheme="minorEastAsia"/>
          <w:sz w:val="32"/>
          <w:szCs w:val="32"/>
        </w:rPr>
        <w:t>年12月31日，我单位开支财政拨款的公务用车保有量为0辆。</w:t>
      </w:r>
    </w:p>
    <w:p w14:paraId="4107C890">
      <w:pPr>
        <w:ind w:firstLine="800" w:firstLineChars="250"/>
        <w:rPr>
          <w:rFonts w:cs="黑体" w:asciiTheme="minorEastAsia" w:hAnsiTheme="minorEastAsia"/>
          <w:color w:val="000000"/>
          <w:kern w:val="0"/>
          <w:sz w:val="32"/>
          <w:szCs w:val="32"/>
        </w:rPr>
      </w:pPr>
    </w:p>
    <w:p w14:paraId="4A1F4407">
      <w:pPr>
        <w:pStyle w:val="9"/>
        <w:rPr>
          <w:rFonts w:hAnsi="黑体"/>
          <w:b/>
          <w:sz w:val="32"/>
          <w:szCs w:val="32"/>
        </w:rPr>
      </w:pPr>
      <w:r>
        <w:rPr>
          <w:rFonts w:hint="eastAsia" w:hAnsi="黑体"/>
          <w:b/>
          <w:sz w:val="32"/>
          <w:szCs w:val="32"/>
        </w:rPr>
        <w:t>八、政府性基金预算收入支出决算情况</w:t>
      </w:r>
    </w:p>
    <w:p w14:paraId="056148E4">
      <w:pPr>
        <w:pStyle w:val="9"/>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年度政府性基金预算财政拨款收入1970万元；年初结转和结余0万元；支出1970万元，其中基本支出4</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万元，项目支出1970万元；年末结转和结余0万元。具体情况如下：</w:t>
      </w:r>
    </w:p>
    <w:p w14:paraId="5875AC41">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1、其他支出（229）其他政府性基金及对应专项债务收入安排的支出（22904）其他地方自行试点项目收益专项债券收入安排的支出（2290402）。</w:t>
      </w:r>
    </w:p>
    <w:p w14:paraId="04611505">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年初预算为0万元，支出决算为1970万元，决算数大于年初预算数的主要原因是：追加</w:t>
      </w:r>
      <w:r>
        <w:rPr>
          <w:rFonts w:hint="eastAsia" w:asciiTheme="minorEastAsia" w:hAnsiTheme="minorEastAsia" w:eastAsiaTheme="minorEastAsia"/>
          <w:sz w:val="32"/>
          <w:szCs w:val="32"/>
          <w:lang w:eastAsia="zh-CN"/>
        </w:rPr>
        <w:t>县幼儿园基本建设支出</w:t>
      </w:r>
      <w:r>
        <w:rPr>
          <w:rFonts w:hint="eastAsia" w:asciiTheme="minorEastAsia" w:hAnsiTheme="minorEastAsia" w:eastAsiaTheme="minorEastAsia"/>
          <w:sz w:val="32"/>
          <w:szCs w:val="32"/>
        </w:rPr>
        <w:t>。</w:t>
      </w:r>
    </w:p>
    <w:p w14:paraId="57564D16">
      <w:pPr>
        <w:pStyle w:val="9"/>
        <w:ind w:firstLine="627" w:firstLineChars="196"/>
        <w:rPr>
          <w:rFonts w:hAnsi="黑体"/>
          <w:b/>
          <w:sz w:val="32"/>
          <w:szCs w:val="32"/>
        </w:rPr>
      </w:pPr>
      <w:r>
        <w:rPr>
          <w:rFonts w:hint="eastAsia" w:hAnsi="黑体"/>
          <w:b/>
          <w:sz w:val="32"/>
          <w:szCs w:val="32"/>
        </w:rPr>
        <w:t>九、机关运行经费支出说明</w:t>
      </w:r>
    </w:p>
    <w:p w14:paraId="79534EB9">
      <w:pPr>
        <w:pStyle w:val="9"/>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本部门202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年度机关运行经费支出</w:t>
      </w:r>
      <w:r>
        <w:rPr>
          <w:rFonts w:hint="eastAsia" w:asciiTheme="minorEastAsia" w:hAnsiTheme="minorEastAsia" w:eastAsiaTheme="minorEastAsia"/>
          <w:sz w:val="32"/>
          <w:szCs w:val="32"/>
          <w:lang w:val="en-US" w:eastAsia="zh-CN"/>
        </w:rPr>
        <w:t>693.98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比</w:t>
      </w:r>
      <w:r>
        <w:rPr>
          <w:rFonts w:hint="eastAsia" w:asciiTheme="minorEastAsia" w:hAnsiTheme="minorEastAsia" w:eastAsiaTheme="minorEastAsia"/>
          <w:sz w:val="32"/>
          <w:szCs w:val="32"/>
        </w:rPr>
        <w:t>上年决算数增加</w:t>
      </w:r>
      <w:r>
        <w:rPr>
          <w:rFonts w:hint="eastAsia" w:asciiTheme="minorEastAsia" w:hAnsiTheme="minorEastAsia" w:eastAsiaTheme="minorEastAsia"/>
          <w:sz w:val="32"/>
          <w:szCs w:val="32"/>
          <w:lang w:val="en-US" w:eastAsia="zh-CN"/>
        </w:rPr>
        <w:t>92</w:t>
      </w:r>
      <w:r>
        <w:rPr>
          <w:rFonts w:hint="eastAsia" w:asciiTheme="minorEastAsia" w:hAnsiTheme="minorEastAsia" w:eastAsiaTheme="minorEastAsia"/>
          <w:sz w:val="32"/>
          <w:szCs w:val="32"/>
        </w:rPr>
        <w:t xml:space="preserve"> 万元，增长</w:t>
      </w:r>
      <w:r>
        <w:rPr>
          <w:rFonts w:hint="eastAsia" w:asciiTheme="minorEastAsia" w:hAnsiTheme="minorEastAsia" w:eastAsiaTheme="minorEastAsia"/>
          <w:sz w:val="32"/>
          <w:szCs w:val="32"/>
          <w:lang w:val="en-US" w:eastAsia="zh-CN"/>
        </w:rPr>
        <w:t>15.28</w:t>
      </w:r>
      <w:r>
        <w:rPr>
          <w:rFonts w:hint="eastAsia" w:asciiTheme="minorEastAsia" w:hAnsiTheme="minorEastAsia" w:eastAsiaTheme="minorEastAsia"/>
          <w:sz w:val="32"/>
          <w:szCs w:val="32"/>
        </w:rPr>
        <w:t>%。主要原因是：</w:t>
      </w:r>
      <w:r>
        <w:rPr>
          <w:rFonts w:hint="eastAsia" w:asciiTheme="minorEastAsia" w:hAnsiTheme="minorEastAsia" w:eastAsiaTheme="minorEastAsia"/>
          <w:sz w:val="32"/>
          <w:szCs w:val="32"/>
          <w:lang w:eastAsia="zh-CN"/>
        </w:rPr>
        <w:t>劳务费及其他商品服务费支出</w:t>
      </w:r>
      <w:r>
        <w:rPr>
          <w:rFonts w:hint="eastAsia" w:asciiTheme="minorEastAsia" w:hAnsiTheme="minorEastAsia" w:eastAsiaTheme="minorEastAsia"/>
          <w:sz w:val="32"/>
          <w:szCs w:val="32"/>
        </w:rPr>
        <w:t>增加</w:t>
      </w:r>
      <w:r>
        <w:rPr>
          <w:rFonts w:hint="eastAsia" w:asciiTheme="minorEastAsia" w:hAnsiTheme="minorEastAsia" w:eastAsiaTheme="minorEastAsia"/>
          <w:sz w:val="32"/>
          <w:szCs w:val="32"/>
          <w:lang w:eastAsia="zh-CN"/>
        </w:rPr>
        <w:t>。</w:t>
      </w:r>
    </w:p>
    <w:p w14:paraId="75C46765">
      <w:pPr>
        <w:pStyle w:val="9"/>
        <w:ind w:firstLine="627" w:firstLineChars="196"/>
        <w:rPr>
          <w:rFonts w:hAnsi="黑体"/>
          <w:b/>
          <w:sz w:val="32"/>
          <w:szCs w:val="32"/>
        </w:rPr>
      </w:pPr>
      <w:r>
        <w:rPr>
          <w:rFonts w:hint="eastAsia" w:hAnsi="黑体"/>
          <w:b/>
          <w:sz w:val="32"/>
          <w:szCs w:val="32"/>
        </w:rPr>
        <w:t>十、一般性支出情况说明</w:t>
      </w:r>
    </w:p>
    <w:p w14:paraId="50EF0914">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本部门开支会议费6.06万元，用于召开教育教学、安全视频、职称评审等会议，人数1200余人次，内容为会议场地租赁和职称评审专家的住宿伙食等；用于开展文明城市创建培训，人数6人次，内容为培训资料、专家授课劳务费；</w:t>
      </w:r>
    </w:p>
    <w:p w14:paraId="6F501D41">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人数</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w:t>
      </w:r>
    </w:p>
    <w:p w14:paraId="5C028C33">
      <w:pPr>
        <w:pStyle w:val="9"/>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举办</w:t>
      </w:r>
      <w:r>
        <w:rPr>
          <w:rFonts w:hint="eastAsia" w:asciiTheme="minorEastAsia" w:hAnsiTheme="minorEastAsia" w:eastAsiaTheme="minorEastAsia"/>
          <w:sz w:val="32"/>
          <w:szCs w:val="32"/>
          <w:lang w:val="en-US" w:eastAsia="zh-CN"/>
        </w:rPr>
        <w:t>0次</w:t>
      </w:r>
      <w:r>
        <w:rPr>
          <w:rFonts w:hint="eastAsia" w:asciiTheme="minorEastAsia" w:hAnsiTheme="minorEastAsia" w:eastAsiaTheme="minorEastAsia"/>
          <w:sz w:val="32"/>
          <w:szCs w:val="32"/>
        </w:rPr>
        <w:t>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rPr>
        <w:t>没有开办此类型活动。</w:t>
      </w:r>
    </w:p>
    <w:p w14:paraId="286E313C">
      <w:pPr>
        <w:pStyle w:val="9"/>
        <w:rPr>
          <w:rFonts w:hAnsi="黑体"/>
          <w:b/>
          <w:sz w:val="32"/>
          <w:szCs w:val="32"/>
        </w:rPr>
      </w:pPr>
      <w:r>
        <w:rPr>
          <w:rFonts w:hint="eastAsia" w:hAnsi="黑体"/>
          <w:b/>
          <w:sz w:val="32"/>
          <w:szCs w:val="32"/>
        </w:rPr>
        <w:t>十一、政府采购支出说明</w:t>
      </w:r>
    </w:p>
    <w:p w14:paraId="046AF654">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年度政府采购支出总额0万元，其中：政府采购货物支出0万元、政府采购工程支出0 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6B48739A">
      <w:pPr>
        <w:pStyle w:val="9"/>
        <w:ind w:firstLine="640" w:firstLineChars="200"/>
        <w:rPr>
          <w:rFonts w:asciiTheme="minorEastAsia" w:hAnsiTheme="minorEastAsia" w:eastAsiaTheme="minorEastAsia"/>
          <w:sz w:val="32"/>
          <w:szCs w:val="32"/>
        </w:rPr>
      </w:pPr>
    </w:p>
    <w:p w14:paraId="69DB918C">
      <w:pPr>
        <w:pStyle w:val="9"/>
        <w:rPr>
          <w:rFonts w:hAnsi="黑体"/>
          <w:b/>
          <w:sz w:val="32"/>
          <w:szCs w:val="32"/>
        </w:rPr>
      </w:pPr>
      <w:r>
        <w:rPr>
          <w:rFonts w:hint="eastAsia" w:hAnsi="黑体"/>
          <w:b/>
          <w:sz w:val="32"/>
          <w:szCs w:val="32"/>
        </w:rPr>
        <w:t>十二、国有资产占用情况说明</w:t>
      </w:r>
    </w:p>
    <w:p w14:paraId="3B73D6E4">
      <w:pPr>
        <w:pStyle w:val="9"/>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2DD39EBD">
      <w:pPr>
        <w:pStyle w:val="9"/>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color w:val="auto"/>
          <w:sz w:val="32"/>
          <w:szCs w:val="32"/>
        </w:rPr>
      </w:pPr>
      <w:r>
        <w:rPr>
          <w:rFonts w:hint="eastAsia" w:ascii="黑体" w:hAnsi="黑体" w:eastAsia="黑体" w:cs="黑体"/>
          <w:b/>
          <w:bCs w:val="0"/>
          <w:color w:val="auto"/>
          <w:sz w:val="32"/>
          <w:szCs w:val="32"/>
        </w:rPr>
        <w:t>十三、关于</w:t>
      </w:r>
      <w:r>
        <w:rPr>
          <w:rFonts w:hint="eastAsia" w:ascii="Times New Roman" w:hAnsi="Times New Roman" w:eastAsia="仿宋_GB2312"/>
          <w:b/>
          <w:bCs w:val="0"/>
          <w:color w:val="auto"/>
          <w:sz w:val="32"/>
          <w:szCs w:val="32"/>
        </w:rPr>
        <w:t>202</w:t>
      </w:r>
      <w:r>
        <w:rPr>
          <w:rFonts w:hint="eastAsia" w:ascii="Times New Roman" w:hAnsi="Times New Roman" w:eastAsia="仿宋_GB2312"/>
          <w:b/>
          <w:bCs w:val="0"/>
          <w:color w:val="auto"/>
          <w:sz w:val="32"/>
          <w:szCs w:val="32"/>
          <w:lang w:val="en-US" w:eastAsia="zh-CN"/>
        </w:rPr>
        <w:t>2</w:t>
      </w:r>
      <w:r>
        <w:rPr>
          <w:rFonts w:hint="eastAsia" w:ascii="黑体" w:hAnsi="黑体" w:eastAsia="黑体" w:cs="黑体"/>
          <w:b/>
          <w:bCs w:val="0"/>
          <w:color w:val="auto"/>
          <w:sz w:val="32"/>
          <w:szCs w:val="32"/>
        </w:rPr>
        <w:t>年度预算绩效情况的说明</w:t>
      </w:r>
    </w:p>
    <w:p w14:paraId="2CBB51AB">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rPr>
      </w:pPr>
      <w:r>
        <w:rPr>
          <w:rFonts w:hint="eastAsia" w:ascii="楷体" w:hAnsi="楷体" w:eastAsia="楷体" w:cs="楷体"/>
          <w:b/>
          <w:bCs/>
          <w:color w:val="auto"/>
          <w:sz w:val="32"/>
          <w:szCs w:val="32"/>
          <w:lang w:eastAsia="zh-CN"/>
        </w:rPr>
        <w:t>（一）</w:t>
      </w:r>
      <w:r>
        <w:rPr>
          <w:rFonts w:hint="eastAsia" w:ascii="楷体" w:hAnsi="楷体" w:eastAsia="楷体" w:cs="楷体"/>
          <w:b/>
          <w:bCs/>
          <w:color w:val="auto"/>
          <w:sz w:val="32"/>
          <w:szCs w:val="32"/>
        </w:rPr>
        <w:t>部门整体支出绩效情况</w:t>
      </w:r>
    </w:p>
    <w:p w14:paraId="7EAFE3D2">
      <w:pPr>
        <w:spacing w:line="500" w:lineRule="exact"/>
        <w:ind w:firstLine="720" w:firstLineChars="225"/>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202</w:t>
      </w: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年，县教育局突出抓改革、强教育、促发展，各方面工作稳步推进，根据《部门整体支出绩效评价指标》评分表自评得分</w:t>
      </w:r>
      <w:r>
        <w:rPr>
          <w:rFonts w:ascii="仿宋" w:hAnsi="仿宋" w:eastAsia="仿宋" w:cs="仿宋"/>
          <w:color w:val="auto"/>
          <w:sz w:val="32"/>
          <w:szCs w:val="32"/>
        </w:rPr>
        <w:t>9</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分，财政支出绩</w:t>
      </w:r>
      <w:r>
        <w:rPr>
          <w:rFonts w:hint="eastAsia" w:ascii="仿宋" w:hAnsi="仿宋" w:eastAsia="仿宋" w:cs="仿宋"/>
          <w:color w:val="auto"/>
          <w:sz w:val="32"/>
          <w:szCs w:val="32"/>
          <w:lang w:val="en-US" w:eastAsia="zh-CN"/>
        </w:rPr>
        <w:t>效为“优秀”。主要绩效如下：</w:t>
      </w:r>
    </w:p>
    <w:p w14:paraId="0F7F359D">
      <w:pPr>
        <w:spacing w:line="500" w:lineRule="exact"/>
        <w:ind w:firstLine="720" w:firstLineChars="225"/>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（1）行政运转保障。在单位的日常经费管理工作中首先保障单位基本运转，保障人员支出和日常公用经费，确保本部门教育管理工作的正常运转和人员稳定，在资金有保证的情况下着力改善办公条件。 </w:t>
      </w:r>
    </w:p>
    <w:p w14:paraId="1B5D1F92">
      <w:pPr>
        <w:spacing w:line="500" w:lineRule="exact"/>
        <w:ind w:firstLine="720" w:firstLineChars="225"/>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（2）机关厉行节约。在保障基本运转的前提下，大力倡导厉行节约，把有限的资金用在刀刃上。2022年全年无因公出国（境）费用，公车运行维护费用全年为0万元，公务接待经费全年为0.5万元。 </w:t>
      </w:r>
    </w:p>
    <w:p w14:paraId="0A8338E1">
      <w:pPr>
        <w:spacing w:line="500" w:lineRule="exact"/>
        <w:ind w:firstLine="720" w:firstLineChars="225"/>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（3）预决算公开情况。按照相关规定，本部门预决算、“三公”经费预决算、其他重要财政资金使用情况均已公开公示。 </w:t>
      </w:r>
    </w:p>
    <w:p w14:paraId="0F2E86BE">
      <w:pPr>
        <w:pStyle w:val="9"/>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color w:val="auto"/>
          <w:sz w:val="32"/>
          <w:szCs w:val="32"/>
          <w:lang w:eastAsia="zh-CN"/>
        </w:rPr>
      </w:pPr>
      <w:r>
        <w:rPr>
          <w:rFonts w:hint="eastAsia" w:ascii="楷体" w:hAnsi="楷体" w:eastAsia="楷体" w:cs="楷体"/>
          <w:b/>
          <w:bCs/>
          <w:color w:val="auto"/>
          <w:sz w:val="32"/>
          <w:szCs w:val="32"/>
          <w:lang w:eastAsia="zh-CN"/>
        </w:rPr>
        <w:t>（二）</w:t>
      </w:r>
      <w:r>
        <w:rPr>
          <w:rFonts w:hint="eastAsia" w:ascii="楷体" w:hAnsi="楷体" w:eastAsia="楷体" w:cs="楷体"/>
          <w:b/>
          <w:bCs/>
          <w:color w:val="auto"/>
          <w:sz w:val="32"/>
          <w:szCs w:val="32"/>
        </w:rPr>
        <w:t>存在的问题及</w:t>
      </w:r>
      <w:r>
        <w:rPr>
          <w:rFonts w:hint="eastAsia" w:ascii="楷体" w:hAnsi="楷体" w:eastAsia="楷体" w:cs="楷体"/>
          <w:b/>
          <w:bCs/>
          <w:color w:val="auto"/>
          <w:sz w:val="32"/>
          <w:szCs w:val="32"/>
          <w:lang w:eastAsia="zh-CN"/>
        </w:rPr>
        <w:t>原因分析</w:t>
      </w:r>
    </w:p>
    <w:p w14:paraId="2D75E672">
      <w:pPr>
        <w:pStyle w:val="9"/>
        <w:spacing w:line="60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1、年初预算支出与实际支出执行偏差较大。主要原因是年初预算编制内容不全面不具体，编制合理性不够，预估的真实性和完整性不够。</w:t>
      </w:r>
    </w:p>
    <w:p w14:paraId="7C180ACA">
      <w:pPr>
        <w:pStyle w:val="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color w:val="auto"/>
          <w:sz w:val="32"/>
          <w:szCs w:val="32"/>
        </w:rPr>
        <w:t>2.预算执行约束有待进一步加强。在预算执行过</w:t>
      </w:r>
      <w:r>
        <w:rPr>
          <w:rFonts w:hint="eastAsia" w:ascii="Times New Roman" w:hAnsi="Times New Roman" w:eastAsia="仿宋_GB2312"/>
          <w:sz w:val="32"/>
          <w:szCs w:val="32"/>
        </w:rPr>
        <w:t>程中，加强对专项资金使用的监控，定期追踪资金使用情况，及时纠正偏差</w:t>
      </w:r>
      <w:r>
        <w:rPr>
          <w:rFonts w:hint="eastAsia" w:ascii="Times New Roman" w:hAnsi="Times New Roman" w:eastAsia="仿宋_GB2312"/>
          <w:sz w:val="32"/>
          <w:szCs w:val="32"/>
          <w:lang w:val="en-US" w:eastAsia="zh-CN"/>
        </w:rPr>
        <w:t>予</w:t>
      </w:r>
      <w:bookmarkStart w:id="6" w:name="_GoBack"/>
      <w:bookmarkEnd w:id="6"/>
      <w:r>
        <w:rPr>
          <w:rFonts w:hint="eastAsia" w:ascii="Times New Roman" w:hAnsi="Times New Roman" w:eastAsia="仿宋_GB2312"/>
          <w:sz w:val="32"/>
          <w:szCs w:val="32"/>
        </w:rPr>
        <w:t>以调整。</w:t>
      </w:r>
    </w:p>
    <w:p w14:paraId="03DB7305">
      <w:pPr>
        <w:pStyle w:val="9"/>
        <w:spacing w:line="600" w:lineRule="exact"/>
        <w:ind w:firstLine="640" w:firstLineChars="200"/>
        <w:rPr>
          <w:rFonts w:ascii="Times New Roman" w:hAnsi="Times New Roman" w:eastAsia="仿宋_GB2312"/>
          <w:sz w:val="32"/>
          <w:szCs w:val="32"/>
        </w:rPr>
      </w:pPr>
    </w:p>
    <w:p w14:paraId="0BA6C013">
      <w:pPr>
        <w:pStyle w:val="9"/>
        <w:spacing w:line="600" w:lineRule="exact"/>
        <w:ind w:firstLine="640" w:firstLineChars="200"/>
        <w:rPr>
          <w:rFonts w:ascii="Times New Roman" w:hAnsi="Times New Roman" w:eastAsia="仿宋_GB2312"/>
          <w:sz w:val="32"/>
          <w:szCs w:val="32"/>
        </w:rPr>
      </w:pPr>
    </w:p>
    <w:p w14:paraId="0CF30A10">
      <w:pPr>
        <w:pStyle w:val="9"/>
        <w:spacing w:line="600" w:lineRule="exact"/>
        <w:ind w:firstLine="640" w:firstLineChars="200"/>
        <w:rPr>
          <w:rFonts w:ascii="Times New Roman" w:hAnsi="Times New Roman" w:eastAsia="仿宋_GB2312"/>
          <w:sz w:val="32"/>
          <w:szCs w:val="32"/>
        </w:rPr>
      </w:pPr>
    </w:p>
    <w:p w14:paraId="2666B3C7">
      <w:pPr>
        <w:pStyle w:val="9"/>
        <w:spacing w:line="600" w:lineRule="exact"/>
        <w:ind w:firstLine="640" w:firstLineChars="200"/>
        <w:rPr>
          <w:rFonts w:ascii="Times New Roman" w:hAnsi="Times New Roman" w:eastAsia="仿宋_GB2312"/>
          <w:sz w:val="32"/>
          <w:szCs w:val="32"/>
        </w:rPr>
      </w:pPr>
    </w:p>
    <w:p w14:paraId="5749D5F5">
      <w:pPr>
        <w:pStyle w:val="9"/>
        <w:spacing w:line="600" w:lineRule="exact"/>
        <w:ind w:firstLine="640" w:firstLineChars="200"/>
        <w:rPr>
          <w:rFonts w:ascii="Times New Roman" w:hAnsi="Times New Roman" w:eastAsia="仿宋_GB2312"/>
          <w:sz w:val="32"/>
          <w:szCs w:val="32"/>
        </w:rPr>
      </w:pPr>
    </w:p>
    <w:p w14:paraId="699595B0">
      <w:pPr>
        <w:pStyle w:val="9"/>
        <w:jc w:val="center"/>
        <w:rPr>
          <w:sz w:val="72"/>
          <w:szCs w:val="72"/>
        </w:rPr>
      </w:pPr>
    </w:p>
    <w:p w14:paraId="010082D9">
      <w:pPr>
        <w:pStyle w:val="9"/>
        <w:jc w:val="center"/>
        <w:rPr>
          <w:sz w:val="72"/>
          <w:szCs w:val="72"/>
        </w:rPr>
      </w:pPr>
    </w:p>
    <w:p w14:paraId="681724FF">
      <w:pPr>
        <w:pStyle w:val="9"/>
        <w:jc w:val="center"/>
        <w:rPr>
          <w:sz w:val="72"/>
          <w:szCs w:val="72"/>
        </w:rPr>
      </w:pPr>
    </w:p>
    <w:p w14:paraId="24EF4023">
      <w:pPr>
        <w:pStyle w:val="9"/>
        <w:jc w:val="center"/>
        <w:rPr>
          <w:rFonts w:ascii="方正小标宋_GBK" w:hAnsi="方正小标宋_GBK" w:eastAsia="方正小标宋_GBK" w:cs="方正小标宋_GBK"/>
          <w:sz w:val="72"/>
          <w:szCs w:val="72"/>
        </w:rPr>
      </w:pPr>
    </w:p>
    <w:p w14:paraId="1770FE1E">
      <w:pPr>
        <w:pStyle w:val="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2F5D6E8">
      <w:pPr>
        <w:jc w:val="center"/>
        <w:rPr>
          <w:rFonts w:ascii="方正小标宋_GBK" w:hAnsi="方正小标宋_GBK" w:eastAsia="方正小标宋_GBK" w:cs="方正小标宋_GBK"/>
          <w:color w:val="000000"/>
          <w:kern w:val="0"/>
          <w:sz w:val="70"/>
          <w:szCs w:val="70"/>
        </w:rPr>
      </w:pPr>
    </w:p>
    <w:p w14:paraId="5A5C3223">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CA32453">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5C9EA17C">
      <w:pPr>
        <w:pStyle w:val="9"/>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支出。</w:t>
      </w:r>
    </w:p>
    <w:p w14:paraId="33AF7F93">
      <w:pPr>
        <w:pStyle w:val="9"/>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机关运行经费：是指各部门的公用经费，包括办公及印刷费、邮电费、差旅费、会议费、福利费、日常维修费、专用材料费及一般设备购置费、办公用房水电费、办公用房取暖费、办公用房物业管理费、公务用车运行维护费以及其他费用。</w:t>
      </w:r>
    </w:p>
    <w:p w14:paraId="53BF255A">
      <w:pPr>
        <w:pStyle w:val="9"/>
        <w:jc w:val="center"/>
        <w:rPr>
          <w:sz w:val="72"/>
          <w:szCs w:val="72"/>
        </w:rPr>
      </w:pPr>
    </w:p>
    <w:p w14:paraId="5C000AFD">
      <w:pPr>
        <w:pStyle w:val="9"/>
        <w:jc w:val="center"/>
        <w:rPr>
          <w:sz w:val="72"/>
          <w:szCs w:val="72"/>
        </w:rPr>
      </w:pPr>
    </w:p>
    <w:p w14:paraId="00C143C2">
      <w:pPr>
        <w:pStyle w:val="9"/>
        <w:jc w:val="center"/>
        <w:rPr>
          <w:sz w:val="72"/>
          <w:szCs w:val="72"/>
        </w:rPr>
      </w:pPr>
    </w:p>
    <w:p w14:paraId="6A9D3C41">
      <w:pPr>
        <w:pStyle w:val="9"/>
        <w:rPr>
          <w:sz w:val="72"/>
          <w:szCs w:val="72"/>
        </w:rPr>
      </w:pPr>
    </w:p>
    <w:p w14:paraId="74089CB3">
      <w:pPr>
        <w:pStyle w:val="9"/>
        <w:rPr>
          <w:sz w:val="72"/>
          <w:szCs w:val="72"/>
        </w:rPr>
      </w:pPr>
    </w:p>
    <w:p w14:paraId="41FD6DB2">
      <w:pPr>
        <w:pStyle w:val="9"/>
        <w:jc w:val="center"/>
        <w:rPr>
          <w:sz w:val="72"/>
          <w:szCs w:val="72"/>
        </w:rPr>
      </w:pPr>
    </w:p>
    <w:p w14:paraId="49FFCF41">
      <w:pPr>
        <w:pStyle w:val="9"/>
        <w:jc w:val="center"/>
        <w:rPr>
          <w:sz w:val="72"/>
          <w:szCs w:val="72"/>
        </w:rPr>
      </w:pPr>
    </w:p>
    <w:p w14:paraId="17CDDB1F">
      <w:pPr>
        <w:pStyle w:val="9"/>
        <w:jc w:val="center"/>
        <w:rPr>
          <w:sz w:val="72"/>
          <w:szCs w:val="72"/>
        </w:rPr>
      </w:pPr>
    </w:p>
    <w:p w14:paraId="0D2C844B">
      <w:pPr>
        <w:pStyle w:val="9"/>
        <w:jc w:val="center"/>
        <w:rPr>
          <w:sz w:val="72"/>
          <w:szCs w:val="72"/>
        </w:rPr>
      </w:pPr>
    </w:p>
    <w:p w14:paraId="7FA06327">
      <w:pPr>
        <w:pStyle w:val="9"/>
        <w:jc w:val="center"/>
        <w:rPr>
          <w:sz w:val="72"/>
          <w:szCs w:val="72"/>
        </w:rPr>
      </w:pPr>
    </w:p>
    <w:p w14:paraId="11491B32">
      <w:pPr>
        <w:pStyle w:val="9"/>
        <w:jc w:val="center"/>
        <w:rPr>
          <w:sz w:val="72"/>
          <w:szCs w:val="72"/>
        </w:rPr>
      </w:pPr>
    </w:p>
    <w:p w14:paraId="2C7EC170">
      <w:pPr>
        <w:pStyle w:val="9"/>
        <w:jc w:val="center"/>
        <w:rPr>
          <w:sz w:val="72"/>
          <w:szCs w:val="72"/>
        </w:rPr>
      </w:pPr>
    </w:p>
    <w:p w14:paraId="72FA59A2">
      <w:pPr>
        <w:pStyle w:val="9"/>
        <w:jc w:val="center"/>
        <w:rPr>
          <w:sz w:val="72"/>
          <w:szCs w:val="72"/>
        </w:rPr>
      </w:pPr>
    </w:p>
    <w:p w14:paraId="331F269B">
      <w:pPr>
        <w:pStyle w:val="9"/>
        <w:jc w:val="center"/>
        <w:rPr>
          <w:sz w:val="72"/>
          <w:szCs w:val="72"/>
        </w:rPr>
      </w:pPr>
      <w:r>
        <w:rPr>
          <w:rFonts w:hint="eastAsia"/>
          <w:sz w:val="72"/>
          <w:szCs w:val="72"/>
        </w:rPr>
        <w:t>第四部分</w:t>
      </w:r>
    </w:p>
    <w:p w14:paraId="1B02A89E">
      <w:pPr>
        <w:jc w:val="center"/>
        <w:rPr>
          <w:rFonts w:ascii="黑体" w:eastAsia="黑体" w:cs="黑体"/>
          <w:color w:val="000000"/>
          <w:kern w:val="0"/>
          <w:sz w:val="70"/>
          <w:szCs w:val="70"/>
        </w:rPr>
      </w:pPr>
    </w:p>
    <w:p w14:paraId="057ED686">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662C7E60">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C62B04B">
      <w:pPr>
        <w:ind w:firstLine="640" w:firstLineChars="200"/>
        <w:jc w:val="left"/>
        <w:rPr>
          <w:rFonts w:cs="黑体" w:asciiTheme="minorEastAsia" w:hAnsiTheme="minorEastAsia"/>
          <w:color w:val="000000"/>
          <w:kern w:val="0"/>
          <w:sz w:val="32"/>
          <w:szCs w:val="32"/>
        </w:rPr>
      </w:pPr>
    </w:p>
    <w:p w14:paraId="1D978B03">
      <w:pPr>
        <w:ind w:firstLine="640" w:firstLineChars="200"/>
        <w:jc w:val="left"/>
        <w:rPr>
          <w:rFonts w:ascii="宋体" w:hAnsi="宋体" w:cs="黑体"/>
          <w:color w:val="000000"/>
          <w:kern w:val="0"/>
          <w:sz w:val="32"/>
          <w:szCs w:val="32"/>
        </w:rPr>
      </w:pPr>
      <w:r>
        <w:rPr>
          <w:rFonts w:hint="eastAsia" w:ascii="宋体" w:hAnsi="宋体" w:cs="黑体"/>
          <w:color w:val="000000"/>
          <w:kern w:val="0"/>
          <w:sz w:val="32"/>
          <w:szCs w:val="32"/>
        </w:rPr>
        <w:t>1.</w:t>
      </w:r>
      <w:r>
        <w:rPr>
          <w:rFonts w:ascii="宋体" w:hAnsi="宋体" w:cs="黑体"/>
          <w:color w:val="000000"/>
          <w:kern w:val="0"/>
          <w:sz w:val="32"/>
          <w:szCs w:val="32"/>
        </w:rPr>
        <w:t>三公经费</w:t>
      </w:r>
      <w:r>
        <w:rPr>
          <w:rFonts w:hint="eastAsia" w:ascii="宋体" w:hAnsi="宋体" w:cs="黑体"/>
          <w:color w:val="000000"/>
          <w:kern w:val="0"/>
          <w:sz w:val="32"/>
          <w:szCs w:val="32"/>
        </w:rPr>
        <w:t>：指政府部门人员因公出国（境）经费、公务车购置及运行费、公务招待费产生的消费，是当前公共行政领域亟待解决的问题之一。</w:t>
      </w:r>
    </w:p>
    <w:p w14:paraId="68AA54E3">
      <w:pPr>
        <w:ind w:firstLine="640" w:firstLineChars="200"/>
        <w:jc w:val="left"/>
        <w:rPr>
          <w:rFonts w:ascii="宋体" w:hAnsi="宋体" w:cs="黑体"/>
          <w:color w:val="000000"/>
          <w:kern w:val="0"/>
          <w:sz w:val="32"/>
          <w:szCs w:val="32"/>
        </w:rPr>
      </w:pPr>
      <w:r>
        <w:rPr>
          <w:rFonts w:hint="eastAsia" w:ascii="宋体" w:hAnsi="宋体" w:cs="黑体"/>
          <w:color w:val="000000"/>
          <w:kern w:val="0"/>
          <w:sz w:val="32"/>
          <w:szCs w:val="32"/>
        </w:rPr>
        <w:t>2.</w:t>
      </w:r>
      <w:r>
        <w:rPr>
          <w:rFonts w:ascii="宋体" w:hAnsi="宋体" w:cs="黑体"/>
          <w:color w:val="000000"/>
          <w:kern w:val="0"/>
          <w:sz w:val="32"/>
          <w:szCs w:val="32"/>
        </w:rPr>
        <w:t>机关运行经费：</w:t>
      </w:r>
      <w:r>
        <w:rPr>
          <w:rFonts w:hint="eastAsia" w:ascii="宋体" w:hAnsi="宋体" w:cs="黑体"/>
          <w:color w:val="000000"/>
          <w:kern w:val="0"/>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F8F51A5">
      <w:pPr>
        <w:ind w:firstLine="640" w:firstLineChars="200"/>
        <w:jc w:val="left"/>
        <w:rPr>
          <w:rFonts w:cs="黑体" w:asciiTheme="minorEastAsia" w:hAnsiTheme="minorEastAsia"/>
          <w:color w:val="000000"/>
          <w:kern w:val="0"/>
          <w:sz w:val="32"/>
          <w:szCs w:val="32"/>
        </w:rPr>
      </w:pPr>
    </w:p>
    <w:p w14:paraId="1AA655FE">
      <w:pPr>
        <w:pStyle w:val="9"/>
        <w:jc w:val="center"/>
        <w:rPr>
          <w:sz w:val="72"/>
          <w:szCs w:val="72"/>
        </w:rPr>
      </w:pPr>
    </w:p>
    <w:p w14:paraId="21CA9F31">
      <w:pPr>
        <w:pStyle w:val="9"/>
        <w:jc w:val="center"/>
        <w:rPr>
          <w:sz w:val="72"/>
          <w:szCs w:val="72"/>
        </w:rPr>
      </w:pPr>
    </w:p>
    <w:p w14:paraId="709BC761">
      <w:pPr>
        <w:pStyle w:val="9"/>
        <w:jc w:val="center"/>
        <w:rPr>
          <w:sz w:val="72"/>
          <w:szCs w:val="72"/>
        </w:rPr>
      </w:pPr>
    </w:p>
    <w:p w14:paraId="48D8CE7A">
      <w:pPr>
        <w:pStyle w:val="9"/>
        <w:jc w:val="center"/>
        <w:rPr>
          <w:sz w:val="72"/>
          <w:szCs w:val="72"/>
        </w:rPr>
      </w:pPr>
    </w:p>
    <w:p w14:paraId="1654BF4D">
      <w:pPr>
        <w:pStyle w:val="9"/>
        <w:jc w:val="center"/>
        <w:rPr>
          <w:sz w:val="72"/>
          <w:szCs w:val="72"/>
        </w:rPr>
      </w:pPr>
    </w:p>
    <w:p w14:paraId="241EDBF7">
      <w:pPr>
        <w:pStyle w:val="9"/>
        <w:jc w:val="center"/>
        <w:rPr>
          <w:sz w:val="72"/>
          <w:szCs w:val="72"/>
        </w:rPr>
      </w:pPr>
    </w:p>
    <w:p w14:paraId="29E76C60">
      <w:pPr>
        <w:pStyle w:val="9"/>
        <w:jc w:val="center"/>
        <w:rPr>
          <w:sz w:val="72"/>
          <w:szCs w:val="72"/>
        </w:rPr>
      </w:pPr>
    </w:p>
    <w:p w14:paraId="71A351E8">
      <w:pPr>
        <w:pStyle w:val="9"/>
        <w:jc w:val="center"/>
        <w:rPr>
          <w:sz w:val="72"/>
          <w:szCs w:val="72"/>
        </w:rPr>
      </w:pPr>
    </w:p>
    <w:p w14:paraId="30CB122B">
      <w:pPr>
        <w:pStyle w:val="9"/>
        <w:jc w:val="center"/>
        <w:rPr>
          <w:sz w:val="72"/>
          <w:szCs w:val="72"/>
        </w:rPr>
      </w:pPr>
    </w:p>
    <w:p w14:paraId="5C2D8875">
      <w:pPr>
        <w:pStyle w:val="9"/>
        <w:jc w:val="center"/>
        <w:rPr>
          <w:sz w:val="72"/>
          <w:szCs w:val="72"/>
        </w:rPr>
      </w:pPr>
    </w:p>
    <w:p w14:paraId="03E5325B">
      <w:pPr>
        <w:pStyle w:val="9"/>
        <w:jc w:val="center"/>
        <w:rPr>
          <w:sz w:val="72"/>
          <w:szCs w:val="72"/>
        </w:rPr>
      </w:pPr>
    </w:p>
    <w:p w14:paraId="57C1801F">
      <w:pPr>
        <w:pStyle w:val="9"/>
        <w:jc w:val="center"/>
        <w:rPr>
          <w:sz w:val="72"/>
          <w:szCs w:val="72"/>
        </w:rPr>
      </w:pPr>
    </w:p>
    <w:p w14:paraId="60BEA6BE">
      <w:pPr>
        <w:pStyle w:val="9"/>
        <w:jc w:val="center"/>
        <w:rPr>
          <w:sz w:val="72"/>
          <w:szCs w:val="72"/>
        </w:rPr>
      </w:pPr>
    </w:p>
    <w:p w14:paraId="3C7E23BF">
      <w:pPr>
        <w:pStyle w:val="9"/>
        <w:jc w:val="center"/>
        <w:rPr>
          <w:sz w:val="72"/>
          <w:szCs w:val="72"/>
        </w:rPr>
      </w:pPr>
    </w:p>
    <w:p w14:paraId="149F123E">
      <w:pPr>
        <w:pStyle w:val="9"/>
        <w:jc w:val="center"/>
        <w:rPr>
          <w:sz w:val="72"/>
          <w:szCs w:val="72"/>
        </w:rPr>
      </w:pPr>
    </w:p>
    <w:p w14:paraId="733291FA">
      <w:pPr>
        <w:pStyle w:val="9"/>
        <w:jc w:val="center"/>
        <w:rPr>
          <w:sz w:val="72"/>
          <w:szCs w:val="72"/>
        </w:rPr>
      </w:pPr>
    </w:p>
    <w:p w14:paraId="56039DDB">
      <w:pPr>
        <w:pStyle w:val="9"/>
        <w:jc w:val="center"/>
        <w:rPr>
          <w:sz w:val="72"/>
          <w:szCs w:val="72"/>
        </w:rPr>
      </w:pPr>
    </w:p>
    <w:p w14:paraId="7444A9CB">
      <w:pPr>
        <w:pStyle w:val="9"/>
        <w:jc w:val="center"/>
        <w:rPr>
          <w:sz w:val="72"/>
          <w:szCs w:val="72"/>
        </w:rPr>
      </w:pPr>
      <w:r>
        <w:rPr>
          <w:rFonts w:hint="eastAsia"/>
          <w:sz w:val="72"/>
          <w:szCs w:val="72"/>
        </w:rPr>
        <w:t>第五部分</w:t>
      </w:r>
    </w:p>
    <w:p w14:paraId="7AE640BC">
      <w:pPr>
        <w:jc w:val="center"/>
        <w:rPr>
          <w:rFonts w:ascii="黑体" w:eastAsia="黑体" w:cs="黑体"/>
          <w:color w:val="000000"/>
          <w:kern w:val="0"/>
          <w:sz w:val="70"/>
          <w:szCs w:val="70"/>
        </w:rPr>
      </w:pPr>
    </w:p>
    <w:p w14:paraId="5E998E54">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5E770778">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388C2263">
      <w:pPr>
        <w:ind w:firstLine="960" w:firstLineChars="300"/>
        <w:rPr>
          <w:rFonts w:ascii="宋体" w:cs="Times New Roman"/>
          <w:b/>
          <w:bCs/>
          <w:color w:val="000000"/>
          <w:kern w:val="0"/>
          <w:sz w:val="32"/>
          <w:szCs w:val="32"/>
        </w:rPr>
      </w:pPr>
      <w:r>
        <w:rPr>
          <w:rFonts w:hint="eastAsia" w:ascii="宋体" w:hAnsi="宋体" w:cs="宋体"/>
          <w:b/>
          <w:bCs/>
          <w:color w:val="000000"/>
          <w:kern w:val="0"/>
          <w:sz w:val="32"/>
          <w:szCs w:val="32"/>
        </w:rPr>
        <w:t>溆浦县教育局机关202</w:t>
      </w:r>
      <w:r>
        <w:rPr>
          <w:rFonts w:hint="eastAsia" w:ascii="宋体" w:hAnsi="宋体" w:cs="宋体"/>
          <w:b/>
          <w:bCs/>
          <w:color w:val="000000"/>
          <w:kern w:val="0"/>
          <w:sz w:val="32"/>
          <w:szCs w:val="32"/>
          <w:lang w:val="en-US" w:eastAsia="zh-CN"/>
        </w:rPr>
        <w:t>2</w:t>
      </w:r>
      <w:r>
        <w:rPr>
          <w:rFonts w:hint="eastAsia" w:ascii="宋体" w:hAnsi="宋体" w:cs="宋体"/>
          <w:b/>
          <w:bCs/>
          <w:color w:val="000000"/>
          <w:kern w:val="0"/>
          <w:sz w:val="32"/>
          <w:szCs w:val="32"/>
        </w:rPr>
        <w:t>年度部门整体支出绩效评价报告</w:t>
      </w:r>
    </w:p>
    <w:p w14:paraId="2FF7C6D7">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一、部门概况</w:t>
      </w:r>
    </w:p>
    <w:p w14:paraId="72829F7E">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（一）部门基本情况</w:t>
      </w:r>
    </w:p>
    <w:p w14:paraId="51053759">
      <w:pPr>
        <w:widowControl/>
        <w:spacing w:line="600" w:lineRule="exact"/>
        <w:ind w:firstLine="800" w:firstLineChars="250"/>
        <w:rPr>
          <w:rFonts w:ascii="仿宋" w:hAnsi="仿宋" w:eastAsia="仿宋" w:cs="仿宋"/>
          <w:kern w:val="0"/>
          <w:sz w:val="32"/>
          <w:szCs w:val="32"/>
        </w:rPr>
      </w:pPr>
      <w:r>
        <w:rPr>
          <w:rFonts w:hint="eastAsia" w:ascii="仿宋" w:hAnsi="仿宋" w:eastAsia="仿宋" w:cs="仿宋"/>
          <w:sz w:val="32"/>
          <w:szCs w:val="32"/>
        </w:rPr>
        <w:t>溆浦县教育局机关是隶属溆浦县人民政府管理全县教育教学的行政职能部门，其主要职责是贯彻落实国家教育工作方针、政策和法律、法规、规章，制定实施意见并监督执行，负责全县幼儿教育、基础教育、职业教育和民办教育的教育教学及管理等工作以及全县教育行政管理工作和本部门各学校的财政收支预算编制及资金拨付工作。</w:t>
      </w:r>
      <w:r>
        <w:rPr>
          <w:rFonts w:hint="eastAsia" w:ascii="仿宋" w:hAnsi="仿宋" w:eastAsia="仿宋" w:cs="仿宋"/>
          <w:kern w:val="0"/>
          <w:sz w:val="32"/>
          <w:szCs w:val="32"/>
        </w:rPr>
        <w:t>溆浦县教育局机关内设机构行政股室包括：办公室、人事股、计财股、普教股、行政审批（法制股）、教育督导、职成股、党建办。二级事业单位9个包括：档案管理室1个，电教仪器站1个、教育教研室1个，就业指导中心1个，考试中心1个，勤工站1个，信息网络中心1个，学生资助中心1个，职称改革事务中心1个。</w:t>
      </w:r>
    </w:p>
    <w:p w14:paraId="52515AC8">
      <w:pPr>
        <w:spacing w:line="500" w:lineRule="exact"/>
        <w:ind w:firstLine="720" w:firstLineChars="225"/>
        <w:rPr>
          <w:rFonts w:ascii="仿宋" w:hAnsi="仿宋" w:eastAsia="仿宋" w:cs="Times New Roman"/>
          <w:sz w:val="32"/>
          <w:szCs w:val="32"/>
          <w:highlight w:val="yellow"/>
        </w:rPr>
      </w:pPr>
      <w:r>
        <w:rPr>
          <w:rFonts w:hint="eastAsia" w:ascii="仿宋" w:hAnsi="仿宋" w:eastAsia="仿宋" w:cs="仿宋"/>
          <w:sz w:val="32"/>
          <w:szCs w:val="32"/>
        </w:rPr>
        <w:t>至202</w:t>
      </w:r>
      <w:r>
        <w:rPr>
          <w:rFonts w:hint="eastAsia" w:ascii="仿宋" w:hAnsi="仿宋" w:eastAsia="仿宋" w:cs="仿宋"/>
          <w:sz w:val="32"/>
          <w:szCs w:val="32"/>
          <w:lang w:val="en-US" w:eastAsia="zh-CN"/>
        </w:rPr>
        <w:t>2</w:t>
      </w:r>
      <w:r>
        <w:rPr>
          <w:rFonts w:hint="eastAsia" w:ascii="仿宋" w:hAnsi="仿宋" w:eastAsia="仿宋" w:cs="仿宋"/>
          <w:sz w:val="32"/>
          <w:szCs w:val="32"/>
        </w:rPr>
        <w:t>年底，县教育局机关人员编制</w:t>
      </w:r>
      <w:r>
        <w:rPr>
          <w:rFonts w:ascii="仿宋" w:hAnsi="仿宋" w:eastAsia="仿宋" w:cs="仿宋"/>
          <w:sz w:val="32"/>
          <w:szCs w:val="32"/>
        </w:rPr>
        <w:t>1</w:t>
      </w:r>
      <w:r>
        <w:rPr>
          <w:rFonts w:hint="eastAsia" w:ascii="仿宋" w:hAnsi="仿宋" w:eastAsia="仿宋" w:cs="仿宋"/>
          <w:sz w:val="32"/>
          <w:szCs w:val="32"/>
        </w:rPr>
        <w:t>10个，其中行政编制</w:t>
      </w:r>
      <w:r>
        <w:rPr>
          <w:rFonts w:ascii="仿宋" w:hAnsi="仿宋" w:eastAsia="仿宋" w:cs="仿宋"/>
          <w:sz w:val="32"/>
          <w:szCs w:val="32"/>
        </w:rPr>
        <w:t>12</w:t>
      </w:r>
      <w:r>
        <w:rPr>
          <w:rFonts w:hint="eastAsia" w:ascii="仿宋" w:hAnsi="仿宋" w:eastAsia="仿宋" w:cs="仿宋"/>
          <w:sz w:val="32"/>
          <w:szCs w:val="32"/>
        </w:rPr>
        <w:t>个，事业编制98个，实有人员</w:t>
      </w:r>
      <w:r>
        <w:rPr>
          <w:rFonts w:hint="eastAsia" w:ascii="仿宋" w:hAnsi="仿宋" w:eastAsia="仿宋" w:cs="仿宋"/>
          <w:sz w:val="32"/>
          <w:szCs w:val="32"/>
          <w:lang w:val="en-US" w:eastAsia="zh-CN"/>
        </w:rPr>
        <w:t>102</w:t>
      </w:r>
      <w:r>
        <w:rPr>
          <w:rFonts w:hint="eastAsia" w:ascii="仿宋" w:hAnsi="仿宋" w:eastAsia="仿宋" w:cs="仿宋"/>
          <w:sz w:val="32"/>
          <w:szCs w:val="32"/>
        </w:rPr>
        <w:t>人。</w:t>
      </w:r>
    </w:p>
    <w:p w14:paraId="771759CD">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（二）部门整体支出情况</w:t>
      </w:r>
    </w:p>
    <w:p w14:paraId="7538A8C3">
      <w:pPr>
        <w:spacing w:line="500" w:lineRule="exact"/>
        <w:ind w:firstLine="720" w:firstLineChars="225"/>
        <w:rPr>
          <w:rFonts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年全年收入为14736.74万元，其中，公共财政拨款收入12334.65万元，政府性基金预算财政拨款收入1970万元，其他收入432.09万元。202</w:t>
      </w:r>
      <w:r>
        <w:rPr>
          <w:rFonts w:hint="eastAsia" w:ascii="仿宋" w:hAnsi="仿宋" w:eastAsia="仿宋" w:cs="仿宋"/>
          <w:sz w:val="32"/>
          <w:szCs w:val="32"/>
          <w:lang w:val="en-US" w:eastAsia="zh-CN"/>
        </w:rPr>
        <w:t>2</w:t>
      </w:r>
      <w:r>
        <w:rPr>
          <w:rFonts w:hint="eastAsia" w:ascii="仿宋" w:hAnsi="仿宋" w:eastAsia="仿宋" w:cs="仿宋"/>
          <w:sz w:val="32"/>
          <w:szCs w:val="32"/>
        </w:rPr>
        <w:t>年全年决算支出为14736.74万元，其中：基本支出6260.46万元，项目支出8476.28万元。按经济科目分：一般公共服务支出2.4万元、教育支出12261.45万元、社会保障和就业支出48.22万元、卫生健康支出12.28万元、住房保障支出10.29万元、其他支出</w:t>
      </w:r>
      <w:r>
        <w:rPr>
          <w:rFonts w:hint="eastAsia" w:ascii="仿宋" w:hAnsi="仿宋" w:eastAsia="仿宋" w:cs="仿宋"/>
          <w:sz w:val="32"/>
          <w:szCs w:val="32"/>
          <w:lang w:val="en-US" w:eastAsia="zh-CN"/>
        </w:rPr>
        <w:t>2402.10</w:t>
      </w:r>
      <w:r>
        <w:rPr>
          <w:rFonts w:hint="eastAsia" w:ascii="仿宋" w:hAnsi="仿宋" w:eastAsia="仿宋" w:cs="仿宋"/>
          <w:sz w:val="32"/>
          <w:szCs w:val="32"/>
        </w:rPr>
        <w:t>万元。</w:t>
      </w:r>
    </w:p>
    <w:p w14:paraId="14B6414C">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二、部门整体支出管理及使用情况</w:t>
      </w:r>
    </w:p>
    <w:p w14:paraId="683ABF23">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（一）基本支出</w:t>
      </w:r>
    </w:p>
    <w:p w14:paraId="7ED19A05">
      <w:pPr>
        <w:spacing w:line="500" w:lineRule="exact"/>
        <w:ind w:firstLine="720" w:firstLineChars="225"/>
        <w:rPr>
          <w:rFonts w:ascii="仿宋" w:hAnsi="仿宋" w:eastAsia="仿宋" w:cs="仿宋"/>
          <w:sz w:val="32"/>
          <w:szCs w:val="32"/>
        </w:rPr>
      </w:pPr>
      <w:r>
        <w:rPr>
          <w:rFonts w:hint="eastAsia" w:ascii="仿宋" w:hAnsi="仿宋" w:eastAsia="仿宋" w:cs="仿宋"/>
          <w:sz w:val="32"/>
          <w:szCs w:val="32"/>
        </w:rPr>
        <w:t>基本支出用于为保障机构正常运转、完成日常工作任务而发生的支出，包括人员经费和公用经费。202</w:t>
      </w:r>
      <w:r>
        <w:rPr>
          <w:rFonts w:hint="eastAsia" w:ascii="仿宋" w:hAnsi="仿宋" w:eastAsia="仿宋" w:cs="仿宋"/>
          <w:sz w:val="32"/>
          <w:szCs w:val="32"/>
          <w:lang w:val="en-US" w:eastAsia="zh-CN"/>
        </w:rPr>
        <w:t>2</w:t>
      </w:r>
      <w:r>
        <w:rPr>
          <w:rFonts w:hint="eastAsia" w:ascii="仿宋" w:hAnsi="仿宋" w:eastAsia="仿宋" w:cs="仿宋"/>
          <w:sz w:val="32"/>
          <w:szCs w:val="32"/>
        </w:rPr>
        <w:t>年全年收入为14736.74万元，决算基本支出为</w:t>
      </w:r>
      <w:bookmarkStart w:id="0" w:name="OLE_LINK3"/>
      <w:r>
        <w:rPr>
          <w:rFonts w:hint="eastAsia" w:ascii="仿宋" w:hAnsi="仿宋" w:eastAsia="仿宋" w:cs="仿宋"/>
          <w:sz w:val="32"/>
          <w:szCs w:val="32"/>
        </w:rPr>
        <w:t>6260.46万元，项目支出为8476.28万元</w:t>
      </w:r>
      <w:r>
        <w:rPr>
          <w:rFonts w:hint="eastAsia" w:ascii="仿宋" w:hAnsi="仿宋" w:eastAsia="仿宋" w:cs="仿宋"/>
          <w:sz w:val="32"/>
          <w:szCs w:val="32"/>
          <w:lang w:eastAsia="zh-CN"/>
        </w:rPr>
        <w:t>。</w:t>
      </w:r>
      <w:r>
        <w:rPr>
          <w:rFonts w:hint="eastAsia" w:ascii="仿宋" w:hAnsi="仿宋" w:eastAsia="仿宋" w:cs="仿宋"/>
          <w:sz w:val="32"/>
          <w:szCs w:val="32"/>
        </w:rPr>
        <w:t>按经济科目分：一般公共服务支出2.4万元、教育支出12261.45万元、社会保障和就业支出48.22万元、卫生健康支出12.28万元、住房保障支出10.29万元、其他支出</w:t>
      </w:r>
      <w:r>
        <w:rPr>
          <w:rFonts w:hint="eastAsia" w:ascii="仿宋" w:hAnsi="仿宋" w:eastAsia="仿宋" w:cs="仿宋"/>
          <w:sz w:val="32"/>
          <w:szCs w:val="32"/>
          <w:lang w:val="en-US" w:eastAsia="zh-CN"/>
        </w:rPr>
        <w:t>2402.10</w:t>
      </w:r>
      <w:r>
        <w:rPr>
          <w:rFonts w:hint="eastAsia" w:ascii="仿宋" w:hAnsi="仿宋" w:eastAsia="仿宋" w:cs="仿宋"/>
          <w:sz w:val="32"/>
          <w:szCs w:val="32"/>
        </w:rPr>
        <w:t>万元。其中：工资福利支出</w:t>
      </w:r>
      <w:bookmarkEnd w:id="0"/>
      <w:r>
        <w:rPr>
          <w:rFonts w:hint="eastAsia" w:ascii="仿宋" w:hAnsi="仿宋" w:eastAsia="仿宋" w:cs="仿宋"/>
          <w:sz w:val="32"/>
          <w:szCs w:val="32"/>
        </w:rPr>
        <w:t>1669.77万元、商品和服务支出556.2</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bookmarkStart w:id="1" w:name="OLE_LINK4"/>
      <w:bookmarkStart w:id="2" w:name="OLE_LINK5"/>
      <w:r>
        <w:rPr>
          <w:rFonts w:hint="eastAsia" w:ascii="仿宋" w:hAnsi="仿宋" w:eastAsia="仿宋" w:cs="仿宋"/>
          <w:sz w:val="32"/>
          <w:szCs w:val="32"/>
        </w:rPr>
        <w:t>对个人和家庭的补助3464.62万元</w:t>
      </w:r>
      <w:bookmarkEnd w:id="1"/>
      <w:bookmarkEnd w:id="2"/>
      <w:r>
        <w:rPr>
          <w:rFonts w:hint="eastAsia" w:ascii="仿宋" w:hAnsi="仿宋" w:eastAsia="仿宋" w:cs="仿宋"/>
          <w:sz w:val="32"/>
          <w:szCs w:val="32"/>
        </w:rPr>
        <w:t>，其它220.90万元。202</w:t>
      </w:r>
      <w:r>
        <w:rPr>
          <w:rFonts w:hint="eastAsia" w:ascii="仿宋" w:hAnsi="仿宋" w:eastAsia="仿宋" w:cs="仿宋"/>
          <w:sz w:val="32"/>
          <w:szCs w:val="32"/>
          <w:lang w:val="en-US" w:eastAsia="zh-CN"/>
        </w:rPr>
        <w:t>2</w:t>
      </w:r>
      <w:r>
        <w:rPr>
          <w:rFonts w:hint="eastAsia" w:ascii="仿宋" w:hAnsi="仿宋" w:eastAsia="仿宋" w:cs="仿宋"/>
          <w:sz w:val="32"/>
          <w:szCs w:val="32"/>
        </w:rPr>
        <w:t>年决算支出“三公”经费为</w:t>
      </w:r>
      <w:r>
        <w:rPr>
          <w:rFonts w:hint="eastAsia" w:ascii="仿宋" w:hAnsi="仿宋" w:eastAsia="仿宋" w:cs="仿宋"/>
          <w:sz w:val="32"/>
          <w:szCs w:val="32"/>
          <w:lang w:val="en-US" w:eastAsia="zh-CN"/>
        </w:rPr>
        <w:t>0.5</w:t>
      </w:r>
      <w:r>
        <w:rPr>
          <w:rFonts w:hint="eastAsia" w:ascii="仿宋" w:hAnsi="仿宋" w:eastAsia="仿宋" w:cs="仿宋"/>
          <w:sz w:val="32"/>
          <w:szCs w:val="32"/>
        </w:rPr>
        <w:t>万元，其中：公车运行维护费</w:t>
      </w:r>
      <w:r>
        <w:rPr>
          <w:rFonts w:ascii="仿宋" w:hAnsi="仿宋" w:eastAsia="仿宋" w:cs="仿宋"/>
          <w:sz w:val="32"/>
          <w:szCs w:val="32"/>
        </w:rPr>
        <w:t>0</w:t>
      </w:r>
      <w:r>
        <w:rPr>
          <w:rFonts w:hint="eastAsia" w:ascii="仿宋" w:hAnsi="仿宋" w:eastAsia="仿宋" w:cs="仿宋"/>
          <w:sz w:val="32"/>
          <w:szCs w:val="32"/>
        </w:rPr>
        <w:t>万元、公务接待费</w:t>
      </w:r>
      <w:r>
        <w:rPr>
          <w:rFonts w:hint="eastAsia" w:ascii="仿宋" w:hAnsi="仿宋" w:eastAsia="仿宋" w:cs="仿宋"/>
          <w:sz w:val="32"/>
          <w:szCs w:val="32"/>
          <w:lang w:val="en-US" w:eastAsia="zh-CN"/>
        </w:rPr>
        <w:t>0.5</w:t>
      </w:r>
      <w:r>
        <w:rPr>
          <w:rFonts w:hint="eastAsia" w:ascii="仿宋" w:hAnsi="仿宋" w:eastAsia="仿宋" w:cs="仿宋"/>
          <w:sz w:val="32"/>
          <w:szCs w:val="32"/>
        </w:rPr>
        <w:t>万元、出国考察经费</w:t>
      </w:r>
      <w:r>
        <w:rPr>
          <w:rFonts w:ascii="仿宋" w:hAnsi="仿宋" w:eastAsia="仿宋" w:cs="仿宋"/>
          <w:sz w:val="32"/>
          <w:szCs w:val="32"/>
        </w:rPr>
        <w:t>0</w:t>
      </w:r>
      <w:r>
        <w:rPr>
          <w:rFonts w:hint="eastAsia" w:ascii="仿宋" w:hAnsi="仿宋" w:eastAsia="仿宋" w:cs="仿宋"/>
          <w:sz w:val="32"/>
          <w:szCs w:val="32"/>
        </w:rPr>
        <w:t>万元。</w:t>
      </w:r>
    </w:p>
    <w:p w14:paraId="5EE824EF">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（二）专项支出</w:t>
      </w:r>
    </w:p>
    <w:p w14:paraId="71BF2B6F">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年专项支出8476.28万元。主要用于</w:t>
      </w:r>
      <w:r>
        <w:rPr>
          <w:rFonts w:hint="eastAsia" w:ascii="仿宋" w:hAnsi="仿宋" w:eastAsia="仿宋" w:cs="仿宋"/>
          <w:sz w:val="32"/>
          <w:szCs w:val="32"/>
          <w:lang w:eastAsia="zh-CN"/>
        </w:rPr>
        <w:t>圣达学校和县幼儿园工程及设备款</w:t>
      </w:r>
      <w:r>
        <w:rPr>
          <w:rFonts w:hint="eastAsia" w:ascii="仿宋" w:hAnsi="仿宋" w:eastAsia="仿宋" w:cs="仿宋"/>
          <w:sz w:val="32"/>
          <w:szCs w:val="32"/>
        </w:rPr>
        <w:t>，绩效评估良好。</w:t>
      </w:r>
    </w:p>
    <w:p w14:paraId="5F1FB212">
      <w:pPr>
        <w:spacing w:line="500" w:lineRule="exact"/>
        <w:ind w:firstLine="480" w:firstLineChars="150"/>
        <w:rPr>
          <w:rFonts w:ascii="黑体" w:hAnsi="黑体" w:eastAsia="黑体" w:cs="Times New Roman"/>
          <w:sz w:val="32"/>
          <w:szCs w:val="32"/>
        </w:rPr>
      </w:pPr>
      <w:r>
        <w:rPr>
          <w:rFonts w:hint="eastAsia" w:ascii="黑体" w:hAnsi="黑体" w:eastAsia="黑体" w:cs="黑体"/>
          <w:sz w:val="32"/>
          <w:szCs w:val="32"/>
        </w:rPr>
        <w:t>三、</w:t>
      </w:r>
      <w:bookmarkStart w:id="3" w:name="OLE_LINK8"/>
      <w:bookmarkStart w:id="4" w:name="OLE_LINK9"/>
      <w:r>
        <w:rPr>
          <w:rFonts w:hint="eastAsia" w:ascii="黑体" w:hAnsi="黑体" w:eastAsia="黑体" w:cs="黑体"/>
          <w:sz w:val="32"/>
          <w:szCs w:val="32"/>
        </w:rPr>
        <w:t>资产管理情况</w:t>
      </w:r>
      <w:bookmarkEnd w:id="3"/>
      <w:bookmarkEnd w:id="4"/>
    </w:p>
    <w:p w14:paraId="0F92734D">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（一）提高认识，注重业务学习，夯实管理基础</w:t>
      </w:r>
      <w:r>
        <w:rPr>
          <w:rFonts w:ascii="宋体" w:hAnsi="宋体" w:eastAsia="楷体" w:cs="Times New Roman"/>
          <w:b/>
          <w:bCs/>
          <w:sz w:val="32"/>
          <w:szCs w:val="32"/>
        </w:rPr>
        <w:t> </w:t>
      </w:r>
    </w:p>
    <w:p w14:paraId="66FA3FBD">
      <w:pPr>
        <w:spacing w:line="500" w:lineRule="exact"/>
        <w:ind w:firstLine="720" w:firstLineChars="225"/>
        <w:rPr>
          <w:rFonts w:ascii="宋体" w:cs="Times New Roman"/>
          <w:sz w:val="32"/>
          <w:szCs w:val="32"/>
        </w:rPr>
      </w:pPr>
      <w:r>
        <w:rPr>
          <w:rFonts w:hint="eastAsia" w:ascii="仿宋" w:hAnsi="仿宋" w:eastAsia="仿宋" w:cs="仿宋"/>
          <w:sz w:val="32"/>
          <w:szCs w:val="32"/>
        </w:rPr>
        <w:t>为加强和规范行政事业单位国有资产管理，提高财政资金使用效益，保证单位国有资产的安全完整，进一步提高资产管理水平，我局认真学习《行政事业单位国有资产管理暂行办法》、《事业单位国有资产管理暂行办法》等有关文件，明确了工作职责与工作要求，力求做到规范管理、科学统筹，不断提高资产使用效率。</w:t>
      </w:r>
      <w:r>
        <w:rPr>
          <w:rFonts w:ascii="宋体" w:cs="Times New Roman"/>
          <w:sz w:val="32"/>
          <w:szCs w:val="32"/>
        </w:rPr>
        <w:t> </w:t>
      </w:r>
    </w:p>
    <w:p w14:paraId="582099B2">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（二）完善资产管理制度，提高资产管理水平</w:t>
      </w:r>
      <w:r>
        <w:rPr>
          <w:rFonts w:ascii="宋体" w:hAnsi="宋体" w:eastAsia="楷体" w:cs="Times New Roman"/>
          <w:b/>
          <w:bCs/>
          <w:sz w:val="32"/>
          <w:szCs w:val="32"/>
        </w:rPr>
        <w:t> </w:t>
      </w:r>
    </w:p>
    <w:p w14:paraId="3EA6B541">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事业单位国有资产管理工作需要有相应的配套管理办法来支持实施，构筑完善的制度体系是建立事业单位国有资产管理长效机制的基础。我局为进一步提高资产管理水平，防止国有资产流失，维护国有资产的安全和完整，在工作中结合本院实际情况，积极探索与之相适应的资产管理配套实施办法，新修订了资产管理制度，加大了资产管理力度。</w:t>
      </w:r>
    </w:p>
    <w:p w14:paraId="15515C78">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（三）加强日常资产管理，规范管理程序</w:t>
      </w:r>
      <w:r>
        <w:rPr>
          <w:rFonts w:ascii="楷体" w:hAnsi="楷体" w:eastAsia="楷体" w:cs="Times New Roman"/>
          <w:b/>
          <w:bCs/>
          <w:sz w:val="32"/>
          <w:szCs w:val="32"/>
        </w:rPr>
        <w:t> </w:t>
      </w:r>
    </w:p>
    <w:p w14:paraId="427BC8B6">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在资产的日常管理方面，将单位国有资产层次化、集中化管理，优化国有资产的配置和分布，提升了国有资产的管理水平。</w:t>
      </w:r>
      <w:r>
        <w:rPr>
          <w:rFonts w:ascii="宋体" w:cs="Times New Roman"/>
          <w:sz w:val="32"/>
          <w:szCs w:val="32"/>
        </w:rPr>
        <w:t> </w:t>
      </w:r>
    </w:p>
    <w:p w14:paraId="24B76D19">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1.</w:t>
      </w:r>
      <w:r>
        <w:rPr>
          <w:rFonts w:hint="eastAsia" w:ascii="仿宋" w:hAnsi="仿宋" w:eastAsia="仿宋" w:cs="仿宋"/>
          <w:sz w:val="32"/>
          <w:szCs w:val="32"/>
        </w:rPr>
        <w:t>实施“单位资产动态兼管，资源共享，资产管理与预算管理、资金管理相结合”的管理办法。</w:t>
      </w:r>
      <w:r>
        <w:rPr>
          <w:rFonts w:ascii="宋体" w:cs="Times New Roman"/>
          <w:sz w:val="32"/>
          <w:szCs w:val="32"/>
        </w:rPr>
        <w:t> </w:t>
      </w:r>
    </w:p>
    <w:p w14:paraId="08102915">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2.</w:t>
      </w:r>
      <w:r>
        <w:rPr>
          <w:rFonts w:hint="eastAsia" w:ascii="仿宋" w:hAnsi="仿宋" w:eastAsia="仿宋" w:cs="仿宋"/>
          <w:sz w:val="32"/>
          <w:szCs w:val="32"/>
        </w:rPr>
        <w:t>新增（购买、接收捐赠）资产及时入账，落实保管制度，责任到人。</w:t>
      </w:r>
      <w:r>
        <w:rPr>
          <w:rFonts w:ascii="宋体" w:cs="Times New Roman"/>
          <w:sz w:val="32"/>
          <w:szCs w:val="32"/>
        </w:rPr>
        <w:t> </w:t>
      </w:r>
    </w:p>
    <w:p w14:paraId="2788FFB5">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3.</w:t>
      </w:r>
      <w:r>
        <w:rPr>
          <w:rFonts w:hint="eastAsia" w:ascii="仿宋" w:hAnsi="仿宋" w:eastAsia="仿宋" w:cs="仿宋"/>
          <w:sz w:val="32"/>
          <w:szCs w:val="32"/>
        </w:rPr>
        <w:t>资产盘亏、报废由局办公室盘点后提出资产盘亏、报废申请报告，并会同财务部门核查落实后，报财政部门审批，严格规范资产处置程序。</w:t>
      </w:r>
      <w:r>
        <w:rPr>
          <w:rFonts w:ascii="宋体" w:cs="Times New Roman"/>
          <w:sz w:val="32"/>
          <w:szCs w:val="32"/>
        </w:rPr>
        <w:t> </w:t>
      </w:r>
    </w:p>
    <w:p w14:paraId="02ED8333">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4.</w:t>
      </w:r>
      <w:r>
        <w:rPr>
          <w:rFonts w:hint="eastAsia" w:ascii="仿宋" w:hAnsi="仿宋" w:eastAsia="仿宋" w:cs="仿宋"/>
          <w:sz w:val="32"/>
          <w:szCs w:val="32"/>
        </w:rPr>
        <w:t>落实检查制度，对各</w:t>
      </w:r>
      <w:bookmarkStart w:id="5" w:name="OLE_LINK2"/>
      <w:r>
        <w:rPr>
          <w:rFonts w:hint="eastAsia" w:ascii="仿宋" w:hAnsi="仿宋" w:eastAsia="仿宋" w:cs="仿宋"/>
          <w:sz w:val="32"/>
          <w:szCs w:val="32"/>
        </w:rPr>
        <w:t>学校、</w:t>
      </w:r>
      <w:bookmarkEnd w:id="5"/>
      <w:r>
        <w:rPr>
          <w:rFonts w:hint="eastAsia" w:ascii="仿宋" w:hAnsi="仿宋" w:eastAsia="仿宋" w:cs="仿宋"/>
          <w:sz w:val="32"/>
          <w:szCs w:val="32"/>
        </w:rPr>
        <w:t>科室资产的调配、使用、保管进行定期和不定期检查，特别是对易携带、易丢失、已损坏资产的检查，通过检查未发现有出租、出借、私自带走单位资产的现象，各学校、科室基本做到了账实相符，存放地点清楚，责任人员明确。</w:t>
      </w:r>
      <w:r>
        <w:rPr>
          <w:rFonts w:ascii="宋体" w:cs="Times New Roman"/>
          <w:sz w:val="32"/>
          <w:szCs w:val="32"/>
        </w:rPr>
        <w:t> </w:t>
      </w:r>
    </w:p>
    <w:p w14:paraId="792669B4">
      <w:pPr>
        <w:spacing w:line="500" w:lineRule="exact"/>
        <w:ind w:firstLine="720" w:firstLineChars="225"/>
        <w:rPr>
          <w:rFonts w:ascii="仿宋" w:hAnsi="仿宋" w:eastAsia="仿宋" w:cs="Times New Roman"/>
          <w:sz w:val="32"/>
          <w:szCs w:val="32"/>
        </w:rPr>
      </w:pPr>
      <w:r>
        <w:rPr>
          <w:rFonts w:ascii="仿宋" w:hAnsi="仿宋" w:eastAsia="仿宋" w:cs="仿宋"/>
          <w:sz w:val="32"/>
          <w:szCs w:val="32"/>
        </w:rPr>
        <w:t>5.</w:t>
      </w:r>
      <w:r>
        <w:rPr>
          <w:rFonts w:hint="eastAsia" w:ascii="仿宋" w:hAnsi="仿宋" w:eastAsia="仿宋" w:cs="仿宋"/>
          <w:sz w:val="32"/>
          <w:szCs w:val="32"/>
        </w:rPr>
        <w:t>各科室均加强了安全措施，本年度无资产被盗现象，使用管理人员都能做好检查维护工作，确保资产的使用性能。</w:t>
      </w:r>
    </w:p>
    <w:p w14:paraId="01B464F8">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五、部门整体支出绩效情况</w:t>
      </w:r>
    </w:p>
    <w:p w14:paraId="792C63FC">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年，县教育局突出抓改革、强教育、促发展，各方面工作稳步推进，根据《部门整体支出绩效评价指标》评分表自评得分</w:t>
      </w:r>
      <w:r>
        <w:rPr>
          <w:rFonts w:ascii="仿宋" w:hAnsi="仿宋" w:eastAsia="仿宋" w:cs="仿宋"/>
          <w:sz w:val="32"/>
          <w:szCs w:val="32"/>
        </w:rPr>
        <w:t>9</w:t>
      </w:r>
      <w:r>
        <w:rPr>
          <w:rFonts w:hint="eastAsia" w:ascii="仿宋" w:hAnsi="仿宋" w:eastAsia="仿宋" w:cs="仿宋"/>
          <w:sz w:val="32"/>
          <w:szCs w:val="32"/>
        </w:rPr>
        <w:t>0分，财政支出绩效为“优秀”。主要绩效如下：</w:t>
      </w:r>
    </w:p>
    <w:p w14:paraId="4F69A0EE">
      <w:pPr>
        <w:spacing w:line="500" w:lineRule="exact"/>
        <w:ind w:firstLine="720" w:firstLineChars="225"/>
        <w:rPr>
          <w:rFonts w:ascii="楷体" w:hAnsi="楷体" w:eastAsia="楷体" w:cs="楷体"/>
          <w:b/>
          <w:bCs/>
          <w:sz w:val="32"/>
          <w:szCs w:val="32"/>
        </w:rPr>
      </w:pPr>
      <w:r>
        <w:rPr>
          <w:rFonts w:ascii="楷体" w:hAnsi="楷体" w:eastAsia="楷体" w:cs="楷体"/>
          <w:b/>
          <w:bCs/>
          <w:sz w:val="32"/>
          <w:szCs w:val="32"/>
        </w:rPr>
        <w:t>1</w:t>
      </w:r>
      <w:r>
        <w:rPr>
          <w:rFonts w:hint="eastAsia" w:ascii="楷体" w:hAnsi="楷体" w:eastAsia="楷体" w:cs="楷体"/>
          <w:b/>
          <w:bCs/>
          <w:sz w:val="32"/>
          <w:szCs w:val="32"/>
        </w:rPr>
        <w:t>、部门支出绩效。</w:t>
      </w:r>
      <w:r>
        <w:rPr>
          <w:rFonts w:ascii="楷体" w:hAnsi="楷体" w:eastAsia="楷体" w:cs="楷体"/>
          <w:b/>
          <w:bCs/>
          <w:sz w:val="32"/>
          <w:szCs w:val="32"/>
        </w:rPr>
        <w:t xml:space="preserve"> </w:t>
      </w:r>
    </w:p>
    <w:p w14:paraId="5A6B1F6D">
      <w:pPr>
        <w:spacing w:line="500" w:lineRule="exact"/>
        <w:ind w:firstLine="720" w:firstLineChars="225"/>
        <w:rPr>
          <w:rFonts w:ascii="仿宋" w:hAnsi="仿宋" w:eastAsia="仿宋" w:cs="Times New Roman"/>
          <w:b/>
          <w:bCs/>
          <w:sz w:val="32"/>
          <w:szCs w:val="32"/>
        </w:rPr>
      </w:pPr>
      <w:r>
        <w:rPr>
          <w:rFonts w:hint="eastAsia" w:ascii="仿宋" w:hAnsi="仿宋" w:eastAsia="仿宋" w:cs="仿宋"/>
          <w:b/>
          <w:bCs/>
          <w:sz w:val="32"/>
          <w:szCs w:val="32"/>
        </w:rPr>
        <w:t>（</w:t>
      </w:r>
      <w:r>
        <w:rPr>
          <w:rFonts w:ascii="仿宋" w:hAnsi="仿宋" w:eastAsia="仿宋" w:cs="仿宋"/>
          <w:b/>
          <w:bCs/>
          <w:sz w:val="32"/>
          <w:szCs w:val="32"/>
        </w:rPr>
        <w:t>1</w:t>
      </w:r>
      <w:r>
        <w:rPr>
          <w:rFonts w:hint="eastAsia" w:ascii="仿宋" w:hAnsi="仿宋" w:eastAsia="仿宋" w:cs="仿宋"/>
          <w:b/>
          <w:bCs/>
          <w:sz w:val="32"/>
          <w:szCs w:val="32"/>
        </w:rPr>
        <w:t>）行政运转保障。</w:t>
      </w:r>
      <w:r>
        <w:rPr>
          <w:rFonts w:hint="eastAsia" w:ascii="仿宋" w:hAnsi="仿宋" w:eastAsia="仿宋" w:cs="仿宋"/>
          <w:sz w:val="32"/>
          <w:szCs w:val="32"/>
        </w:rPr>
        <w:t>在单位的日常经费管理工作中首先保障单位基本运转，保障人员支出和日常公用经费，确保本部门教育管理工作的正常运转和人员稳定，在资金有保证的情况下着力改善办公条件。</w:t>
      </w:r>
      <w:r>
        <w:rPr>
          <w:rFonts w:ascii="仿宋" w:hAnsi="仿宋" w:eastAsia="仿宋" w:cs="仿宋"/>
          <w:sz w:val="32"/>
          <w:szCs w:val="32"/>
        </w:rPr>
        <w:t xml:space="preserve"> </w:t>
      </w:r>
    </w:p>
    <w:p w14:paraId="470CE056">
      <w:pPr>
        <w:spacing w:line="500" w:lineRule="exact"/>
        <w:ind w:firstLine="720" w:firstLineChars="225"/>
        <w:rPr>
          <w:rFonts w:ascii="仿宋" w:hAnsi="仿宋" w:eastAsia="仿宋" w:cs="Times New Roman"/>
          <w:b/>
          <w:bCs/>
          <w:sz w:val="32"/>
          <w:szCs w:val="32"/>
        </w:rPr>
      </w:pPr>
      <w:r>
        <w:rPr>
          <w:rFonts w:hint="eastAsia" w:ascii="仿宋" w:hAnsi="仿宋" w:eastAsia="仿宋" w:cs="仿宋"/>
          <w:b/>
          <w:bCs/>
          <w:sz w:val="32"/>
          <w:szCs w:val="32"/>
        </w:rPr>
        <w:t>（</w:t>
      </w:r>
      <w:r>
        <w:rPr>
          <w:rFonts w:ascii="仿宋" w:hAnsi="仿宋" w:eastAsia="仿宋" w:cs="仿宋"/>
          <w:b/>
          <w:bCs/>
          <w:sz w:val="32"/>
          <w:szCs w:val="32"/>
        </w:rPr>
        <w:t>2</w:t>
      </w:r>
      <w:r>
        <w:rPr>
          <w:rFonts w:hint="eastAsia" w:ascii="仿宋" w:hAnsi="仿宋" w:eastAsia="仿宋" w:cs="仿宋"/>
          <w:b/>
          <w:bCs/>
          <w:sz w:val="32"/>
          <w:szCs w:val="32"/>
        </w:rPr>
        <w:t>）机关厉行节约。</w:t>
      </w:r>
      <w:r>
        <w:rPr>
          <w:rFonts w:hint="eastAsia" w:ascii="仿宋" w:hAnsi="仿宋" w:eastAsia="仿宋" w:cs="仿宋"/>
          <w:sz w:val="32"/>
          <w:szCs w:val="32"/>
        </w:rPr>
        <w:t>在保障基本运转的前提下，大力倡导厉行节约，把有限的资金用在刀刃上。202</w:t>
      </w:r>
      <w:r>
        <w:rPr>
          <w:rFonts w:hint="eastAsia" w:ascii="仿宋" w:hAnsi="仿宋" w:eastAsia="仿宋" w:cs="仿宋"/>
          <w:sz w:val="32"/>
          <w:szCs w:val="32"/>
          <w:lang w:val="en-US" w:eastAsia="zh-CN"/>
        </w:rPr>
        <w:t>2</w:t>
      </w:r>
      <w:r>
        <w:rPr>
          <w:rFonts w:hint="eastAsia" w:ascii="仿宋" w:hAnsi="仿宋" w:eastAsia="仿宋" w:cs="仿宋"/>
          <w:sz w:val="32"/>
          <w:szCs w:val="32"/>
        </w:rPr>
        <w:t>年全年无因公出国（境）费用，公车运行维护费用全年为</w:t>
      </w:r>
      <w:r>
        <w:rPr>
          <w:rFonts w:ascii="仿宋" w:hAnsi="仿宋" w:eastAsia="仿宋" w:cs="仿宋"/>
          <w:sz w:val="32"/>
          <w:szCs w:val="32"/>
        </w:rPr>
        <w:t>0</w:t>
      </w:r>
      <w:r>
        <w:rPr>
          <w:rFonts w:hint="eastAsia" w:ascii="仿宋" w:hAnsi="仿宋" w:eastAsia="仿宋" w:cs="仿宋"/>
          <w:sz w:val="32"/>
          <w:szCs w:val="32"/>
        </w:rPr>
        <w:t>万元，公务接待经费全年为</w:t>
      </w:r>
      <w:r>
        <w:rPr>
          <w:rFonts w:hint="eastAsia" w:ascii="仿宋" w:hAnsi="仿宋" w:eastAsia="仿宋" w:cs="仿宋"/>
          <w:sz w:val="32"/>
          <w:szCs w:val="32"/>
          <w:lang w:val="en-US" w:eastAsia="zh-CN"/>
        </w:rPr>
        <w:t>0.5</w:t>
      </w:r>
      <w:r>
        <w:rPr>
          <w:rFonts w:hint="eastAsia" w:ascii="仿宋" w:hAnsi="仿宋" w:eastAsia="仿宋" w:cs="仿宋"/>
          <w:sz w:val="32"/>
          <w:szCs w:val="32"/>
        </w:rPr>
        <w:t>万元。</w:t>
      </w:r>
      <w:r>
        <w:rPr>
          <w:rFonts w:ascii="仿宋" w:hAnsi="仿宋" w:eastAsia="仿宋" w:cs="仿宋"/>
          <w:sz w:val="32"/>
          <w:szCs w:val="32"/>
        </w:rPr>
        <w:t xml:space="preserve"> </w:t>
      </w:r>
    </w:p>
    <w:p w14:paraId="27336B17">
      <w:pPr>
        <w:spacing w:line="500" w:lineRule="exact"/>
        <w:ind w:firstLine="720" w:firstLineChars="225"/>
        <w:rPr>
          <w:rFonts w:ascii="仿宋" w:hAnsi="仿宋" w:eastAsia="仿宋" w:cs="Times New Roman"/>
          <w:b/>
          <w:bCs/>
          <w:sz w:val="32"/>
          <w:szCs w:val="32"/>
        </w:rPr>
      </w:pPr>
      <w:r>
        <w:rPr>
          <w:rFonts w:hint="eastAsia" w:ascii="仿宋" w:hAnsi="仿宋" w:eastAsia="仿宋" w:cs="仿宋"/>
          <w:b/>
          <w:bCs/>
          <w:sz w:val="32"/>
          <w:szCs w:val="32"/>
        </w:rPr>
        <w:t>（</w:t>
      </w:r>
      <w:r>
        <w:rPr>
          <w:rFonts w:ascii="仿宋" w:hAnsi="仿宋" w:eastAsia="仿宋" w:cs="仿宋"/>
          <w:b/>
          <w:bCs/>
          <w:sz w:val="32"/>
          <w:szCs w:val="32"/>
        </w:rPr>
        <w:t>3</w:t>
      </w:r>
      <w:r>
        <w:rPr>
          <w:rFonts w:hint="eastAsia" w:ascii="仿宋" w:hAnsi="仿宋" w:eastAsia="仿宋" w:cs="仿宋"/>
          <w:b/>
          <w:bCs/>
          <w:sz w:val="32"/>
          <w:szCs w:val="32"/>
        </w:rPr>
        <w:t>）预决算公开情况。</w:t>
      </w:r>
      <w:r>
        <w:rPr>
          <w:rFonts w:hint="eastAsia" w:ascii="仿宋" w:hAnsi="仿宋" w:eastAsia="仿宋" w:cs="仿宋"/>
          <w:sz w:val="32"/>
          <w:szCs w:val="32"/>
        </w:rPr>
        <w:t>按照相关规定，本部门预决算、“三公”经费预决算、其他重要财政资金使用情况均已公开公示。</w:t>
      </w:r>
      <w:r>
        <w:rPr>
          <w:rFonts w:ascii="仿宋" w:hAnsi="仿宋" w:eastAsia="仿宋" w:cs="仿宋"/>
          <w:sz w:val="32"/>
          <w:szCs w:val="32"/>
        </w:rPr>
        <w:t xml:space="preserve"> </w:t>
      </w:r>
    </w:p>
    <w:p w14:paraId="39C4F6D8">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六、存在的主要问题</w:t>
      </w:r>
    </w:p>
    <w:p w14:paraId="4027AC99">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由于财政资金紧张，有时在资金安排和下达上较晚，部门在运用资金时受到一定的限制</w:t>
      </w:r>
      <w:r>
        <w:rPr>
          <w:rFonts w:ascii="仿宋" w:hAnsi="仿宋" w:eastAsia="仿宋" w:cs="仿宋"/>
          <w:sz w:val="32"/>
          <w:szCs w:val="32"/>
        </w:rPr>
        <w:t>,</w:t>
      </w:r>
      <w:r>
        <w:rPr>
          <w:rFonts w:hint="eastAsia" w:ascii="仿宋" w:hAnsi="仿宋" w:eastAsia="仿宋" w:cs="仿宋"/>
          <w:sz w:val="32"/>
          <w:szCs w:val="32"/>
        </w:rPr>
        <w:t>资金执行进度未按照预算逐月使用。</w:t>
      </w:r>
    </w:p>
    <w:p w14:paraId="7AF87A7E">
      <w:pPr>
        <w:spacing w:line="500" w:lineRule="exact"/>
        <w:ind w:firstLine="720" w:firstLineChars="225"/>
        <w:rPr>
          <w:rFonts w:ascii="黑体" w:hAnsi="黑体" w:eastAsia="黑体" w:cs="Times New Roman"/>
          <w:sz w:val="32"/>
          <w:szCs w:val="32"/>
        </w:rPr>
      </w:pPr>
      <w:r>
        <w:rPr>
          <w:rFonts w:hint="eastAsia" w:ascii="黑体" w:hAnsi="黑体" w:eastAsia="黑体" w:cs="黑体"/>
          <w:sz w:val="32"/>
          <w:szCs w:val="32"/>
        </w:rPr>
        <w:t>七、改进措施和有关建议</w:t>
      </w:r>
    </w:p>
    <w:p w14:paraId="38736301">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（一）加强新行政单位会计制度和新预算法学习培训</w:t>
      </w:r>
    </w:p>
    <w:p w14:paraId="566530EC">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4F6B235D">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（二）规范账务处理，提高财务信息质量</w:t>
      </w:r>
    </w:p>
    <w:p w14:paraId="22B561B4">
      <w:pPr>
        <w:spacing w:line="500" w:lineRule="exact"/>
        <w:ind w:firstLine="720" w:firstLineChars="225"/>
        <w:rPr>
          <w:rFonts w:ascii="仿宋" w:hAnsi="仿宋" w:eastAsia="仿宋" w:cs="Times New Roman"/>
          <w:sz w:val="32"/>
          <w:szCs w:val="32"/>
        </w:rPr>
      </w:pPr>
      <w:r>
        <w:rPr>
          <w:rFonts w:hint="eastAsia" w:ascii="仿宋" w:hAnsi="仿宋" w:eastAsia="仿宋" w:cs="仿宋"/>
          <w:sz w:val="32"/>
          <w:szCs w:val="32"/>
        </w:rPr>
        <w:t>严格按照《会计法》、《行政单位会计制度》、《行政单位财务规则》等规定执行财务核算，并结合实际情况，完整、准确地披露相关信息，尽可能地做到决算与预算相衔接。</w:t>
      </w:r>
    </w:p>
    <w:p w14:paraId="617A649F">
      <w:pPr>
        <w:spacing w:line="500" w:lineRule="exact"/>
        <w:ind w:firstLine="720" w:firstLineChars="225"/>
        <w:rPr>
          <w:rFonts w:ascii="楷体" w:hAnsi="楷体" w:eastAsia="楷体" w:cs="Times New Roman"/>
          <w:b/>
          <w:bCs/>
          <w:sz w:val="32"/>
          <w:szCs w:val="32"/>
        </w:rPr>
      </w:pPr>
      <w:r>
        <w:rPr>
          <w:rFonts w:hint="eastAsia" w:ascii="楷体" w:hAnsi="楷体" w:eastAsia="楷体" w:cs="楷体"/>
          <w:b/>
          <w:bCs/>
          <w:sz w:val="32"/>
          <w:szCs w:val="32"/>
        </w:rPr>
        <w:t>（三）完善管理制度，进一步加强资产管理</w:t>
      </w:r>
    </w:p>
    <w:p w14:paraId="5252E62A">
      <w:pPr>
        <w:jc w:val="left"/>
        <w:rPr>
          <w:rFonts w:ascii="宋体" w:cs="Times New Roman"/>
          <w:color w:val="000000"/>
          <w:kern w:val="0"/>
          <w:sz w:val="32"/>
          <w:szCs w:val="32"/>
        </w:rPr>
      </w:pPr>
      <w:r>
        <w:rPr>
          <w:rFonts w:hint="eastAsia" w:ascii="仿宋" w:hAnsi="仿宋" w:eastAsia="仿宋" w:cs="仿宋"/>
          <w:sz w:val="32"/>
          <w:szCs w:val="32"/>
        </w:rPr>
        <w:t>进一步贯彻落实中央“八项规定”和湖南省委“九条规定”，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14:paraId="3251F2AA">
      <w:pPr>
        <w:ind w:firstLine="640" w:firstLineChars="200"/>
        <w:jc w:val="left"/>
        <w:rPr>
          <w:rFonts w:cs="黑体" w:asciiTheme="minorEastAsia" w:hAnsiTheme="minorEastAsia"/>
          <w:color w:val="000000"/>
          <w:kern w:val="0"/>
          <w:sz w:val="32"/>
          <w:szCs w:val="32"/>
        </w:rPr>
      </w:pPr>
    </w:p>
    <w:p w14:paraId="68988ED4">
      <w:pPr>
        <w:jc w:val="left"/>
        <w:rPr>
          <w:rFonts w:cs="黑体" w:asciiTheme="minorEastAsia" w:hAnsiTheme="minorEastAsia"/>
          <w:color w:val="000000"/>
          <w:kern w:val="0"/>
          <w:sz w:val="32"/>
          <w:szCs w:val="32"/>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DD0CDB"/>
    <w:multiLevelType w:val="singleLevel"/>
    <w:tmpl w:val="9BDD0CDB"/>
    <w:lvl w:ilvl="0" w:tentative="0">
      <w:start w:val="2"/>
      <w:numFmt w:val="chineseCounting"/>
      <w:suff w:val="nothing"/>
      <w:lvlText w:val="%1、"/>
      <w:lvlJc w:val="left"/>
      <w:rPr>
        <w:rFonts w:hint="eastAsia"/>
      </w:rPr>
    </w:lvl>
  </w:abstractNum>
  <w:abstractNum w:abstractNumId="1">
    <w:nsid w:val="F7BFA2EF"/>
    <w:multiLevelType w:val="singleLevel"/>
    <w:tmpl w:val="F7BFA2EF"/>
    <w:lvl w:ilvl="0" w:tentative="0">
      <w:start w:val="2"/>
      <w:numFmt w:val="decimal"/>
      <w:suff w:val="nothing"/>
      <w:lvlText w:val="%1、"/>
      <w:lvlJc w:val="left"/>
      <w:pPr>
        <w:ind w:left="250"/>
      </w:p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1A2A74"/>
    <w:rsid w:val="04AE03B0"/>
    <w:rsid w:val="07D9053B"/>
    <w:rsid w:val="0EE12810"/>
    <w:rsid w:val="10BB784F"/>
    <w:rsid w:val="111B3F66"/>
    <w:rsid w:val="11DF0A6D"/>
    <w:rsid w:val="12D403F1"/>
    <w:rsid w:val="14226A33"/>
    <w:rsid w:val="15185CA7"/>
    <w:rsid w:val="15EE50E0"/>
    <w:rsid w:val="176A7D3E"/>
    <w:rsid w:val="186F1B1E"/>
    <w:rsid w:val="1882198B"/>
    <w:rsid w:val="18846756"/>
    <w:rsid w:val="194A0DE8"/>
    <w:rsid w:val="1B1A7868"/>
    <w:rsid w:val="1BFD0019"/>
    <w:rsid w:val="1DF334D5"/>
    <w:rsid w:val="2157393F"/>
    <w:rsid w:val="23395F8A"/>
    <w:rsid w:val="27D77CE6"/>
    <w:rsid w:val="28937013"/>
    <w:rsid w:val="2B113B0E"/>
    <w:rsid w:val="2B361B54"/>
    <w:rsid w:val="2C2724C7"/>
    <w:rsid w:val="2E520C28"/>
    <w:rsid w:val="2EBD0234"/>
    <w:rsid w:val="300514EF"/>
    <w:rsid w:val="30146F4B"/>
    <w:rsid w:val="32BB1C83"/>
    <w:rsid w:val="35E96AB5"/>
    <w:rsid w:val="378B0797"/>
    <w:rsid w:val="383F1B57"/>
    <w:rsid w:val="39275B41"/>
    <w:rsid w:val="3A1B6270"/>
    <w:rsid w:val="414032D5"/>
    <w:rsid w:val="41414128"/>
    <w:rsid w:val="456B0341"/>
    <w:rsid w:val="4752316E"/>
    <w:rsid w:val="4B923C47"/>
    <w:rsid w:val="4D565C2E"/>
    <w:rsid w:val="4D792AED"/>
    <w:rsid w:val="524A03C8"/>
    <w:rsid w:val="5777D4F5"/>
    <w:rsid w:val="58C1657A"/>
    <w:rsid w:val="591304B3"/>
    <w:rsid w:val="59A55F73"/>
    <w:rsid w:val="5BFD7816"/>
    <w:rsid w:val="5C593045"/>
    <w:rsid w:val="5C5E21EF"/>
    <w:rsid w:val="5DB03139"/>
    <w:rsid w:val="5DFE1AF0"/>
    <w:rsid w:val="5E0C17D2"/>
    <w:rsid w:val="5FC6BB1E"/>
    <w:rsid w:val="5FF720F1"/>
    <w:rsid w:val="63402869"/>
    <w:rsid w:val="65217654"/>
    <w:rsid w:val="652E1DA5"/>
    <w:rsid w:val="66A852F5"/>
    <w:rsid w:val="67973300"/>
    <w:rsid w:val="67F02AB0"/>
    <w:rsid w:val="684079C6"/>
    <w:rsid w:val="6C6972D4"/>
    <w:rsid w:val="711223E7"/>
    <w:rsid w:val="71771B4C"/>
    <w:rsid w:val="72F378F8"/>
    <w:rsid w:val="737D59BA"/>
    <w:rsid w:val="738A4092"/>
    <w:rsid w:val="74030FC2"/>
    <w:rsid w:val="77C37683"/>
    <w:rsid w:val="77E257C8"/>
    <w:rsid w:val="79030169"/>
    <w:rsid w:val="79FF515B"/>
    <w:rsid w:val="7B722E89"/>
    <w:rsid w:val="7CBC1D82"/>
    <w:rsid w:val="7E9F11B4"/>
    <w:rsid w:val="7EE527EB"/>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0">
    <w:name w:val="List Paragraph"/>
    <w:basedOn w:val="1"/>
    <w:qFormat/>
    <w:uiPriority w:val="34"/>
    <w:pPr>
      <w:ind w:firstLine="420" w:firstLineChars="200"/>
    </w:pPr>
  </w:style>
  <w:style w:type="character" w:customStyle="1" w:styleId="11">
    <w:name w:val="批注框文本 Char"/>
    <w:basedOn w:val="6"/>
    <w:link w:val="2"/>
    <w:semiHidden/>
    <w:qFormat/>
    <w:uiPriority w:val="99"/>
    <w:rPr>
      <w:sz w:val="18"/>
      <w:szCs w:val="18"/>
    </w:rPr>
  </w:style>
  <w:style w:type="character" w:customStyle="1" w:styleId="12">
    <w:name w:val="font01"/>
    <w:basedOn w:val="6"/>
    <w:qFormat/>
    <w:uiPriority w:val="0"/>
    <w:rPr>
      <w:rFonts w:hint="eastAsia" w:ascii="宋体" w:hAnsi="宋体" w:eastAsia="宋体" w:cs="宋体"/>
      <w:color w:val="000000"/>
      <w:sz w:val="22"/>
      <w:szCs w:val="22"/>
      <w:u w:val="none"/>
    </w:rPr>
  </w:style>
  <w:style w:type="character" w:customStyle="1" w:styleId="13">
    <w:name w:val="font21"/>
    <w:basedOn w:val="6"/>
    <w:qFormat/>
    <w:uiPriority w:val="0"/>
    <w:rPr>
      <w:rFonts w:hint="eastAsia" w:ascii="宋体" w:hAnsi="宋体" w:eastAsia="宋体" w:cs="宋体"/>
      <w:color w:val="000000"/>
      <w:sz w:val="24"/>
      <w:szCs w:val="24"/>
      <w:u w:val="none"/>
    </w:rPr>
  </w:style>
  <w:style w:type="character" w:customStyle="1" w:styleId="14">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3.bin"/><Relationship Id="rId7" Type="http://schemas.openxmlformats.org/officeDocument/2006/relationships/image" Target="media/image2.emf"/><Relationship Id="rId6" Type="http://schemas.openxmlformats.org/officeDocument/2006/relationships/oleObject" Target="embeddings/oleObject2.bin"/><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4.e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31</Pages>
  <Words>1927</Words>
  <Characters>3053</Characters>
  <Lines>63</Lines>
  <Paragraphs>18</Paragraphs>
  <TotalTime>4</TotalTime>
  <ScaleCrop>false</ScaleCrop>
  <LinksUpToDate>false</LinksUpToDate>
  <CharactersWithSpaces>3095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2026-07-17T03:18:51Z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12E3357045634B3895C702D18777907B_13</vt:lpwstr>
  </property>
  <property fmtid="{D5CDD505-2E9C-101B-9397-08002B2CF9AE}" pid="4" name="KSOTemplateDocerSaveRecord">
    <vt:lpwstr>eyJoZGlkIjoiNDc4MWVmYWJkZTllNTNiZWFiODgyNWFlMTkxMjZhM2MiLCJ1c2VySWQiOiI5NTkxMTI2OTEifQ==</vt:lpwstr>
  </property>
</Properties>
</file>