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溆浦县教育局机关部门决算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第一部分溆浦县教育局机关概况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第二部分2021年度部门决算表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第三部分2021年度部门决算情况说明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于2021年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溆浦县教育局机关概况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jc w:val="left"/>
        <w:rPr>
          <w:rFonts w:ascii="宋体" w:cs="Times New Roman"/>
          <w:sz w:val="32"/>
          <w:szCs w:val="32"/>
        </w:rPr>
      </w:pPr>
      <w:r>
        <w:rPr>
          <w:rFonts w:hint="eastAsia" w:ascii="宋体" w:hAnsi="宋体" w:cs="宋体"/>
          <w:sz w:val="32"/>
          <w:szCs w:val="32"/>
        </w:rPr>
        <w:t>（一）</w:t>
      </w:r>
      <w:r>
        <w:rPr>
          <w:rFonts w:hint="eastAsia" w:ascii="宋体" w:hAnsi="宋体" w:cs="宋体"/>
          <w:color w:val="000000"/>
          <w:kern w:val="0"/>
          <w:sz w:val="28"/>
          <w:szCs w:val="28"/>
        </w:rPr>
        <w:t>、贯彻落实国家教育工作方针、政策和法律、法规、规章，制定。</w:t>
      </w:r>
    </w:p>
    <w:p>
      <w:pPr>
        <w:jc w:val="left"/>
        <w:rPr>
          <w:rFonts w:ascii="宋体" w:hAnsi="宋体" w:cs="宋体"/>
          <w:color w:val="000000"/>
          <w:kern w:val="0"/>
          <w:sz w:val="28"/>
          <w:szCs w:val="28"/>
        </w:rPr>
      </w:pPr>
      <w:r>
        <w:rPr>
          <w:rFonts w:hint="eastAsia" w:ascii="宋体" w:hAnsi="宋体" w:cs="宋体"/>
          <w:sz w:val="32"/>
          <w:szCs w:val="32"/>
        </w:rPr>
        <w:t>（二）</w:t>
      </w:r>
      <w:r>
        <w:rPr>
          <w:rFonts w:hint="eastAsia" w:ascii="宋体" w:hAnsi="宋体" w:cs="宋体"/>
          <w:color w:val="000000"/>
          <w:kern w:val="0"/>
          <w:sz w:val="28"/>
          <w:szCs w:val="28"/>
        </w:rPr>
        <w:t>、负责教育局机关日常工作运行。</w:t>
      </w:r>
    </w:p>
    <w:p>
      <w:pPr>
        <w:jc w:val="left"/>
        <w:rPr>
          <w:rFonts w:ascii="宋体" w:hAnsi="宋体" w:cs="宋体"/>
          <w:color w:val="000000"/>
          <w:kern w:val="0"/>
          <w:sz w:val="28"/>
          <w:szCs w:val="28"/>
        </w:rPr>
      </w:pPr>
    </w:p>
    <w:p>
      <w:pPr>
        <w:widowControl/>
        <w:numPr>
          <w:ilvl w:val="0"/>
          <w:numId w:val="2"/>
        </w:numPr>
        <w:spacing w:line="440" w:lineRule="exact"/>
        <w:rPr>
          <w:rFonts w:ascii="黑体" w:hAnsi="黑体" w:eastAsia="黑体"/>
          <w:sz w:val="32"/>
          <w:szCs w:val="32"/>
        </w:rPr>
      </w:pPr>
      <w:r>
        <w:rPr>
          <w:rFonts w:hint="eastAsia" w:ascii="黑体" w:hAnsi="黑体" w:eastAsia="黑体"/>
          <w:sz w:val="32"/>
          <w:szCs w:val="32"/>
        </w:rPr>
        <w:t>机构设置及决算单位构成</w:t>
      </w:r>
    </w:p>
    <w:p>
      <w:pPr>
        <w:widowControl/>
        <w:spacing w:line="440" w:lineRule="exact"/>
        <w:rPr>
          <w:rFonts w:ascii="黑体" w:hAnsi="黑体" w:eastAsia="黑体"/>
          <w:sz w:val="32"/>
          <w:szCs w:val="32"/>
        </w:rPr>
      </w:pPr>
    </w:p>
    <w:p>
      <w:pPr>
        <w:widowControl/>
        <w:spacing w:line="440" w:lineRule="exact"/>
        <w:ind w:firstLine="640" w:firstLineChars="200"/>
        <w:rPr>
          <w:rFonts w:ascii="宋体" w:hAnsi="宋体" w:cs="宋体"/>
          <w:kern w:val="0"/>
          <w:sz w:val="32"/>
          <w:szCs w:val="32"/>
        </w:rPr>
      </w:pPr>
      <w:r>
        <w:rPr>
          <w:rFonts w:hint="eastAsia" w:ascii="宋体" w:hAnsi="宋体" w:cs="宋体"/>
          <w:kern w:val="0"/>
          <w:sz w:val="32"/>
          <w:szCs w:val="32"/>
        </w:rPr>
        <w:t>（一）内设机构设置。溆浦县教育局机关内设机构行政股室包括：办公室、人事股、计财股、普教股、行政审批（法制股）、教育督导、职成股、党建办。二级事业单位9个包括：档案室1个，电教仪器站1个、教研室1个，就业指导中心1个，考试中心1个，勤工站1个，信息网络中心1个，学生资助中心1个，职称改革事务中心1个。</w:t>
      </w:r>
    </w:p>
    <w:p>
      <w:pPr>
        <w:widowControl/>
        <w:spacing w:line="440" w:lineRule="exact"/>
        <w:ind w:firstLine="640" w:firstLineChars="200"/>
        <w:rPr>
          <w:rFonts w:ascii="宋体" w:cs="Times New Roman"/>
          <w:kern w:val="0"/>
          <w:sz w:val="28"/>
          <w:szCs w:val="28"/>
        </w:rPr>
      </w:pPr>
      <w:r>
        <w:rPr>
          <w:rFonts w:hint="eastAsia" w:ascii="宋体" w:hAnsi="宋体" w:cs="宋体"/>
          <w:kern w:val="0"/>
          <w:sz w:val="32"/>
          <w:szCs w:val="32"/>
        </w:rPr>
        <w:t>（二）决算单位构成。</w:t>
      </w:r>
      <w:r>
        <w:rPr>
          <w:rFonts w:hint="eastAsia" w:ascii="宋体" w:cs="宋体"/>
          <w:kern w:val="0"/>
          <w:sz w:val="32"/>
          <w:szCs w:val="32"/>
        </w:rPr>
        <w:t>溆浦县教育局机关</w:t>
      </w:r>
      <w:r>
        <w:rPr>
          <w:rFonts w:hint="eastAsia" w:ascii="宋体" w:hAnsi="宋体" w:cs="宋体"/>
          <w:kern w:val="0"/>
          <w:sz w:val="32"/>
          <w:szCs w:val="32"/>
        </w:rPr>
        <w:t>2021年部门决算汇总公开单位构成包括：</w:t>
      </w:r>
      <w:r>
        <w:rPr>
          <w:rFonts w:hint="eastAsia" w:ascii="宋体" w:cs="宋体"/>
          <w:kern w:val="0"/>
          <w:sz w:val="32"/>
          <w:szCs w:val="32"/>
        </w:rPr>
        <w:t>溆浦县教育局机关</w:t>
      </w:r>
      <w:r>
        <w:rPr>
          <w:rFonts w:hint="eastAsia" w:ascii="宋体" w:hAnsi="宋体" w:cs="宋体"/>
          <w:kern w:val="0"/>
          <w:sz w:val="32"/>
          <w:szCs w:val="32"/>
        </w:rPr>
        <w:t>本级</w:t>
      </w:r>
      <w:r>
        <w:rPr>
          <w:rFonts w:hint="eastAsia" w:ascii="宋体" w:hAnsi="宋体" w:cs="宋体"/>
          <w:kern w:val="0"/>
          <w:sz w:val="28"/>
          <w:szCs w:val="28"/>
        </w:rPr>
        <w:t>及二级事业单位共</w:t>
      </w:r>
      <w:r>
        <w:rPr>
          <w:rFonts w:ascii="宋体" w:hAnsi="宋体" w:cs="宋体"/>
          <w:kern w:val="0"/>
          <w:sz w:val="28"/>
          <w:szCs w:val="28"/>
        </w:rPr>
        <w:t xml:space="preserve">  10</w:t>
      </w:r>
      <w:r>
        <w:rPr>
          <w:rFonts w:hint="eastAsia" w:ascii="宋体" w:hAnsi="宋体" w:cs="宋体"/>
          <w:kern w:val="0"/>
          <w:sz w:val="28"/>
          <w:szCs w:val="28"/>
        </w:rPr>
        <w:t>个，其中行政单位</w:t>
      </w:r>
      <w:r>
        <w:rPr>
          <w:rFonts w:ascii="宋体" w:hAnsi="宋体" w:cs="宋体"/>
          <w:kern w:val="0"/>
          <w:sz w:val="28"/>
          <w:szCs w:val="28"/>
        </w:rPr>
        <w:t>1</w:t>
      </w:r>
      <w:r>
        <w:rPr>
          <w:rFonts w:hint="eastAsia" w:ascii="宋体" w:hAnsi="宋体" w:cs="宋体"/>
          <w:kern w:val="0"/>
          <w:sz w:val="28"/>
          <w:szCs w:val="28"/>
        </w:rPr>
        <w:t>个、档案管理室</w:t>
      </w:r>
      <w:r>
        <w:rPr>
          <w:rFonts w:ascii="宋体" w:hAnsi="宋体" w:cs="宋体"/>
          <w:kern w:val="0"/>
          <w:sz w:val="28"/>
          <w:szCs w:val="28"/>
        </w:rPr>
        <w:t>1</w:t>
      </w:r>
      <w:r>
        <w:rPr>
          <w:rFonts w:hint="eastAsia" w:ascii="宋体" w:hAnsi="宋体" w:cs="宋体"/>
          <w:kern w:val="0"/>
          <w:sz w:val="28"/>
          <w:szCs w:val="28"/>
        </w:rPr>
        <w:t>个，电教仪器站</w:t>
      </w:r>
      <w:r>
        <w:rPr>
          <w:rFonts w:ascii="宋体" w:hAnsi="宋体" w:cs="宋体"/>
          <w:kern w:val="0"/>
          <w:sz w:val="28"/>
          <w:szCs w:val="28"/>
        </w:rPr>
        <w:t>1</w:t>
      </w:r>
      <w:r>
        <w:rPr>
          <w:rFonts w:hint="eastAsia" w:ascii="宋体" w:hAnsi="宋体" w:cs="宋体"/>
          <w:kern w:val="0"/>
          <w:sz w:val="28"/>
          <w:szCs w:val="28"/>
        </w:rPr>
        <w:t>个、教育教研室</w:t>
      </w:r>
      <w:r>
        <w:rPr>
          <w:rFonts w:ascii="宋体" w:hAnsi="宋体" w:cs="宋体"/>
          <w:kern w:val="0"/>
          <w:sz w:val="28"/>
          <w:szCs w:val="28"/>
        </w:rPr>
        <w:t>1</w:t>
      </w:r>
      <w:r>
        <w:rPr>
          <w:rFonts w:hint="eastAsia" w:ascii="宋体" w:hAnsi="宋体" w:cs="宋体"/>
          <w:kern w:val="0"/>
          <w:sz w:val="28"/>
          <w:szCs w:val="28"/>
        </w:rPr>
        <w:t>个，就业指导中心</w:t>
      </w:r>
      <w:r>
        <w:rPr>
          <w:rFonts w:ascii="宋体" w:hAnsi="宋体" w:cs="宋体"/>
          <w:kern w:val="0"/>
          <w:sz w:val="28"/>
          <w:szCs w:val="28"/>
        </w:rPr>
        <w:t>1</w:t>
      </w:r>
      <w:r>
        <w:rPr>
          <w:rFonts w:hint="eastAsia" w:ascii="宋体" w:hAnsi="宋体" w:cs="宋体"/>
          <w:kern w:val="0"/>
          <w:sz w:val="28"/>
          <w:szCs w:val="28"/>
        </w:rPr>
        <w:t>个，考试中心</w:t>
      </w:r>
      <w:r>
        <w:rPr>
          <w:rFonts w:ascii="宋体" w:hAnsi="宋体" w:cs="宋体"/>
          <w:kern w:val="0"/>
          <w:sz w:val="28"/>
          <w:szCs w:val="28"/>
        </w:rPr>
        <w:t>1</w:t>
      </w:r>
      <w:r>
        <w:rPr>
          <w:rFonts w:hint="eastAsia" w:ascii="宋体" w:hAnsi="宋体" w:cs="宋体"/>
          <w:kern w:val="0"/>
          <w:sz w:val="28"/>
          <w:szCs w:val="28"/>
        </w:rPr>
        <w:t>个，勤工站</w:t>
      </w:r>
      <w:r>
        <w:rPr>
          <w:rFonts w:ascii="宋体" w:hAnsi="宋体" w:cs="宋体"/>
          <w:kern w:val="0"/>
          <w:sz w:val="28"/>
          <w:szCs w:val="28"/>
        </w:rPr>
        <w:t>1</w:t>
      </w:r>
      <w:r>
        <w:rPr>
          <w:rFonts w:hint="eastAsia" w:ascii="宋体" w:hAnsi="宋体" w:cs="宋体"/>
          <w:kern w:val="0"/>
          <w:sz w:val="28"/>
          <w:szCs w:val="28"/>
        </w:rPr>
        <w:t>个，信息网络中心</w:t>
      </w:r>
      <w:r>
        <w:rPr>
          <w:rFonts w:ascii="宋体" w:hAnsi="宋体" w:cs="宋体"/>
          <w:kern w:val="0"/>
          <w:sz w:val="28"/>
          <w:szCs w:val="28"/>
        </w:rPr>
        <w:t>1</w:t>
      </w:r>
      <w:r>
        <w:rPr>
          <w:rFonts w:hint="eastAsia" w:ascii="宋体" w:hAnsi="宋体" w:cs="宋体"/>
          <w:kern w:val="0"/>
          <w:sz w:val="28"/>
          <w:szCs w:val="28"/>
        </w:rPr>
        <w:t>个，学生资助中心</w:t>
      </w:r>
      <w:r>
        <w:rPr>
          <w:rFonts w:ascii="宋体" w:hAnsi="宋体" w:cs="宋体"/>
          <w:kern w:val="0"/>
          <w:sz w:val="28"/>
          <w:szCs w:val="28"/>
        </w:rPr>
        <w:t>1</w:t>
      </w:r>
      <w:r>
        <w:rPr>
          <w:rFonts w:hint="eastAsia" w:ascii="宋体" w:hAnsi="宋体" w:cs="宋体"/>
          <w:kern w:val="0"/>
          <w:sz w:val="28"/>
          <w:szCs w:val="28"/>
        </w:rPr>
        <w:t>个，职称改革事务中心</w:t>
      </w:r>
      <w:r>
        <w:rPr>
          <w:rFonts w:ascii="宋体" w:hAnsi="宋体" w:cs="宋体"/>
          <w:kern w:val="0"/>
          <w:sz w:val="28"/>
          <w:szCs w:val="28"/>
        </w:rPr>
        <w:t>1</w:t>
      </w:r>
      <w:r>
        <w:rPr>
          <w:rFonts w:hint="eastAsia" w:ascii="宋体" w:hAnsi="宋体" w:cs="宋体"/>
          <w:kern w:val="0"/>
          <w:sz w:val="28"/>
          <w:szCs w:val="28"/>
        </w:rPr>
        <w:t>个。</w:t>
      </w:r>
    </w:p>
    <w:p>
      <w:pPr>
        <w:widowControl/>
        <w:spacing w:line="600" w:lineRule="exact"/>
        <w:rPr>
          <w:rFonts w:ascii="宋体" w:cs="Times New Roman"/>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28804" w:type="dxa"/>
        <w:tblInd w:w="-102" w:type="dxa"/>
        <w:tblLayout w:type="fixed"/>
        <w:tblCellMar>
          <w:top w:w="0" w:type="dxa"/>
          <w:left w:w="0" w:type="dxa"/>
          <w:bottom w:w="0" w:type="dxa"/>
          <w:right w:w="0" w:type="dxa"/>
        </w:tblCellMar>
      </w:tblPr>
      <w:tblGrid>
        <w:gridCol w:w="14402"/>
        <w:gridCol w:w="14402"/>
      </w:tblGrid>
      <w:tr>
        <w:trPr>
          <w:trHeight w:val="435" w:hRule="atLeast"/>
        </w:trPr>
        <w:tc>
          <w:tcPr>
            <w:tcW w:w="14402" w:type="dxa"/>
            <w:tcBorders>
              <w:top w:val="nil"/>
              <w:left w:val="nil"/>
              <w:bottom w:val="nil"/>
              <w:right w:val="nil"/>
            </w:tcBorders>
            <w:shd w:val="clear" w:color="auto" w:fill="auto"/>
            <w:noWrap/>
            <w:tcMar>
              <w:top w:w="15" w:type="dxa"/>
              <w:left w:w="15" w:type="dxa"/>
              <w:bottom w:w="0" w:type="dxa"/>
              <w:right w:w="15" w:type="dxa"/>
            </w:tcMar>
            <w:vAlign w:val="center"/>
          </w:tcPr>
          <w:p>
            <w:pPr>
              <w:tabs>
                <w:tab w:val="left" w:pos="0"/>
              </w:tabs>
              <w:jc w:val="center"/>
              <w:rPr>
                <w:rFonts w:ascii="华文中宋" w:hAnsi="华文中宋" w:eastAsia="华文中宋" w:cs="宋体"/>
                <w:color w:val="000000"/>
                <w:sz w:val="32"/>
                <w:szCs w:val="32"/>
              </w:rPr>
            </w:pPr>
            <w:r>
              <w:rPr>
                <w:rFonts w:ascii="黑体" w:hAnsi="黑体" w:eastAsia="黑体"/>
                <w:sz w:val="28"/>
                <w:szCs w:val="28"/>
              </w:rPr>
              <w:object>
                <v:shape id="_x0000_i1025" o:spt="75" type="#_x0000_t75" style="height:463.8pt;width:697.4pt;" o:ole="t" filled="t" o:preferrelative="t" stroked="f" coordsize="21600,21600">
                  <v:path/>
                  <v:fill on="t" opacity="0f" focussize="0,0"/>
                  <v:stroke on="f" joinstyle="miter"/>
                  <v:imagedata r:id="rId5" croptop="317f" cropbottom="317f" grayscale="t" bilevel="t" o:title=""/>
                  <o:lock v:ext="edit" aspectratio="f"/>
                  <w10:wrap type="none"/>
                  <w10:anchorlock/>
                </v:shape>
                <o:OLEObject Type="Embed" ProgID="Excel.Sheet.12" ShapeID="_x0000_i1025" DrawAspect="Content" ObjectID="_1468075725" r:id="rId4">
                  <o:LockedField>false</o:LockedField>
                </o:OLEObject>
              </w:object>
            </w:r>
            <w:r>
              <w:rPr>
                <w:rFonts w:ascii="黑体" w:hAnsi="黑体" w:eastAsia="黑体"/>
                <w:sz w:val="28"/>
                <w:szCs w:val="28"/>
              </w:rPr>
              <w:object>
                <v:shape id="_x0000_i1026" o:spt="75" type="#_x0000_t75" style="height:483.9pt;width:719.15pt;" o:ole="t" filled="f" o:preferrelative="t" stroked="f" coordsize="21600,21600">
                  <v:path/>
                  <v:fill on="f" focussize="0,0"/>
                  <v:stroke on="f" joinstyle="miter"/>
                  <v:imagedata r:id="rId7" grayscale="t" bilevel="t" o:title=""/>
                  <o:lock v:ext="edit" aspectratio="f"/>
                  <w10:wrap type="none"/>
                  <w10:anchorlock/>
                </v:shape>
                <o:OLEObject Type="Embed" ProgID="Excel.Sheet.12" ShapeID="_x0000_i1026" DrawAspect="Content" ObjectID="_1468075726" r:id="rId6">
                  <o:LockedField>false</o:LockedField>
                </o:OLEObject>
              </w:object>
            </w:r>
            <w:r>
              <w:rPr>
                <w:rFonts w:ascii="黑体" w:hAnsi="黑体" w:eastAsia="黑体"/>
                <w:sz w:val="28"/>
                <w:szCs w:val="28"/>
              </w:rPr>
              <w:object>
                <v:shape id="_x0000_i1027" o:spt="75" type="#_x0000_t75" style="height:483.9pt;width:715.8pt;" o:ole="t" filled="f" o:preferrelative="t" stroked="f" coordsize="21600,21600">
                  <v:path/>
                  <v:fill on="f" focussize="0,0"/>
                  <v:stroke on="f" joinstyle="miter"/>
                  <v:imagedata r:id="rId9" grayscale="t" bilevel="t" o:title=""/>
                  <o:lock v:ext="edit" aspectratio="f"/>
                  <w10:wrap type="none"/>
                  <w10:anchorlock/>
                </v:shape>
                <o:OLEObject Type="Embed" ProgID="Excel.Sheet.12" ShapeID="_x0000_i1027" DrawAspect="Content" ObjectID="_1468075727" r:id="rId8">
                  <o:LockedField>false</o:LockedField>
                </o:OLEObject>
              </w:object>
            </w:r>
            <w:r>
              <w:rPr>
                <w:rFonts w:ascii="黑体" w:hAnsi="黑体" w:eastAsia="黑体"/>
                <w:sz w:val="28"/>
                <w:szCs w:val="28"/>
              </w:rPr>
              <w:object>
                <v:shape id="_x0000_i1028" o:spt="75" type="#_x0000_t75" style="height:486.4pt;width:715pt;" o:ole="t" filled="f" o:preferrelative="t" stroked="f" coordsize="21600,21600">
                  <v:path/>
                  <v:fill on="f" focussize="0,0"/>
                  <v:stroke on="f" joinstyle="miter"/>
                  <v:imagedata r:id="rId11" grayscale="t" bilevel="t" o:title=""/>
                  <o:lock v:ext="edit" aspectratio="f"/>
                  <w10:wrap type="none"/>
                  <w10:anchorlock/>
                </v:shape>
                <o:OLEObject Type="Embed" ProgID="Excel.Sheet.12" ShapeID="_x0000_i1028" DrawAspect="Content" ObjectID="_1468075728" r:id="rId10">
                  <o:LockedField>false</o:LockedField>
                </o:OLEObject>
              </w:object>
            </w:r>
          </w:p>
        </w:tc>
        <w:tc>
          <w:tcPr>
            <w:tcW w:w="14402"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黑体" w:hAnsi="黑体" w:eastAsia="黑体"/>
                <w:sz w:val="28"/>
                <w:szCs w:val="28"/>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object>
          <v:shape id="_x0000_i1029" o:spt="75" type="#_x0000_t75" style="height:523.25pt;width:702.4pt;" o:ole="t" filled="f" o:preferrelative="t" stroked="f" coordsize="21600,21600">
            <v:path/>
            <v:fill on="f" focussize="0,0"/>
            <v:stroke on="f" joinstyle="miter"/>
            <v:imagedata r:id="rId13" grayscale="t" bilevel="t" o:title=""/>
            <o:lock v:ext="edit" aspectratio="f"/>
            <w10:wrap type="none"/>
            <w10:anchorlock/>
          </v:shape>
          <o:OLEObject Type="Embed" ProgID="Excel.Sheet.12" ShapeID="_x0000_i1029" DrawAspect="Content" ObjectID="_1468075729" r:id="rId12">
            <o:LockedField>false</o:LockedField>
          </o:OLEObject>
        </w:object>
      </w:r>
    </w:p>
    <w:p>
      <w:pPr>
        <w:widowControl/>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object>
          <v:shape id="_x0000_i1030" o:spt="75" type="#_x0000_t75" style="height:475.55pt;width:737.6pt;" o:ole="t" filled="f" o:preferrelative="t" stroked="f" coordsize="21600,21600">
            <v:path/>
            <v:fill on="f" focussize="0,0"/>
            <v:stroke on="f" joinstyle="miter"/>
            <v:imagedata r:id="rId15" grayscale="t" bilevel="t" o:title=""/>
            <o:lock v:ext="edit" aspectratio="f"/>
            <w10:wrap type="none"/>
            <w10:anchorlock/>
          </v:shape>
          <o:OLEObject Type="Embed" ProgID="Excel.Sheet.12" ShapeID="_x0000_i1030" DrawAspect="Content" ObjectID="_1468075730" r:id="rId14">
            <o:LockedField>false</o:LockedField>
          </o:OLEObject>
        </w:object>
      </w: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object>
          <v:shape id="_x0000_i1031" o:spt="75" type="#_x0000_t75" style="height:201.75pt;width:738.4pt;" o:ole="t" filled="f" o:preferrelative="t" stroked="f" coordsize="21600,21600">
            <v:path/>
            <v:fill on="f" focussize="0,0"/>
            <v:stroke on="f" joinstyle="miter"/>
            <v:imagedata r:id="rId17" grayscale="t" bilevel="t" o:title=""/>
            <o:lock v:ext="edit" aspectratio="f"/>
            <w10:wrap type="none"/>
            <w10:anchorlock/>
          </v:shape>
          <o:OLEObject Type="Embed" ProgID="Excel.Sheet.12" ShapeID="_x0000_i1031" DrawAspect="Content" ObjectID="_1468075731" r:id="rId16">
            <o:LockedField>false</o:LockedField>
          </o:OLEObject>
        </w:object>
      </w: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object>
          <v:shape id="_x0000_i1032" o:spt="75" type="#_x0000_t75" style="height:324.85pt;width:737.6pt;" o:ole="t" filled="f" o:preferrelative="t" stroked="f" coordsize="21600,21600">
            <v:path/>
            <v:fill on="f" focussize="0,0"/>
            <v:stroke on="f" joinstyle="miter"/>
            <v:imagedata r:id="rId19" grayscale="t" bilevel="t" o:title=""/>
            <o:lock v:ext="edit" aspectratio="f"/>
            <w10:wrap type="none"/>
            <w10:anchorlock/>
          </v:shape>
          <o:OLEObject Type="Embed" ProgID="Excel.Sheet.12" ShapeID="_x0000_i1032" DrawAspect="Content" ObjectID="_1468075732" r:id="rId18">
            <o:LockedField>false</o:LockedField>
          </o:OLEObject>
        </w:object>
      </w: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object>
          <v:shape id="_x0000_i1033" o:spt="75" type="#_x0000_t75" style="height:289.65pt;width:648.85pt;" o:ole="t" filled="f" o:preferrelative="t" stroked="f" coordsize="21600,21600">
            <v:path/>
            <v:fill on="f" focussize="0,0"/>
            <v:stroke on="f" joinstyle="miter"/>
            <v:imagedata r:id="rId21" grayscale="t" bilevel="t" o:title=""/>
            <o:lock v:ext="edit" aspectratio="f"/>
            <w10:wrap type="none"/>
            <w10:anchorlock/>
          </v:shape>
          <o:OLEObject Type="Embed" ProgID="Excel.Sheet.12" ShapeID="_x0000_i1033" DrawAspect="Content" ObjectID="_1468075733" r:id="rId20">
            <o:LockedField>false</o:LockedField>
          </o:OLEObject>
        </w:object>
      </w: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sectPr>
          <w:pgSz w:w="16838" w:h="11906" w:orient="landscape"/>
          <w:pgMar w:top="720" w:right="720" w:bottom="720" w:left="1360" w:header="851" w:footer="992" w:gutter="0"/>
          <w:cols w:space="425" w:num="1"/>
          <w:docGrid w:type="linesAndChars" w:linePitch="312" w:charSpace="0"/>
        </w:sectPr>
      </w:pPr>
    </w:p>
    <w:p>
      <w:pPr>
        <w:widowControl/>
        <w:jc w:val="center"/>
        <w:rPr>
          <w:rFonts w:ascii="Times New Roman" w:hAnsi="Times New Roman" w:eastAsia="方正小标宋_GBK" w:cs="Times New Roman"/>
          <w:kern w:val="0"/>
          <w:sz w:val="36"/>
          <w:szCs w:val="36"/>
        </w:rPr>
      </w:pPr>
    </w:p>
    <w:bookmarkEnd w:id="1"/>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2021年度收、支总计2550.99万元。与上年相比，增加24.57万元，增长0.97%，主要是因为其他收入费用增加。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2021年度收入合计2550.99万元，其中：财政拨款收入2400.48万元，占94.1%；上级补助收入0万元，附属单位上缴收入0万元，占0%；其他收入150.51万元，占5.9%。</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2021年度支出合计2550.99万元，其中：基本支出2523.99万元，占98.94%；项目支出27万元，占1.06%；上缴上级支出0万元，占0%；经营支出0万元，占0%；对附属单位补助支出0万元，占0%。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2021年度财政拨款收、支总计2400.48万元，与上年相比，减少60.26万元，减少2.51%，主要是因为高考、学考、成考拨款减少。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2021年度财政拨款支出2357.09万元，占本年支出合计的94.09%，与上年相比，财政拨款支出减少103.65万元，减少4.40%，主要是因为高考、学考、成考拨款减少和政府性基金列入其它支出。</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2021年度财政拨款支出2357.09万元，主要用于以下方面：一般公共服务（类）支出2.4万元，占0.1%；教育（类）支出1941.39万元，占82.36%;社会保障和就业支出209.23万元，占</w:t>
      </w:r>
      <w:r>
        <w:rPr>
          <w:rFonts w:asciiTheme="minorEastAsia" w:hAnsiTheme="minorEastAsia" w:eastAsiaTheme="minorEastAsia"/>
          <w:sz w:val="32"/>
          <w:szCs w:val="32"/>
        </w:rPr>
        <w:t>8.88</w:t>
      </w:r>
      <w:r>
        <w:rPr>
          <w:rFonts w:hint="eastAsia" w:asciiTheme="minorEastAsia" w:hAnsiTheme="minorEastAsia" w:eastAsiaTheme="minorEastAsia"/>
          <w:sz w:val="32"/>
          <w:szCs w:val="32"/>
        </w:rPr>
        <w:t>%；卫生健康支出112.54万元，</w:t>
      </w:r>
      <w:r>
        <w:rPr>
          <w:rFonts w:asciiTheme="minorEastAsia" w:hAnsiTheme="minorEastAsia" w:eastAsiaTheme="minorEastAsia"/>
          <w:sz w:val="32"/>
          <w:szCs w:val="32"/>
        </w:rPr>
        <w:t>4.77</w:t>
      </w:r>
      <w:r>
        <w:rPr>
          <w:rFonts w:hint="eastAsia" w:asciiTheme="minorEastAsia" w:hAnsiTheme="minorEastAsia" w:eastAsiaTheme="minorEastAsia"/>
          <w:sz w:val="32"/>
          <w:szCs w:val="32"/>
        </w:rPr>
        <w:t>占%；城乡社区支出</w:t>
      </w:r>
      <w:r>
        <w:rPr>
          <w:rFonts w:asciiTheme="minorEastAsia" w:hAnsiTheme="minorEastAsia" w:eastAsiaTheme="minorEastAsia"/>
          <w:sz w:val="32"/>
          <w:szCs w:val="32"/>
        </w:rPr>
        <w:t>3万元，占0.13%；农林水支出18.58万元，占0.79%；商业服务业等支出10万元，占0.42%；住房保障支出59.95万元，占2.5%</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2021年度财政拨款支出年初预算数为1529万元，支出决算数为2357.09万元，完成年初预算的154.16%，其中：</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1、一般公共服务（类）（201）纪检监察事务（20111）行政运行（2011101）。</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年初预算为0万元，支出决算为2.4万元，决算数大于年初预算数的主要原因是：纪委驻教育局纪检组临时增加办公经费。</w:t>
      </w:r>
    </w:p>
    <w:p>
      <w:pPr>
        <w:pStyle w:val="10"/>
        <w:numPr>
          <w:ilvl w:val="0"/>
          <w:numId w:val="3"/>
        </w:numPr>
        <w:ind w:firstLine="800"/>
        <w:rPr>
          <w:rFonts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）教育管理事务（20501）行政运行（</w:t>
      </w:r>
      <w:r>
        <w:rPr>
          <w:rFonts w:ascii="宋体" w:hAnsi="宋体" w:eastAsia="宋体" w:cs="宋体"/>
          <w:sz w:val="32"/>
          <w:szCs w:val="32"/>
        </w:rPr>
        <w:t>2050101</w:t>
      </w:r>
      <w:r>
        <w:rPr>
          <w:rFonts w:hint="eastAsia" w:ascii="宋体" w:hAnsi="宋体" w:eastAsia="宋体" w:cs="宋体"/>
          <w:sz w:val="32"/>
          <w:szCs w:val="32"/>
        </w:rPr>
        <w:t>）</w:t>
      </w:r>
    </w:p>
    <w:p>
      <w:pPr>
        <w:pStyle w:val="10"/>
        <w:ind w:firstLine="960" w:firstLineChars="300"/>
        <w:rPr>
          <w:rFonts w:ascii="宋体" w:hAnsi="宋体" w:eastAsia="宋体" w:cs="宋体"/>
          <w:sz w:val="32"/>
          <w:szCs w:val="32"/>
        </w:rPr>
      </w:pPr>
      <w:r>
        <w:rPr>
          <w:rFonts w:hint="eastAsia" w:ascii="宋体" w:hAnsi="宋体" w:eastAsia="宋体" w:cs="宋体"/>
          <w:sz w:val="32"/>
          <w:szCs w:val="32"/>
        </w:rPr>
        <w:t>年初预算为1422.70万元，支出决算为1852.65万元，完成年初预算的130.22</w:t>
      </w:r>
      <w:r>
        <w:rPr>
          <w:rFonts w:ascii="宋体" w:hAnsi="宋体" w:eastAsia="宋体" w:cs="宋体"/>
          <w:sz w:val="32"/>
          <w:szCs w:val="32"/>
        </w:rPr>
        <w:t>%</w:t>
      </w:r>
      <w:r>
        <w:rPr>
          <w:rFonts w:hint="eastAsia" w:ascii="宋体" w:hAnsi="宋体" w:eastAsia="宋体" w:cs="宋体"/>
          <w:sz w:val="32"/>
          <w:szCs w:val="32"/>
        </w:rPr>
        <w:t>。主要是临时增加专用材料费用。</w:t>
      </w:r>
    </w:p>
    <w:p>
      <w:pPr>
        <w:pStyle w:val="10"/>
        <w:numPr>
          <w:ilvl w:val="0"/>
          <w:numId w:val="3"/>
        </w:numPr>
        <w:ind w:firstLine="800"/>
        <w:rPr>
          <w:rFonts w:ascii="宋体" w:hAnsi="宋体" w:eastAsia="宋体" w:cs="Times New Roman"/>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）其他教育支出（20599）其他教育支出（205999）。</w:t>
      </w:r>
    </w:p>
    <w:p>
      <w:pPr>
        <w:pStyle w:val="10"/>
        <w:ind w:firstLine="800" w:firstLineChars="250"/>
        <w:rPr>
          <w:rFonts w:ascii="宋体" w:hAnsi="宋体" w:eastAsia="宋体" w:cs="宋体"/>
          <w:sz w:val="32"/>
          <w:szCs w:val="32"/>
        </w:rPr>
      </w:pPr>
      <w:r>
        <w:rPr>
          <w:rFonts w:hint="eastAsia" w:ascii="宋体" w:hAnsi="宋体" w:eastAsia="宋体" w:cs="宋体"/>
          <w:sz w:val="32"/>
          <w:szCs w:val="32"/>
        </w:rPr>
        <w:t>年初预算为38.52万元，支出决算为88.74万元，完成年初预算的230.37</w:t>
      </w:r>
      <w:r>
        <w:rPr>
          <w:rFonts w:ascii="宋体" w:hAnsi="宋体" w:eastAsia="宋体" w:cs="宋体"/>
          <w:sz w:val="32"/>
          <w:szCs w:val="32"/>
        </w:rPr>
        <w:t>%</w:t>
      </w:r>
      <w:r>
        <w:rPr>
          <w:rFonts w:hint="eastAsia" w:ascii="宋体" w:hAnsi="宋体" w:eastAsia="宋体" w:cs="宋体"/>
          <w:sz w:val="32"/>
          <w:szCs w:val="32"/>
        </w:rPr>
        <w:t>。主要是临时增加专用材料费用。</w:t>
      </w:r>
    </w:p>
    <w:p>
      <w:pPr>
        <w:pStyle w:val="10"/>
        <w:ind w:firstLine="800" w:firstLineChars="250"/>
        <w:rPr>
          <w:rFonts w:ascii="宋体" w:hAnsi="宋体" w:eastAsia="宋体" w:cs="Times New Roman"/>
          <w:sz w:val="32"/>
          <w:szCs w:val="32"/>
        </w:rPr>
      </w:pPr>
      <w:r>
        <w:rPr>
          <w:rFonts w:hint="eastAsia" w:ascii="宋体" w:hAnsi="宋体" w:eastAsia="宋体" w:cs="宋体"/>
          <w:sz w:val="32"/>
          <w:szCs w:val="32"/>
        </w:rPr>
        <w:t>4、社会保障和就业支出（</w:t>
      </w:r>
      <w:r>
        <w:rPr>
          <w:rFonts w:ascii="宋体" w:hAnsi="宋体" w:eastAsia="宋体" w:cs="宋体"/>
          <w:sz w:val="32"/>
          <w:szCs w:val="32"/>
        </w:rPr>
        <w:t>208</w:t>
      </w:r>
      <w:r>
        <w:rPr>
          <w:rFonts w:hint="eastAsia" w:ascii="宋体" w:hAnsi="宋体" w:eastAsia="宋体" w:cs="宋体"/>
          <w:sz w:val="32"/>
          <w:szCs w:val="32"/>
        </w:rPr>
        <w:t>）抚恤（20808）死亡抚恤（</w:t>
      </w:r>
      <w:r>
        <w:rPr>
          <w:rFonts w:ascii="宋体" w:hAnsi="宋体" w:eastAsia="宋体" w:cs="宋体"/>
          <w:sz w:val="32"/>
          <w:szCs w:val="32"/>
        </w:rPr>
        <w:t>2080801</w:t>
      </w:r>
      <w:r>
        <w:rPr>
          <w:rFonts w:hint="eastAsia" w:ascii="宋体" w:hAnsi="宋体" w:eastAsia="宋体" w:cs="宋体"/>
          <w:sz w:val="32"/>
          <w:szCs w:val="32"/>
        </w:rPr>
        <w:t>）。</w:t>
      </w:r>
    </w:p>
    <w:p>
      <w:pPr>
        <w:pStyle w:val="10"/>
        <w:ind w:firstLine="960" w:firstLineChars="300"/>
        <w:rPr>
          <w:rFonts w:ascii="宋体" w:hAnsi="宋体" w:eastAsia="宋体" w:cs="宋体"/>
          <w:sz w:val="32"/>
          <w:szCs w:val="32"/>
        </w:rPr>
      </w:pPr>
      <w:r>
        <w:rPr>
          <w:rFonts w:hint="eastAsia" w:ascii="宋体" w:hAnsi="宋体" w:eastAsia="宋体" w:cs="宋体"/>
          <w:sz w:val="32"/>
          <w:szCs w:val="32"/>
        </w:rPr>
        <w:t>年初预算为132.78元，支出决算为209.23万元，完成年初预算的157.58</w:t>
      </w:r>
      <w:r>
        <w:rPr>
          <w:rFonts w:ascii="宋体" w:hAnsi="宋体" w:eastAsia="宋体" w:cs="宋体"/>
          <w:sz w:val="32"/>
          <w:szCs w:val="32"/>
        </w:rPr>
        <w:t>%</w:t>
      </w:r>
      <w:r>
        <w:rPr>
          <w:rFonts w:hint="eastAsia" w:ascii="宋体" w:hAnsi="宋体" w:eastAsia="宋体" w:cs="宋体"/>
          <w:sz w:val="32"/>
          <w:szCs w:val="32"/>
        </w:rPr>
        <w:t>。主要原因是预算依上年度实际支出数为基础，与本年度实际支出相差较大。</w:t>
      </w:r>
    </w:p>
    <w:p>
      <w:pPr>
        <w:pStyle w:val="10"/>
        <w:ind w:left="840"/>
        <w:rPr>
          <w:rFonts w:ascii="宋体" w:hAnsi="宋体" w:eastAsia="宋体" w:cs="宋体"/>
          <w:sz w:val="32"/>
          <w:szCs w:val="32"/>
        </w:rPr>
      </w:pPr>
      <w:r>
        <w:rPr>
          <w:rFonts w:hint="eastAsia" w:ascii="宋体" w:hAnsi="宋体" w:eastAsia="宋体" w:cs="宋体"/>
          <w:sz w:val="32"/>
          <w:szCs w:val="32"/>
        </w:rPr>
        <w:t>5、卫生健康支出（210）公共卫生（21004）突发公共卫生事件应急处理（2100410）</w:t>
      </w:r>
    </w:p>
    <w:p>
      <w:pPr>
        <w:pStyle w:val="10"/>
        <w:ind w:left="525" w:leftChars="250" w:firstLine="320" w:firstLineChars="100"/>
        <w:rPr>
          <w:rFonts w:ascii="宋体" w:hAnsi="宋体" w:eastAsia="宋体" w:cs="宋体"/>
          <w:sz w:val="32"/>
          <w:szCs w:val="32"/>
        </w:rPr>
      </w:pPr>
      <w:r>
        <w:rPr>
          <w:rFonts w:ascii="宋体" w:hAnsi="宋体" w:eastAsia="宋体" w:cs="宋体"/>
          <w:sz w:val="32"/>
          <w:szCs w:val="32"/>
        </w:rPr>
        <w:t xml:space="preserve"> </w:t>
      </w:r>
      <w:r>
        <w:rPr>
          <w:rFonts w:hint="eastAsia" w:asciiTheme="minorEastAsia" w:hAnsiTheme="minorEastAsia" w:eastAsiaTheme="minorEastAsia"/>
          <w:sz w:val="32"/>
          <w:szCs w:val="32"/>
        </w:rPr>
        <w:t>年初预算为0万元，支出决算为40万元，决算数大于年初预算数的主要原因是：临时增加教育系统卫生防疫费</w:t>
      </w:r>
    </w:p>
    <w:p>
      <w:pPr>
        <w:pStyle w:val="10"/>
        <w:ind w:firstLine="960" w:firstLineChars="300"/>
        <w:rPr>
          <w:rFonts w:ascii="宋体" w:hAnsi="宋体" w:eastAsia="宋体" w:cs="宋体"/>
          <w:sz w:val="32"/>
          <w:szCs w:val="32"/>
        </w:rPr>
      </w:pPr>
      <w:r>
        <w:rPr>
          <w:rFonts w:hint="eastAsia" w:ascii="宋体" w:hAnsi="宋体" w:eastAsia="宋体" w:cs="宋体"/>
          <w:sz w:val="32"/>
          <w:szCs w:val="32"/>
        </w:rPr>
        <w:t>6、行政事业单位医疗（21011）行政单位医疗（2101101）</w:t>
      </w:r>
    </w:p>
    <w:p>
      <w:pPr>
        <w:pStyle w:val="10"/>
        <w:ind w:firstLine="800" w:firstLineChars="250"/>
        <w:rPr>
          <w:rFonts w:asciiTheme="minorEastAsia" w:hAnsiTheme="minorEastAsia" w:eastAsiaTheme="minorEastAsia"/>
          <w:sz w:val="32"/>
          <w:szCs w:val="32"/>
        </w:rPr>
      </w:pPr>
      <w:r>
        <w:rPr>
          <w:rFonts w:ascii="宋体" w:hAnsi="宋体" w:eastAsia="宋体" w:cs="宋体"/>
          <w:sz w:val="32"/>
          <w:szCs w:val="32"/>
        </w:rPr>
        <w:t xml:space="preserve"> </w:t>
      </w:r>
      <w:r>
        <w:rPr>
          <w:rFonts w:hint="eastAsia" w:asciiTheme="minorEastAsia" w:hAnsiTheme="minorEastAsia" w:eastAsiaTheme="minorEastAsia"/>
          <w:sz w:val="32"/>
          <w:szCs w:val="32"/>
        </w:rPr>
        <w:t>年初预算为0万元，支出决算为72.54万元，决算数大于年初预算数的主要原因是：临时增加教育系统口罩等卫生防疫费。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7、城乡社区支出（212）其他城乡社区支出（21299）其他城乡社区支出（2129999）</w:t>
      </w:r>
    </w:p>
    <w:p>
      <w:pPr>
        <w:pStyle w:val="10"/>
        <w:ind w:firstLine="800" w:firstLineChars="250"/>
        <w:rPr>
          <w:rFonts w:asciiTheme="minorEastAsia" w:hAnsiTheme="minorEastAsia" w:eastAsiaTheme="minorEastAsia"/>
          <w:sz w:val="32"/>
          <w:szCs w:val="32"/>
        </w:rPr>
      </w:pPr>
      <w:r>
        <w:rPr>
          <w:rFonts w:ascii="宋体" w:hAnsi="宋体" w:eastAsia="宋体" w:cs="宋体"/>
          <w:sz w:val="32"/>
          <w:szCs w:val="32"/>
        </w:rPr>
        <w:t xml:space="preserve"> </w:t>
      </w:r>
      <w:r>
        <w:rPr>
          <w:rFonts w:hint="eastAsia" w:asciiTheme="minorEastAsia" w:hAnsiTheme="minorEastAsia" w:eastAsiaTheme="minorEastAsia"/>
          <w:sz w:val="32"/>
          <w:szCs w:val="32"/>
        </w:rPr>
        <w:t>年初预算为0万元，支出决算为3万元，决算数大于年初预算数的主要原因是：创文明卫生城市建设追加。</w:t>
      </w:r>
    </w:p>
    <w:p>
      <w:pPr>
        <w:pStyle w:val="10"/>
        <w:ind w:firstLine="800" w:firstLineChars="250"/>
        <w:rPr>
          <w:rFonts w:ascii="宋体" w:hAnsi="宋体" w:eastAsia="宋体" w:cs="Times New Roman"/>
          <w:sz w:val="32"/>
          <w:szCs w:val="32"/>
        </w:rPr>
      </w:pPr>
      <w:r>
        <w:rPr>
          <w:rFonts w:hint="eastAsia" w:asciiTheme="minorEastAsia" w:hAnsiTheme="minorEastAsia" w:eastAsiaTheme="minorEastAsia"/>
          <w:sz w:val="32"/>
          <w:szCs w:val="32"/>
        </w:rPr>
        <w:t>8、</w:t>
      </w:r>
      <w:r>
        <w:rPr>
          <w:rFonts w:hint="eastAsia" w:ascii="宋体" w:hAnsi="宋体" w:eastAsia="宋体" w:cs="宋体"/>
          <w:sz w:val="32"/>
          <w:szCs w:val="32"/>
        </w:rPr>
        <w:t>农林水支出（</w:t>
      </w:r>
      <w:r>
        <w:rPr>
          <w:rFonts w:ascii="宋体" w:hAnsi="宋体" w:eastAsia="宋体" w:cs="宋体"/>
          <w:sz w:val="32"/>
          <w:szCs w:val="32"/>
        </w:rPr>
        <w:t>213</w:t>
      </w:r>
      <w:r>
        <w:rPr>
          <w:rFonts w:hint="eastAsia" w:ascii="宋体" w:hAnsi="宋体" w:eastAsia="宋体" w:cs="宋体"/>
          <w:sz w:val="32"/>
          <w:szCs w:val="32"/>
        </w:rPr>
        <w:t>）扶贫（201305）行政支出（</w:t>
      </w:r>
      <w:r>
        <w:rPr>
          <w:rFonts w:ascii="宋体" w:hAnsi="宋体" w:eastAsia="宋体" w:cs="宋体"/>
          <w:sz w:val="32"/>
          <w:szCs w:val="32"/>
        </w:rPr>
        <w:t>2130501</w:t>
      </w:r>
      <w:r>
        <w:rPr>
          <w:rFonts w:hint="eastAsia" w:ascii="宋体" w:hAnsi="宋体" w:eastAsia="宋体" w:cs="宋体"/>
          <w:sz w:val="32"/>
          <w:szCs w:val="32"/>
        </w:rPr>
        <w:t>）。</w:t>
      </w:r>
    </w:p>
    <w:p>
      <w:pPr>
        <w:pStyle w:val="10"/>
        <w:ind w:firstLine="960" w:firstLineChars="300"/>
        <w:rPr>
          <w:rFonts w:asciiTheme="minorEastAsia" w:hAnsiTheme="minorEastAsia" w:eastAsiaTheme="minorEastAsia"/>
          <w:sz w:val="32"/>
          <w:szCs w:val="32"/>
        </w:rPr>
      </w:pPr>
      <w:r>
        <w:rPr>
          <w:rFonts w:hint="eastAsia" w:ascii="宋体" w:hAnsi="宋体" w:eastAsia="宋体" w:cs="宋体"/>
          <w:sz w:val="32"/>
          <w:szCs w:val="32"/>
        </w:rPr>
        <w:t>年初预算为0万元，支出决18.58万元，主要原因是扶贫临时追加。</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9、商业服务业等支出（216）商业流通事务（21602）行政运行（2160201）</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年初预算为0万元，支出决算为10万元，决算数大于年初预算数的主要原因是：招商引资奖励。</w:t>
      </w:r>
    </w:p>
    <w:p>
      <w:pPr>
        <w:pStyle w:val="10"/>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10、住房保障支出（221）住房改革支出（22102）住房公积金（2210201）</w:t>
      </w:r>
    </w:p>
    <w:p>
      <w:pPr>
        <w:pStyle w:val="10"/>
        <w:ind w:firstLine="1440" w:firstLineChars="4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年初预算为0万元，支出决算为59.95万元，决算数大于年初预算数的主要原因是：财政配套的住房公积金没有纳入财政年初预算。</w:t>
      </w:r>
    </w:p>
    <w:p>
      <w:pPr>
        <w:pStyle w:val="10"/>
        <w:numPr>
          <w:ilvl w:val="0"/>
          <w:numId w:val="4"/>
        </w:numPr>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其他支出（229）彩票公益金安排的支出（22960）用于体育事业的彩票公益金支出（2296003）</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年初预算为0万元，支出决算为43.39万元，决算数大于年初预算数的主要原因是：青少年宫临时增加体育器材。</w:t>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宋体" w:hAnsi="宋体" w:eastAsia="宋体" w:cs="Times New Roman"/>
          <w:color w:val="000000" w:themeColor="text1"/>
          <w:sz w:val="32"/>
          <w:szCs w:val="32"/>
          <w14:textFill>
            <w14:solidFill>
              <w14:schemeClr w14:val="tx1"/>
            </w14:solidFill>
          </w14:textFill>
        </w:rPr>
      </w:pPr>
      <w:r>
        <w:rPr>
          <w:rFonts w:hint="eastAsia" w:asciiTheme="minorEastAsia" w:hAnsiTheme="minorEastAsia" w:eastAsiaTheme="minorEastAsia"/>
          <w:color w:val="auto"/>
          <w:sz w:val="32"/>
          <w:szCs w:val="32"/>
        </w:rPr>
        <w:t>2021年度财政拨款基本支出2330.09万元，其中：人员经费1728.11万元，占基本支出的74.16%,</w:t>
      </w:r>
      <w:r>
        <w:rPr>
          <w:rFonts w:hint="eastAsia" w:ascii="宋体" w:hAnsi="宋体" w:eastAsia="宋体" w:cs="宋体"/>
          <w:color w:val="auto"/>
          <w:sz w:val="32"/>
          <w:szCs w:val="32"/>
        </w:rPr>
        <w:t>主要包括基本工资</w:t>
      </w:r>
      <w:r>
        <w:rPr>
          <w:rFonts w:hint="eastAsia" w:ascii="宋体" w:hAnsi="宋体" w:eastAsia="宋体" w:cs="宋体"/>
          <w:color w:val="auto"/>
          <w:sz w:val="32"/>
          <w:szCs w:val="32"/>
          <w:lang w:val="en-US" w:eastAsia="zh-CN"/>
        </w:rPr>
        <w:t>583.84万元</w:t>
      </w:r>
      <w:r>
        <w:rPr>
          <w:rFonts w:hint="eastAsia" w:ascii="宋体" w:hAnsi="宋体" w:eastAsia="宋体" w:cs="宋体"/>
          <w:color w:val="auto"/>
          <w:sz w:val="32"/>
          <w:szCs w:val="32"/>
        </w:rPr>
        <w:t>、津贴补贴</w:t>
      </w:r>
      <w:r>
        <w:rPr>
          <w:rFonts w:hint="eastAsia" w:ascii="宋体" w:hAnsi="宋体" w:eastAsia="宋体" w:cs="宋体"/>
          <w:color w:val="auto"/>
          <w:sz w:val="32"/>
          <w:szCs w:val="32"/>
          <w:lang w:val="en-US" w:eastAsia="zh-CN"/>
        </w:rPr>
        <w:t>311.09万元</w:t>
      </w:r>
      <w:r>
        <w:rPr>
          <w:rFonts w:hint="eastAsia" w:ascii="宋体" w:hAnsi="宋体" w:eastAsia="宋体" w:cs="宋体"/>
          <w:color w:val="auto"/>
          <w:sz w:val="32"/>
          <w:szCs w:val="32"/>
        </w:rPr>
        <w:t>、</w:t>
      </w:r>
      <w:r>
        <w:rPr>
          <w:rFonts w:hint="eastAsia" w:ascii="宋体" w:hAnsi="宋体" w:eastAsia="宋体" w:cs="宋体"/>
          <w:color w:val="000000" w:themeColor="text1"/>
          <w:sz w:val="32"/>
          <w:szCs w:val="32"/>
          <w14:textFill>
            <w14:solidFill>
              <w14:schemeClr w14:val="tx1"/>
            </w14:solidFill>
          </w14:textFill>
        </w:rPr>
        <w:t>奖金</w:t>
      </w:r>
      <w:r>
        <w:rPr>
          <w:rFonts w:hint="eastAsia" w:ascii="宋体" w:hAnsi="宋体" w:eastAsia="宋体" w:cs="宋体"/>
          <w:color w:val="000000" w:themeColor="text1"/>
          <w:sz w:val="32"/>
          <w:szCs w:val="32"/>
          <w:lang w:val="en-US" w:eastAsia="zh-CN"/>
          <w14:textFill>
            <w14:solidFill>
              <w14:schemeClr w14:val="tx1"/>
            </w14:solidFill>
          </w14:textFill>
        </w:rPr>
        <w:t>233.99万元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机关事业单位基本养老保险缴费</w:t>
      </w:r>
      <w:r>
        <w:rPr>
          <w:rFonts w:hint="eastAsia" w:ascii="宋体" w:hAnsi="宋体" w:eastAsia="宋体" w:cs="宋体"/>
          <w:color w:val="000000" w:themeColor="text1"/>
          <w:sz w:val="32"/>
          <w:szCs w:val="32"/>
          <w:lang w:val="en-US" w:eastAsia="zh-CN"/>
          <w14:textFill>
            <w14:solidFill>
              <w14:schemeClr w14:val="tx1"/>
            </w14:solidFill>
          </w14:textFill>
        </w:rPr>
        <w:t>138.44万元、职工</w:t>
      </w:r>
      <w:r>
        <w:rPr>
          <w:rFonts w:hint="eastAsia" w:ascii="宋体" w:hAnsi="宋体" w:eastAsia="宋体" w:cs="宋体"/>
          <w:color w:val="000000" w:themeColor="text1"/>
          <w:sz w:val="32"/>
          <w:szCs w:val="32"/>
          <w14:textFill>
            <w14:solidFill>
              <w14:schemeClr w14:val="tx1"/>
            </w14:solidFill>
          </w14:textFill>
        </w:rPr>
        <w:t>基本养老缴费</w:t>
      </w:r>
      <w:r>
        <w:rPr>
          <w:rFonts w:hint="eastAsia" w:ascii="宋体" w:hAnsi="宋体" w:eastAsia="宋体" w:cs="宋体"/>
          <w:color w:val="000000" w:themeColor="text1"/>
          <w:sz w:val="32"/>
          <w:szCs w:val="32"/>
          <w:lang w:val="en-US" w:eastAsia="zh-CN"/>
          <w14:textFill>
            <w14:solidFill>
              <w14:schemeClr w14:val="tx1"/>
            </w14:solidFill>
          </w14:textFill>
        </w:rPr>
        <w:t>108.06万元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其他社会保障缴费</w:t>
      </w:r>
      <w:r>
        <w:rPr>
          <w:rFonts w:hint="eastAsia" w:ascii="宋体" w:hAnsi="宋体" w:eastAsia="宋体" w:cs="宋体"/>
          <w:color w:val="000000" w:themeColor="text1"/>
          <w:sz w:val="32"/>
          <w:szCs w:val="32"/>
          <w:lang w:val="en-US" w:eastAsia="zh-CN"/>
          <w14:textFill>
            <w14:solidFill>
              <w14:schemeClr w14:val="tx1"/>
            </w14:solidFill>
          </w14:textFill>
        </w:rPr>
        <w:t>34.73万元、</w:t>
      </w:r>
      <w:r>
        <w:rPr>
          <w:rFonts w:hint="eastAsia" w:ascii="宋体" w:hAnsi="宋体" w:eastAsia="宋体" w:cs="宋体"/>
          <w:color w:val="000000" w:themeColor="text1"/>
          <w:sz w:val="32"/>
          <w:szCs w:val="32"/>
          <w14:textFill>
            <w14:solidFill>
              <w14:schemeClr w14:val="tx1"/>
            </w14:solidFill>
          </w14:textFill>
        </w:rPr>
        <w:t>住房公积金</w:t>
      </w:r>
      <w:r>
        <w:rPr>
          <w:rFonts w:hint="eastAsia" w:ascii="宋体" w:hAnsi="宋体" w:eastAsia="宋体" w:cs="宋体"/>
          <w:color w:val="000000" w:themeColor="text1"/>
          <w:sz w:val="32"/>
          <w:szCs w:val="32"/>
          <w:lang w:val="en-US" w:eastAsia="zh-CN"/>
          <w14:textFill>
            <w14:solidFill>
              <w14:schemeClr w14:val="tx1"/>
            </w14:solidFill>
          </w14:textFill>
        </w:rPr>
        <w:t>86.17万元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其他工资福利支出</w:t>
      </w:r>
      <w:r>
        <w:rPr>
          <w:rFonts w:hint="eastAsia" w:ascii="宋体" w:hAnsi="宋体" w:eastAsia="宋体" w:cs="宋体"/>
          <w:color w:val="000000" w:themeColor="text1"/>
          <w:sz w:val="32"/>
          <w:szCs w:val="32"/>
          <w:lang w:val="en-US" w:eastAsia="zh-CN"/>
          <w14:textFill>
            <w14:solidFill>
              <w14:schemeClr w14:val="tx1"/>
            </w14:solidFill>
          </w14:textFill>
        </w:rPr>
        <w:t>48.25万元，</w:t>
      </w:r>
      <w:r>
        <w:rPr>
          <w:rFonts w:hint="eastAsia" w:ascii="宋体" w:hAnsi="宋体" w:eastAsia="宋体" w:cs="宋体"/>
          <w:color w:val="000000" w:themeColor="text1"/>
          <w:sz w:val="32"/>
          <w:szCs w:val="32"/>
          <w14:textFill>
            <w14:solidFill>
              <w14:schemeClr w14:val="tx1"/>
            </w14:solidFill>
          </w14:textFill>
        </w:rPr>
        <w:t>对个人和家庭补助</w:t>
      </w:r>
      <w:r>
        <w:rPr>
          <w:rFonts w:hint="eastAsia" w:ascii="宋体" w:hAnsi="宋体" w:eastAsia="宋体" w:cs="宋体"/>
          <w:color w:val="000000" w:themeColor="text1"/>
          <w:sz w:val="32"/>
          <w:szCs w:val="32"/>
          <w:lang w:val="en-US" w:eastAsia="zh-CN"/>
          <w14:textFill>
            <w14:solidFill>
              <w14:schemeClr w14:val="tx1"/>
            </w14:solidFill>
          </w14:textFill>
        </w:rPr>
        <w:t>183.54万元</w:t>
      </w:r>
      <w:r>
        <w:rPr>
          <w:rFonts w:hint="eastAsia" w:ascii="宋体" w:hAnsi="宋体" w:eastAsia="宋体" w:cs="宋体"/>
          <w:color w:val="000000" w:themeColor="text1"/>
          <w:sz w:val="32"/>
          <w:szCs w:val="32"/>
          <w14:textFill>
            <w14:solidFill>
              <w14:schemeClr w14:val="tx1"/>
            </w14:solidFill>
          </w14:textFill>
        </w:rPr>
        <w:t>等；</w:t>
      </w:r>
      <w:r>
        <w:rPr>
          <w:rFonts w:hint="eastAsia" w:asciiTheme="minorEastAsia" w:hAnsiTheme="minorEastAsia" w:eastAsiaTheme="minorEastAsia"/>
          <w:color w:val="000000" w:themeColor="text1"/>
          <w:sz w:val="32"/>
          <w:szCs w:val="32"/>
          <w14:textFill>
            <w14:solidFill>
              <w14:schemeClr w14:val="tx1"/>
            </w14:solidFill>
          </w14:textFill>
        </w:rPr>
        <w:t>公用经费601.98万元，占基本支出的25.84%，</w:t>
      </w:r>
      <w:r>
        <w:rPr>
          <w:rFonts w:hint="eastAsia" w:ascii="宋体" w:hAnsi="宋体" w:eastAsia="宋体" w:cs="宋体"/>
          <w:color w:val="000000" w:themeColor="text1"/>
          <w:sz w:val="32"/>
          <w:szCs w:val="32"/>
          <w14:textFill>
            <w14:solidFill>
              <w14:schemeClr w14:val="tx1"/>
            </w14:solidFill>
          </w14:textFill>
        </w:rPr>
        <w:t>主要包括办公费</w:t>
      </w:r>
      <w:r>
        <w:rPr>
          <w:rFonts w:hint="eastAsia" w:ascii="宋体" w:hAnsi="宋体" w:eastAsia="宋体" w:cs="宋体"/>
          <w:color w:val="000000" w:themeColor="text1"/>
          <w:sz w:val="32"/>
          <w:szCs w:val="32"/>
          <w:lang w:val="en-US" w:eastAsia="zh-CN"/>
          <w14:textFill>
            <w14:solidFill>
              <w14:schemeClr w14:val="tx1"/>
            </w14:solidFill>
          </w14:textFill>
        </w:rPr>
        <w:t>27.32万元</w:t>
      </w:r>
      <w:r>
        <w:rPr>
          <w:rFonts w:hint="eastAsia" w:ascii="宋体" w:hAnsi="宋体" w:eastAsia="宋体" w:cs="宋体"/>
          <w:color w:val="000000" w:themeColor="text1"/>
          <w:sz w:val="32"/>
          <w:szCs w:val="32"/>
          <w14:textFill>
            <w14:solidFill>
              <w14:schemeClr w14:val="tx1"/>
            </w14:solidFill>
          </w14:textFill>
        </w:rPr>
        <w:t>、印刷费</w:t>
      </w:r>
      <w:r>
        <w:rPr>
          <w:rFonts w:hint="eastAsia" w:ascii="宋体" w:hAnsi="宋体" w:eastAsia="宋体" w:cs="宋体"/>
          <w:color w:val="000000" w:themeColor="text1"/>
          <w:sz w:val="32"/>
          <w:szCs w:val="32"/>
          <w:lang w:val="en-US" w:eastAsia="zh-CN"/>
          <w14:textFill>
            <w14:solidFill>
              <w14:schemeClr w14:val="tx1"/>
            </w14:solidFill>
          </w14:textFill>
        </w:rPr>
        <w:t>13.91万元</w:t>
      </w:r>
      <w:r>
        <w:rPr>
          <w:rFonts w:hint="eastAsia" w:ascii="宋体" w:hAnsi="宋体" w:eastAsia="宋体" w:cs="宋体"/>
          <w:color w:val="000000" w:themeColor="text1"/>
          <w:sz w:val="32"/>
          <w:szCs w:val="32"/>
          <w14:textFill>
            <w14:solidFill>
              <w14:schemeClr w14:val="tx1"/>
            </w14:solidFill>
          </w14:textFill>
        </w:rPr>
        <w:t>、咨询费</w:t>
      </w:r>
      <w:r>
        <w:rPr>
          <w:rFonts w:hint="eastAsia" w:ascii="宋体" w:hAnsi="宋体" w:eastAsia="宋体" w:cs="宋体"/>
          <w:color w:val="000000" w:themeColor="text1"/>
          <w:sz w:val="32"/>
          <w:szCs w:val="32"/>
          <w:lang w:val="en-US" w:eastAsia="zh-CN"/>
          <w14:textFill>
            <w14:solidFill>
              <w14:schemeClr w14:val="tx1"/>
            </w14:solidFill>
          </w14:textFill>
        </w:rPr>
        <w:t>0.25万元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水费</w:t>
      </w:r>
      <w:r>
        <w:rPr>
          <w:rFonts w:hint="eastAsia" w:ascii="宋体" w:hAnsi="宋体" w:eastAsia="宋体" w:cs="宋体"/>
          <w:color w:val="000000" w:themeColor="text1"/>
          <w:sz w:val="32"/>
          <w:szCs w:val="32"/>
          <w:lang w:val="en-US" w:eastAsia="zh-CN"/>
          <w14:textFill>
            <w14:solidFill>
              <w14:schemeClr w14:val="tx1"/>
            </w14:solidFill>
          </w14:textFill>
        </w:rPr>
        <w:t>2.37万元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电费</w:t>
      </w:r>
      <w:r>
        <w:rPr>
          <w:rFonts w:hint="eastAsia" w:ascii="宋体" w:hAnsi="宋体" w:eastAsia="宋体" w:cs="宋体"/>
          <w:color w:val="000000" w:themeColor="text1"/>
          <w:sz w:val="32"/>
          <w:szCs w:val="32"/>
          <w:lang w:val="en-US" w:eastAsia="zh-CN"/>
          <w14:textFill>
            <w14:solidFill>
              <w14:schemeClr w14:val="tx1"/>
            </w14:solidFill>
          </w14:textFill>
        </w:rPr>
        <w:t>9.11万元、邮电费4.42万元、</w:t>
      </w:r>
      <w:r>
        <w:rPr>
          <w:rFonts w:hint="eastAsia" w:ascii="宋体" w:hAnsi="宋体" w:eastAsia="宋体" w:cs="宋体"/>
          <w:color w:val="000000" w:themeColor="text1"/>
          <w:sz w:val="32"/>
          <w:szCs w:val="32"/>
          <w14:textFill>
            <w14:solidFill>
              <w14:schemeClr w14:val="tx1"/>
            </w14:solidFill>
          </w14:textFill>
        </w:rPr>
        <w:t>差旅</w:t>
      </w:r>
      <w:r>
        <w:rPr>
          <w:rFonts w:hint="eastAsia" w:ascii="宋体" w:hAnsi="宋体" w:eastAsia="宋体" w:cs="宋体"/>
          <w:color w:val="000000" w:themeColor="text1"/>
          <w:sz w:val="32"/>
          <w:szCs w:val="32"/>
          <w:lang w:val="en-US" w:eastAsia="zh-CN"/>
          <w14:textFill>
            <w14:solidFill>
              <w14:schemeClr w14:val="tx1"/>
            </w14:solidFill>
          </w14:textFill>
        </w:rPr>
        <w:t>12.80万元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维修费</w:t>
      </w:r>
      <w:r>
        <w:rPr>
          <w:rFonts w:hint="eastAsia" w:ascii="宋体" w:hAnsi="宋体" w:eastAsia="宋体" w:cs="宋体"/>
          <w:color w:val="000000" w:themeColor="text1"/>
          <w:sz w:val="32"/>
          <w:szCs w:val="32"/>
          <w:lang w:val="en-US" w:eastAsia="zh-CN"/>
          <w14:textFill>
            <w14:solidFill>
              <w14:schemeClr w14:val="tx1"/>
            </w14:solidFill>
          </w14:textFill>
        </w:rPr>
        <w:t>17.66万元、租赁费1.40万元、会议费5.11万元、培训费0.14万元、公务接待费4.31万元、专业材料费用340.02万元</w:t>
      </w:r>
      <w:r>
        <w:rPr>
          <w:rFonts w:hint="eastAsia" w:ascii="宋体" w:hAnsi="宋体" w:eastAsia="宋体" w:cs="宋体"/>
          <w:color w:val="000000" w:themeColor="text1"/>
          <w:sz w:val="32"/>
          <w:szCs w:val="32"/>
          <w14:textFill>
            <w14:solidFill>
              <w14:schemeClr w14:val="tx1"/>
            </w14:solidFill>
          </w14:textFill>
        </w:rPr>
        <w:t>、工会经费</w:t>
      </w:r>
      <w:r>
        <w:rPr>
          <w:rFonts w:hint="eastAsia" w:ascii="宋体" w:hAnsi="宋体" w:eastAsia="宋体" w:cs="宋体"/>
          <w:color w:val="000000" w:themeColor="text1"/>
          <w:sz w:val="32"/>
          <w:szCs w:val="32"/>
          <w:lang w:val="en-US" w:eastAsia="zh-CN"/>
          <w14:textFill>
            <w14:solidFill>
              <w14:schemeClr w14:val="tx1"/>
            </w14:solidFill>
          </w14:textFill>
        </w:rPr>
        <w:t>4.45万元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福利费</w:t>
      </w:r>
      <w:r>
        <w:rPr>
          <w:rFonts w:hint="eastAsia" w:ascii="宋体" w:hAnsi="宋体" w:eastAsia="宋体" w:cs="宋体"/>
          <w:color w:val="000000" w:themeColor="text1"/>
          <w:sz w:val="32"/>
          <w:szCs w:val="32"/>
          <w:lang w:val="en-US" w:eastAsia="zh-CN"/>
          <w14:textFill>
            <w14:solidFill>
              <w14:schemeClr w14:val="tx1"/>
            </w14:solidFill>
          </w14:textFill>
        </w:rPr>
        <w:t>1.78万元、其他交通费用2.12万元、</w:t>
      </w:r>
      <w:r>
        <w:rPr>
          <w:rFonts w:hint="eastAsia" w:ascii="宋体" w:hAnsi="宋体" w:eastAsia="宋体" w:cs="宋体"/>
          <w:color w:val="000000" w:themeColor="text1"/>
          <w:sz w:val="32"/>
          <w:szCs w:val="32"/>
          <w14:textFill>
            <w14:solidFill>
              <w14:schemeClr w14:val="tx1"/>
            </w14:solidFill>
          </w14:textFill>
        </w:rPr>
        <w:t>其他商品和服务支出</w:t>
      </w:r>
      <w:r>
        <w:rPr>
          <w:rFonts w:hint="eastAsia" w:ascii="宋体" w:hAnsi="宋体" w:eastAsia="宋体" w:cs="宋体"/>
          <w:color w:val="000000" w:themeColor="text1"/>
          <w:sz w:val="32"/>
          <w:szCs w:val="32"/>
          <w:lang w:val="en-US" w:eastAsia="zh-CN"/>
          <w14:textFill>
            <w14:solidFill>
              <w14:schemeClr w14:val="tx1"/>
            </w14:solidFill>
          </w14:textFill>
        </w:rPr>
        <w:t>154.82万元</w:t>
      </w:r>
      <w:r>
        <w:rPr>
          <w:rFonts w:hint="eastAsia" w:ascii="宋体" w:hAnsi="宋体" w:eastAsia="宋体" w:cs="宋体"/>
          <w:color w:val="000000" w:themeColor="text1"/>
          <w:sz w:val="32"/>
          <w:szCs w:val="32"/>
          <w14:textFill>
            <w14:solidFill>
              <w14:schemeClr w14:val="tx1"/>
            </w14:solidFill>
          </w14:textFill>
        </w:rPr>
        <w:t>。</w:t>
      </w:r>
    </w:p>
    <w:p>
      <w:pPr>
        <w:pStyle w:val="10"/>
        <w:rPr>
          <w:rFonts w:asciiTheme="minorEastAsia" w:hAnsiTheme="minorEastAsia" w:eastAsiaTheme="minorEastAsia"/>
          <w:i/>
          <w:color w:val="FF0000"/>
          <w:sz w:val="32"/>
          <w:szCs w:val="32"/>
        </w:rPr>
      </w:pP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2021年度“三公”经费财政拨款支出预算为5万元，支出决算为4.31万元，完成预算的86.2%，其中：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因公出国（境）费支出预算为0万元，支出决算为0万元，完成预算的100%，决算数等于预算数，</w:t>
      </w:r>
      <w:r>
        <w:rPr>
          <w:rFonts w:hint="eastAsia" w:ascii="宋体" w:hAnsi="宋体" w:eastAsia="宋体" w:cs="宋体"/>
          <w:sz w:val="32"/>
          <w:szCs w:val="32"/>
        </w:rPr>
        <w:t>与上年相比没有增减</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公务接待费支出预算为5万元，支出决算为4.31万元，完成预算的86.2%，决算数小于预算数的主要原因是严格执行八项规定，厉行节约。</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公务用车购置费支出预算为0万元，支出决算为0万元，完成预算的100%，决算数等于预算数，</w:t>
      </w:r>
      <w:r>
        <w:rPr>
          <w:rFonts w:hint="eastAsia" w:ascii="宋体" w:hAnsi="宋体" w:eastAsia="宋体" w:cs="宋体"/>
          <w:sz w:val="32"/>
          <w:szCs w:val="32"/>
        </w:rPr>
        <w:t>与上年相比没有增减</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公务用车运行维护费</w:t>
      </w:r>
      <w:r>
        <w:rPr>
          <w:rFonts w:hint="eastAsia" w:asciiTheme="minorEastAsia" w:hAnsiTheme="minorEastAsia" w:eastAsiaTheme="minorEastAsia"/>
          <w:sz w:val="32"/>
          <w:szCs w:val="32"/>
        </w:rPr>
        <w:t>支出预算为0万元，支出决算为0万元，完成预算的100%，决算数等于预算数，</w:t>
      </w:r>
      <w:r>
        <w:rPr>
          <w:rFonts w:hint="eastAsia" w:ascii="宋体" w:hAnsi="宋体" w:eastAsia="宋体" w:cs="宋体"/>
          <w:sz w:val="32"/>
          <w:szCs w:val="32"/>
        </w:rPr>
        <w:t>与上年相比没有增减</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2021年度“三公”经费财政拨款支出决算中，公务接待费支出决算4.31万元，占100%,因公出国（境）费支出决算0万元，占0%,公务用车购置费及运行维护费支出决算0万元，占0%。其中：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2、公务接待费支出决算为4.31万元，全年共接待来访团组57个、来宾320人次，主要是发生的上级防溺水督查和上级教育督导接待支出。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公务用车运行维护费0万元，截止2021年12月31日，我单位开支财政拨款的公务用车保有量为0辆。</w:t>
      </w:r>
    </w:p>
    <w:p>
      <w:pPr>
        <w:ind w:firstLine="800" w:firstLineChars="250"/>
        <w:rPr>
          <w:rFonts w:cs="黑体" w:asciiTheme="minorEastAsia" w:hAnsiTheme="minorEastAsia"/>
          <w:color w:val="000000"/>
          <w:kern w:val="0"/>
          <w:sz w:val="32"/>
          <w:szCs w:val="32"/>
        </w:rPr>
      </w:pP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2021年度政府性基金预算财政拨款收入43.39万元；年初结转和结余0万元；支出43.39万元，其中基本支出43.39万元，项目支出0万元；年末结转和结余0万元。具体情况如下：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1、其他支出（229）彩票公益金安排的支出（22960）用于体育事业的彩票公益金支出。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年初预算为0万元，支出决算为43.39万元，决算数大于年初预算数的主要原因是：追加青少年宫专用材料设备。</w:t>
      </w:r>
    </w:p>
    <w:p>
      <w:pPr>
        <w:pStyle w:val="10"/>
        <w:ind w:firstLine="627" w:firstLineChars="196"/>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本部门2021年度机关运行经费支出601.98万元，比年初预算数增加265.08 万元，增长109.36%。主要原因是：专用材料费增加。</w:t>
      </w:r>
    </w:p>
    <w:p>
      <w:pPr>
        <w:pStyle w:val="10"/>
        <w:ind w:firstLine="627" w:firstLineChars="196"/>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5.11万元，用于召开教育教学、安全视频、职称评审等会议，人数1200余人次，内容为会议场地租赁和职称评审专家的住宿伙食等；开支培训费0.14万元，用于开展文明城市创建培训，人数6人次，内容为培训资料、专家授课劳务费；举办节庆、晚会、论坛、赛事活动，开支0万元，没有开办此类型活动。</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 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ind w:firstLine="640" w:firstLineChars="20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color w:val="FF0000"/>
          <w:sz w:val="32"/>
          <w:szCs w:val="32"/>
          <w:highlight w:val="black"/>
        </w:rPr>
      </w:pPr>
      <w:r>
        <w:rPr>
          <w:rFonts w:hint="eastAsia" w:hAnsi="黑体"/>
          <w:b/>
          <w:color w:val="auto"/>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年度一般公共预算项目支出全面开展绩效自评，其中，一级项目1个，共涉及资</w:t>
      </w:r>
      <w:r>
        <w:rPr>
          <w:rFonts w:hint="eastAsia" w:cs="黑体" w:asciiTheme="minorEastAsia" w:hAnsiTheme="minorEastAsia"/>
          <w:color w:val="auto"/>
          <w:kern w:val="0"/>
          <w:sz w:val="32"/>
          <w:szCs w:val="32"/>
        </w:rPr>
        <w:t>金2</w:t>
      </w:r>
      <w:r>
        <w:rPr>
          <w:rFonts w:hint="eastAsia" w:cs="黑体" w:asciiTheme="minorEastAsia" w:hAnsiTheme="minorEastAsia"/>
          <w:color w:val="auto"/>
          <w:kern w:val="0"/>
          <w:sz w:val="32"/>
          <w:szCs w:val="32"/>
          <w:lang w:val="en-US" w:eastAsia="zh-CN"/>
        </w:rPr>
        <w:t>7</w:t>
      </w:r>
      <w:r>
        <w:rPr>
          <w:rFonts w:hint="eastAsia" w:cs="黑体" w:asciiTheme="minorEastAsia" w:hAnsiTheme="minorEastAsia"/>
          <w:color w:val="auto"/>
          <w:kern w:val="0"/>
          <w:sz w:val="32"/>
          <w:szCs w:val="32"/>
        </w:rPr>
        <w:t>万</w:t>
      </w:r>
      <w:r>
        <w:rPr>
          <w:rFonts w:hint="eastAsia" w:cs="黑体" w:asciiTheme="minorEastAsia" w:hAnsiTheme="minorEastAsia"/>
          <w:color w:val="000000"/>
          <w:kern w:val="0"/>
          <w:sz w:val="32"/>
          <w:szCs w:val="32"/>
        </w:rPr>
        <w:t>元，占一般公共预算项目</w:t>
      </w:r>
      <w:r>
        <w:rPr>
          <w:rFonts w:hint="eastAsia" w:cs="黑体" w:asciiTheme="minorEastAsia" w:hAnsiTheme="minorEastAsia"/>
          <w:kern w:val="0"/>
          <w:sz w:val="32"/>
          <w:szCs w:val="32"/>
        </w:rPr>
        <w:t>支出总额的</w:t>
      </w:r>
      <w:r>
        <w:rPr>
          <w:rFonts w:hint="eastAsia" w:cs="黑体" w:asciiTheme="minorEastAsia" w:hAnsiTheme="minorEastAsia"/>
          <w:kern w:val="0"/>
          <w:sz w:val="32"/>
          <w:szCs w:val="32"/>
          <w:lang w:val="en-US" w:eastAsia="zh-CN"/>
        </w:rPr>
        <w:t>100</w:t>
      </w:r>
      <w:r>
        <w:rPr>
          <w:rFonts w:cs="黑体" w:asciiTheme="minorEastAsia" w:hAnsiTheme="minorEastAsia"/>
          <w:kern w:val="0"/>
          <w:sz w:val="32"/>
          <w:szCs w:val="32"/>
        </w:rPr>
        <w:t>%</w:t>
      </w:r>
      <w:r>
        <w:rPr>
          <w:rFonts w:hint="eastAsia" w:cs="黑体" w:asciiTheme="minorEastAsia" w:hAnsiTheme="minorEastAsia"/>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r>
        <w:rPr>
          <w:rFonts w:hint="eastAsia" w:cs="黑体" w:asciiTheme="minorEastAsia" w:hAnsiTheme="minorEastAsia"/>
          <w:kern w:val="0"/>
          <w:sz w:val="32"/>
          <w:szCs w:val="32"/>
        </w:rPr>
        <w:t>组织对</w:t>
      </w:r>
      <w:r>
        <w:rPr>
          <w:rFonts w:cs="黑体" w:asciiTheme="minorEastAsia" w:hAnsiTheme="minorEastAsia"/>
          <w:kern w:val="0"/>
          <w:sz w:val="32"/>
          <w:szCs w:val="32"/>
        </w:rPr>
        <w:t>2021</w:t>
      </w:r>
      <w:r>
        <w:rPr>
          <w:rFonts w:hint="eastAsia" w:cs="黑体" w:asciiTheme="minorEastAsia" w:hAnsiTheme="minorEastAsia"/>
          <w:kern w:val="0"/>
          <w:sz w:val="32"/>
          <w:szCs w:val="32"/>
        </w:rPr>
        <w:t>年度0个国有资本经营预算项目支出开展绩效</w:t>
      </w:r>
      <w:r>
        <w:rPr>
          <w:rFonts w:hint="eastAsia" w:cs="黑体" w:asciiTheme="minorEastAsia" w:hAnsiTheme="minorEastAsia"/>
          <w:color w:val="000000"/>
          <w:kern w:val="0"/>
          <w:sz w:val="32"/>
          <w:szCs w:val="32"/>
        </w:rPr>
        <w:t>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组织对“教育督导专项经费”1个项目开展了部门评价，涉及一般公共预算支出</w:t>
      </w:r>
      <w:r>
        <w:rPr>
          <w:rFonts w:hint="eastAsia" w:cs="黑体" w:asciiTheme="minorEastAsia" w:hAnsiTheme="minorEastAsia"/>
          <w:color w:val="auto"/>
          <w:kern w:val="0"/>
          <w:sz w:val="32"/>
          <w:szCs w:val="32"/>
        </w:rPr>
        <w:t>27万元</w:t>
      </w:r>
      <w:r>
        <w:rPr>
          <w:rFonts w:hint="eastAsia" w:cs="黑体" w:asciiTheme="minorEastAsia" w:hAnsiTheme="minorEastAsia"/>
          <w:color w:val="000000"/>
          <w:kern w:val="0"/>
          <w:sz w:val="32"/>
          <w:szCs w:val="32"/>
        </w:rPr>
        <w:t>，政府性基金预算支出0万元，国有资本经营预算支出0万元。从评价情况来看，项目整体发挥的社会效益明显。</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auto"/>
          <w:kern w:val="0"/>
          <w:sz w:val="32"/>
          <w:szCs w:val="32"/>
        </w:rPr>
        <w:t>组织对</w:t>
      </w:r>
      <w:r>
        <w:rPr>
          <w:rFonts w:hint="eastAsia" w:cs="黑体" w:asciiTheme="minorEastAsia" w:hAnsiTheme="minorEastAsia"/>
          <w:color w:val="auto"/>
          <w:kern w:val="0"/>
          <w:sz w:val="32"/>
          <w:szCs w:val="32"/>
          <w:lang w:eastAsia="zh-CN"/>
        </w:rPr>
        <w:t>本</w:t>
      </w:r>
      <w:r>
        <w:rPr>
          <w:rFonts w:hint="eastAsia" w:cs="黑体" w:asciiTheme="minorEastAsia" w:hAnsiTheme="minorEastAsia"/>
          <w:color w:val="auto"/>
          <w:kern w:val="0"/>
          <w:sz w:val="32"/>
          <w:szCs w:val="32"/>
        </w:rPr>
        <w:t>单位开展整体支出绩效评价，涉及一般公共预算支出</w:t>
      </w:r>
      <w:r>
        <w:rPr>
          <w:rFonts w:hint="eastAsia" w:cs="黑体" w:asciiTheme="minorEastAsia" w:hAnsiTheme="minorEastAsia"/>
          <w:color w:val="auto"/>
          <w:kern w:val="0"/>
          <w:sz w:val="32"/>
          <w:szCs w:val="32"/>
          <w:lang w:val="en-US" w:eastAsia="zh-CN"/>
        </w:rPr>
        <w:t>2357.09</w:t>
      </w:r>
      <w:r>
        <w:rPr>
          <w:rFonts w:hint="eastAsia" w:cs="黑体" w:asciiTheme="minorEastAsia" w:hAnsiTheme="minorEastAsia"/>
          <w:color w:val="auto"/>
          <w:kern w:val="0"/>
          <w:sz w:val="32"/>
          <w:szCs w:val="32"/>
        </w:rPr>
        <w:t>万元，政府性基金预算支出</w:t>
      </w:r>
      <w:r>
        <w:rPr>
          <w:rFonts w:hint="eastAsia" w:cs="黑体" w:asciiTheme="minorEastAsia" w:hAnsiTheme="minorEastAsia"/>
          <w:color w:val="auto"/>
          <w:kern w:val="0"/>
          <w:sz w:val="32"/>
          <w:szCs w:val="32"/>
          <w:lang w:val="en-US" w:eastAsia="zh-CN"/>
        </w:rPr>
        <w:t>43.39</w:t>
      </w:r>
      <w:r>
        <w:rPr>
          <w:rFonts w:hint="eastAsia" w:cs="黑体" w:asciiTheme="minorEastAsia" w:hAnsiTheme="minorEastAsia"/>
          <w:color w:val="auto"/>
          <w:kern w:val="0"/>
          <w:sz w:val="32"/>
          <w:szCs w:val="32"/>
        </w:rPr>
        <w:t>万元。从评价情况来看，</w:t>
      </w:r>
      <w:r>
        <w:rPr>
          <w:rFonts w:hint="eastAsia" w:cs="黑体" w:asciiTheme="minorEastAsia" w:hAnsiTheme="minorEastAsia"/>
          <w:color w:val="auto"/>
          <w:kern w:val="0"/>
          <w:sz w:val="32"/>
          <w:szCs w:val="32"/>
          <w:lang w:eastAsia="zh-CN"/>
        </w:rPr>
        <w:t>本</w:t>
      </w:r>
      <w:r>
        <w:rPr>
          <w:rFonts w:hint="eastAsia" w:cs="黑体" w:asciiTheme="minorEastAsia" w:hAnsiTheme="minorEastAsia"/>
          <w:color w:val="auto"/>
          <w:kern w:val="0"/>
          <w:sz w:val="32"/>
          <w:szCs w:val="32"/>
        </w:rPr>
        <w:t>单位突出抓</w:t>
      </w:r>
      <w:r>
        <w:rPr>
          <w:rFonts w:hint="eastAsia" w:cs="黑体" w:asciiTheme="minorEastAsia" w:hAnsiTheme="minorEastAsia"/>
          <w:color w:val="000000"/>
          <w:kern w:val="0"/>
          <w:sz w:val="32"/>
          <w:szCs w:val="32"/>
        </w:rPr>
        <w:t>改革、强教育、促发展，各方面工作稳步推进。</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教育督导项目绩效自评综述：根据年初设定的绩效目标，项目绩效自评得分为97分。项目全年预算数为27万元，执行数为27万元，完成预算的100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。项目绩效目标完成情况：圆满完成了2021年的教育教学督导工作。发现的主要问题及原因：经费有限，工作还不能面面俱到。下一步改进措施：进一步做好资金规划，扬长避短。</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0"/>
        <w:jc w:val="center"/>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FF0000"/>
          <w:kern w:val="0"/>
          <w:sz w:val="32"/>
          <w:szCs w:val="32"/>
          <w:lang w:val="en-US" w:eastAsia="zh-CN" w:bidi="ar-SA"/>
        </w:rPr>
        <w:t xml:space="preserve">   </w:t>
      </w:r>
      <w:r>
        <w:rPr>
          <w:rFonts w:hint="eastAsia" w:cs="黑体" w:asciiTheme="minorEastAsia" w:hAnsiTheme="minorEastAsia" w:eastAsiaTheme="minorEastAsia"/>
          <w:color w:val="auto"/>
          <w:kern w:val="0"/>
          <w:sz w:val="32"/>
          <w:szCs w:val="32"/>
          <w:lang w:val="en-US" w:eastAsia="zh-CN" w:bidi="ar-SA"/>
        </w:rPr>
        <w:t>在省市县各级财政部门共同努力下，2021年度溆浦县教育局工作基本完成。资金使用符合相关财务规定。通过专项资金的实施，全力推进绩效评价</w:t>
      </w:r>
      <w:bookmarkStart w:id="8" w:name="_GoBack"/>
      <w:bookmarkEnd w:id="8"/>
      <w:r>
        <w:rPr>
          <w:rFonts w:hint="eastAsia" w:cs="黑体" w:asciiTheme="minorEastAsia" w:hAnsiTheme="minorEastAsia" w:eastAsiaTheme="minorEastAsia"/>
          <w:color w:val="auto"/>
          <w:kern w:val="0"/>
          <w:sz w:val="32"/>
          <w:szCs w:val="32"/>
          <w:lang w:val="en-US" w:eastAsia="zh-CN" w:bidi="ar-SA"/>
        </w:rPr>
        <w:t>工作，各项工作取得了明显成效。2021年度本单位项目资金绩效评价指标</w:t>
      </w:r>
    </w:p>
    <w:p>
      <w:pPr>
        <w:pStyle w:val="10"/>
        <w:jc w:val="both"/>
        <w:rPr>
          <w:color w:val="auto"/>
          <w:sz w:val="72"/>
          <w:szCs w:val="72"/>
        </w:rPr>
      </w:pPr>
      <w:r>
        <w:rPr>
          <w:rFonts w:hint="eastAsia" w:cs="黑体" w:asciiTheme="minorEastAsia" w:hAnsiTheme="minorEastAsia" w:eastAsiaTheme="minorEastAsia"/>
          <w:color w:val="auto"/>
          <w:kern w:val="0"/>
          <w:sz w:val="32"/>
          <w:szCs w:val="32"/>
          <w:lang w:val="en-US" w:eastAsia="zh-CN" w:bidi="ar-SA"/>
        </w:rPr>
        <w:t>分为95分。</w:t>
      </w:r>
    </w:p>
    <w:p>
      <w:pPr>
        <w:pStyle w:val="10"/>
        <w:jc w:val="center"/>
        <w:rPr>
          <w:color w:val="auto"/>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1.</w:t>
      </w:r>
      <w:r>
        <w:rPr>
          <w:rFonts w:ascii="宋体" w:hAnsi="宋体" w:cs="黑体"/>
          <w:color w:val="000000"/>
          <w:kern w:val="0"/>
          <w:sz w:val="32"/>
          <w:szCs w:val="32"/>
        </w:rPr>
        <w:t>三公经费</w:t>
      </w:r>
      <w:r>
        <w:rPr>
          <w:rFonts w:hint="eastAsia" w:ascii="宋体" w:hAnsi="宋体" w:cs="黑体"/>
          <w:color w:val="000000"/>
          <w:kern w:val="0"/>
          <w:sz w:val="32"/>
          <w:szCs w:val="32"/>
        </w:rPr>
        <w:t>：指政府部门人员因公出国（境）经费、公务车购置及运行费、公务招待费产生的消费，是当前公共行政领域亟待解决的问题之一。</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2.</w:t>
      </w:r>
      <w:r>
        <w:rPr>
          <w:rFonts w:ascii="宋体" w:hAnsi="宋体" w:cs="黑体"/>
          <w:color w:val="000000"/>
          <w:kern w:val="0"/>
          <w:sz w:val="32"/>
          <w:szCs w:val="32"/>
        </w:rPr>
        <w:t>机关运行经费：</w:t>
      </w:r>
      <w:r>
        <w:rPr>
          <w:rFonts w:hint="eastAsia" w:ascii="宋体" w:hAnsi="宋体" w:cs="黑体"/>
          <w:color w:val="000000"/>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960" w:firstLineChars="300"/>
        <w:rPr>
          <w:rFonts w:ascii="宋体" w:cs="Times New Roman"/>
          <w:b/>
          <w:bCs/>
          <w:color w:val="000000"/>
          <w:kern w:val="0"/>
          <w:sz w:val="32"/>
          <w:szCs w:val="32"/>
        </w:rPr>
      </w:pPr>
      <w:r>
        <w:rPr>
          <w:rFonts w:hint="eastAsia" w:ascii="宋体" w:hAnsi="宋体" w:cs="宋体"/>
          <w:b/>
          <w:bCs/>
          <w:color w:val="000000"/>
          <w:kern w:val="0"/>
          <w:sz w:val="32"/>
          <w:szCs w:val="32"/>
        </w:rPr>
        <w:t>溆浦县教育局机关2021年度部门整体支出绩效评价报告</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一、部门概况</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（一）部门基本情况</w:t>
      </w:r>
    </w:p>
    <w:p>
      <w:pPr>
        <w:widowControl/>
        <w:spacing w:line="600" w:lineRule="exact"/>
        <w:ind w:firstLine="800" w:firstLineChars="250"/>
        <w:rPr>
          <w:rFonts w:ascii="仿宋" w:hAnsi="仿宋" w:eastAsia="仿宋" w:cs="仿宋"/>
          <w:kern w:val="0"/>
          <w:sz w:val="32"/>
          <w:szCs w:val="32"/>
        </w:rPr>
      </w:pPr>
      <w:r>
        <w:rPr>
          <w:rFonts w:hint="eastAsia" w:ascii="仿宋" w:hAnsi="仿宋" w:eastAsia="仿宋" w:cs="仿宋"/>
          <w:sz w:val="32"/>
          <w:szCs w:val="32"/>
        </w:rPr>
        <w:t>溆浦县教育局机关是隶属溆浦县人民政府管理全县教育教学的行政职能部门，其主要职责是贯彻落实国家教育工作方针、政策和法律、法规、规章，制定实施意见并监督执行，负责全县幼儿教育、基础教育、职业教育和民办教育的教育教学及管理等工作以及全县教育行政管理工作和本部门各学校的财政收支预算编制及资金拨付工作。</w:t>
      </w:r>
      <w:r>
        <w:rPr>
          <w:rFonts w:hint="eastAsia" w:ascii="仿宋" w:hAnsi="仿宋" w:eastAsia="仿宋" w:cs="仿宋"/>
          <w:kern w:val="0"/>
          <w:sz w:val="32"/>
          <w:szCs w:val="32"/>
        </w:rPr>
        <w:t>溆浦县教育局机关内设机构行政股室包括：办公室、人事股、计财股、普教股、行政审批（法制股）、教育督导、职成股、党建办。二级事业单位9个包括：档案管理室1个，电教仪器站1个、教育教研室1个，就业指导中心1个，考试中心1个，勤工站1个，信息网络中心1个，学生资助中心1个，职称改革事务中心1个。</w:t>
      </w:r>
    </w:p>
    <w:p>
      <w:pPr>
        <w:spacing w:line="500" w:lineRule="exact"/>
        <w:ind w:firstLine="720" w:firstLineChars="225"/>
        <w:rPr>
          <w:rFonts w:ascii="仿宋" w:hAnsi="仿宋" w:eastAsia="仿宋" w:cs="Times New Roman"/>
          <w:sz w:val="32"/>
          <w:szCs w:val="32"/>
          <w:highlight w:val="yellow"/>
        </w:rPr>
      </w:pPr>
      <w:r>
        <w:rPr>
          <w:rFonts w:hint="eastAsia" w:ascii="仿宋" w:hAnsi="仿宋" w:eastAsia="仿宋" w:cs="仿宋"/>
          <w:sz w:val="32"/>
          <w:szCs w:val="32"/>
        </w:rPr>
        <w:t>至2021年底，县教育局机关人员编制</w:t>
      </w:r>
      <w:r>
        <w:rPr>
          <w:rFonts w:ascii="仿宋" w:hAnsi="仿宋" w:eastAsia="仿宋" w:cs="仿宋"/>
          <w:sz w:val="32"/>
          <w:szCs w:val="32"/>
        </w:rPr>
        <w:t>1</w:t>
      </w:r>
      <w:r>
        <w:rPr>
          <w:rFonts w:hint="eastAsia" w:ascii="仿宋" w:hAnsi="仿宋" w:eastAsia="仿宋" w:cs="仿宋"/>
          <w:sz w:val="32"/>
          <w:szCs w:val="32"/>
        </w:rPr>
        <w:t>10个，其中行政编制</w:t>
      </w:r>
      <w:r>
        <w:rPr>
          <w:rFonts w:ascii="仿宋" w:hAnsi="仿宋" w:eastAsia="仿宋" w:cs="仿宋"/>
          <w:sz w:val="32"/>
          <w:szCs w:val="32"/>
        </w:rPr>
        <w:t>12</w:t>
      </w:r>
      <w:r>
        <w:rPr>
          <w:rFonts w:hint="eastAsia" w:ascii="仿宋" w:hAnsi="仿宋" w:eastAsia="仿宋" w:cs="仿宋"/>
          <w:sz w:val="32"/>
          <w:szCs w:val="32"/>
        </w:rPr>
        <w:t>个，事业编制98个，实有人员</w:t>
      </w:r>
      <w:r>
        <w:rPr>
          <w:rFonts w:ascii="仿宋" w:hAnsi="仿宋" w:eastAsia="仿宋" w:cs="仿宋"/>
          <w:sz w:val="32"/>
          <w:szCs w:val="32"/>
        </w:rPr>
        <w:t>10</w:t>
      </w:r>
      <w:r>
        <w:rPr>
          <w:rFonts w:hint="eastAsia" w:ascii="仿宋" w:hAnsi="仿宋" w:eastAsia="仿宋" w:cs="仿宋"/>
          <w:sz w:val="32"/>
          <w:szCs w:val="32"/>
        </w:rPr>
        <w:t>4人。</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（二）部门整体支出情况</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2021年全年收入为2550.99万元，其中，公共财政拨款收入2357.09万元，政府性基金预算财政拨款收入43.39万元，其他收入150.51万元。2021年全年决算支出为2550.99万元，其中：基本支出2523.99万元，项目支出27万元。按经济科目分：一般公共服务支出2.4万元、教育管理事务支出2091.90万元、社会保障和就业支出209.23万元、卫生健康支出112.54万元、城乡社区支出3万元、农林水支出18.58万元、商业服务业等支出10万元、住房保障支出59.95万元、其他支出43.39万元。</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二、部门整体支出管理及使用情况</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（一）基本支出</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基本支出用于为保障机构正常运转、完成日常工作任务而发生的支出，包括人员经费和公用经费。2021年全年收入为2550.99万元，决算基本支出为</w:t>
      </w:r>
      <w:bookmarkStart w:id="2" w:name="OLE_LINK3"/>
      <w:r>
        <w:rPr>
          <w:rFonts w:hint="eastAsia" w:ascii="仿宋" w:hAnsi="仿宋" w:eastAsia="仿宋" w:cs="仿宋"/>
          <w:sz w:val="32"/>
          <w:szCs w:val="32"/>
        </w:rPr>
        <w:t>2523.99万元，项目支出为27万元，按经济科目分：一般公共服务支出2.4万元、教育管理事务支出2091.90万元、社会保障和就业支出209.23万元、卫生健康支出112.54万元、城乡社区支出3万元、农林水支出18.58万元、商业服务业等支出10万元、住房保障支出59.95万元、其他支出43.39万元。其中：工资福利支出</w:t>
      </w:r>
      <w:bookmarkEnd w:id="2"/>
      <w:r>
        <w:rPr>
          <w:rFonts w:hint="eastAsia" w:ascii="仿宋" w:hAnsi="仿宋" w:eastAsia="仿宋" w:cs="仿宋"/>
          <w:sz w:val="32"/>
          <w:szCs w:val="32"/>
        </w:rPr>
        <w:t>1544.57万元、商品和服务支出601.98万元、</w:t>
      </w:r>
      <w:bookmarkStart w:id="3" w:name="OLE_LINK4"/>
      <w:bookmarkStart w:id="4" w:name="OLE_LINK5"/>
      <w:r>
        <w:rPr>
          <w:rFonts w:hint="eastAsia" w:ascii="仿宋" w:hAnsi="仿宋" w:eastAsia="仿宋" w:cs="仿宋"/>
          <w:sz w:val="32"/>
          <w:szCs w:val="32"/>
        </w:rPr>
        <w:t>对个人和家庭的补助183.54万元</w:t>
      </w:r>
      <w:bookmarkEnd w:id="3"/>
      <w:bookmarkEnd w:id="4"/>
      <w:r>
        <w:rPr>
          <w:rFonts w:hint="eastAsia" w:ascii="仿宋" w:hAnsi="仿宋" w:eastAsia="仿宋" w:cs="仿宋"/>
          <w:sz w:val="32"/>
          <w:szCs w:val="32"/>
        </w:rPr>
        <w:t>，其它220.90万元。2021年决算支出“三公”经费为4.31万元，其中：公车运行维护费</w:t>
      </w:r>
      <w:r>
        <w:rPr>
          <w:rFonts w:ascii="仿宋" w:hAnsi="仿宋" w:eastAsia="仿宋" w:cs="仿宋"/>
          <w:sz w:val="32"/>
          <w:szCs w:val="32"/>
        </w:rPr>
        <w:t>0</w:t>
      </w:r>
      <w:r>
        <w:rPr>
          <w:rFonts w:hint="eastAsia" w:ascii="仿宋" w:hAnsi="仿宋" w:eastAsia="仿宋" w:cs="仿宋"/>
          <w:sz w:val="32"/>
          <w:szCs w:val="32"/>
        </w:rPr>
        <w:t>万元、公务接待费4.31万元、出国考察经费</w:t>
      </w:r>
      <w:r>
        <w:rPr>
          <w:rFonts w:ascii="仿宋" w:hAnsi="仿宋" w:eastAsia="仿宋" w:cs="仿宋"/>
          <w:sz w:val="32"/>
          <w:szCs w:val="32"/>
        </w:rPr>
        <w:t>0</w:t>
      </w:r>
      <w:r>
        <w:rPr>
          <w:rFonts w:hint="eastAsia" w:ascii="仿宋" w:hAnsi="仿宋" w:eastAsia="仿宋" w:cs="仿宋"/>
          <w:sz w:val="32"/>
          <w:szCs w:val="32"/>
        </w:rPr>
        <w:t>万元。</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（二）专项支出</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2021年专项支出27万元。主要用于教育系统农村教学点网络费，绩效评估良好。</w:t>
      </w:r>
    </w:p>
    <w:p>
      <w:pPr>
        <w:spacing w:line="500" w:lineRule="exact"/>
        <w:ind w:firstLine="480" w:firstLineChars="150"/>
        <w:rPr>
          <w:rFonts w:ascii="黑体" w:hAnsi="黑体" w:eastAsia="黑体" w:cs="Times New Roman"/>
          <w:sz w:val="32"/>
          <w:szCs w:val="32"/>
        </w:rPr>
      </w:pPr>
      <w:r>
        <w:rPr>
          <w:rFonts w:hint="eastAsia" w:ascii="黑体" w:hAnsi="黑体" w:eastAsia="黑体" w:cs="黑体"/>
          <w:sz w:val="32"/>
          <w:szCs w:val="32"/>
        </w:rPr>
        <w:t>三、</w:t>
      </w:r>
      <w:bookmarkStart w:id="5" w:name="OLE_LINK9"/>
      <w:bookmarkStart w:id="6" w:name="OLE_LINK8"/>
      <w:r>
        <w:rPr>
          <w:rFonts w:hint="eastAsia" w:ascii="黑体" w:hAnsi="黑体" w:eastAsia="黑体" w:cs="黑体"/>
          <w:sz w:val="32"/>
          <w:szCs w:val="32"/>
        </w:rPr>
        <w:t>资产管理情况</w:t>
      </w:r>
      <w:bookmarkEnd w:id="5"/>
      <w:bookmarkEnd w:id="6"/>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（一）提高认识，注重业务学习，夯实管理基础</w:t>
      </w:r>
      <w:r>
        <w:rPr>
          <w:rFonts w:ascii="宋体" w:hAnsi="宋体" w:eastAsia="楷体" w:cs="Times New Roman"/>
          <w:b/>
          <w:bCs/>
          <w:sz w:val="32"/>
          <w:szCs w:val="32"/>
        </w:rPr>
        <w:t> </w:t>
      </w:r>
    </w:p>
    <w:p>
      <w:pPr>
        <w:spacing w:line="500" w:lineRule="exact"/>
        <w:ind w:firstLine="720" w:firstLineChars="225"/>
        <w:rPr>
          <w:rFonts w:ascii="宋体" w:cs="Times New Roman"/>
          <w:sz w:val="32"/>
          <w:szCs w:val="32"/>
        </w:rPr>
      </w:pPr>
      <w:r>
        <w:rPr>
          <w:rFonts w:hint="eastAsia" w:ascii="仿宋" w:hAnsi="仿宋" w:eastAsia="仿宋" w:cs="仿宋"/>
          <w:sz w:val="32"/>
          <w:szCs w:val="32"/>
        </w:rPr>
        <w:t>为加强和规范行政事业单位国有资产管理，提高财政资金使用效益，保证单位国有资产的安全完整，进一步提高资产管理水平，我局认真学习《行政事业单位国有资产管理暂行办法》、《事业单位国有资产管理暂行办法》等有关文件，明确了工作职责与工作要求，力求做到规范管理、科学统筹，不断提高资产使用效率。</w:t>
      </w:r>
      <w:r>
        <w:rPr>
          <w:rFonts w:ascii="宋体" w:cs="Times New Roman"/>
          <w:sz w:val="32"/>
          <w:szCs w:val="32"/>
        </w:rPr>
        <w:t> </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（二）完善资产管理制度，提高资产管理水平</w:t>
      </w:r>
      <w:r>
        <w:rPr>
          <w:rFonts w:ascii="宋体" w:hAnsi="宋体" w:eastAsia="楷体" w:cs="Times New Roman"/>
          <w:b/>
          <w:bCs/>
          <w:sz w:val="32"/>
          <w:szCs w:val="32"/>
        </w:rPr>
        <w:t> </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事业单位国有资产管理工作需要有相应的配套管理办法来支持实施，构筑完善的制度体系是建立事业单位国有资产管理长效机制的基础。我局为进一步提高资产管理水平，防止国有资产流失，维护国有资产的安全和完整，在工作中结合本院实际情况，积极探索与之相适应的资产管理配套实施办法，新修订了资产管理制度，加大了资产管理力度。</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（三）加强日常资产管理，规范管理程序</w:t>
      </w:r>
      <w:r>
        <w:rPr>
          <w:rFonts w:ascii="楷体" w:hAnsi="楷体" w:eastAsia="楷体" w:cs="Times New Roman"/>
          <w:b/>
          <w:bCs/>
          <w:sz w:val="32"/>
          <w:szCs w:val="32"/>
        </w:rPr>
        <w:t> </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在资产的日常管理方面，将单位国有资产层次化、集中化管理，优化国有资产的配置和分布，提升了国有资产的管理水平。</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实施“单位资产动态兼管，资源共享，资产管理与预算管理、资金管理相结合”的管理办法。</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新增（购买、接收捐赠）资产及时入账，落实保管制度，责任到人。</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资产盘亏、报废由局办公室盘点后提出资产盘亏、报废申请报告，并会同财务部门核查落实后，报财政部门审批，严格规范资产处置程序。</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落实检查制度，对各</w:t>
      </w:r>
      <w:bookmarkStart w:id="7" w:name="OLE_LINK2"/>
      <w:r>
        <w:rPr>
          <w:rFonts w:hint="eastAsia" w:ascii="仿宋" w:hAnsi="仿宋" w:eastAsia="仿宋" w:cs="仿宋"/>
          <w:sz w:val="32"/>
          <w:szCs w:val="32"/>
        </w:rPr>
        <w:t>学校、</w:t>
      </w:r>
      <w:bookmarkEnd w:id="7"/>
      <w:r>
        <w:rPr>
          <w:rFonts w:hint="eastAsia" w:ascii="仿宋" w:hAnsi="仿宋" w:eastAsia="仿宋" w:cs="仿宋"/>
          <w:sz w:val="32"/>
          <w:szCs w:val="32"/>
        </w:rPr>
        <w:t>科室资产的调配、使用、保管进行定期和不定期检查，特别是对易携带、易丢失、已损坏资产的检查，通过检查未发现有出租、出借、私自带走单位资产的现象，各学校、科室基本做到了账实相符，存放地点清楚，责任人员明确。</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各科室均加强了安全措施，本年度无资产被盗现象，使用管理人员都能做好检查维护工作，确保资产的使用性能。</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五、部门整体支出绩效情况</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2021年，县教育局突出抓改革、强教育、促发展，各方面工作稳步推进，根据《部门整体支出绩效评价指标》评分表自评得分</w:t>
      </w:r>
      <w:r>
        <w:rPr>
          <w:rFonts w:ascii="仿宋" w:hAnsi="仿宋" w:eastAsia="仿宋" w:cs="仿宋"/>
          <w:sz w:val="32"/>
          <w:szCs w:val="32"/>
        </w:rPr>
        <w:t>9</w:t>
      </w:r>
      <w:r>
        <w:rPr>
          <w:rFonts w:hint="eastAsia" w:ascii="仿宋" w:hAnsi="仿宋" w:eastAsia="仿宋" w:cs="仿宋"/>
          <w:sz w:val="32"/>
          <w:szCs w:val="32"/>
        </w:rPr>
        <w:t>0分，财政支出绩效为“优秀”。主要绩效如下：</w:t>
      </w:r>
    </w:p>
    <w:p>
      <w:pPr>
        <w:spacing w:line="500" w:lineRule="exact"/>
        <w:ind w:firstLine="720" w:firstLineChars="225"/>
        <w:rPr>
          <w:rFonts w:ascii="楷体" w:hAnsi="楷体" w:eastAsia="楷体" w:cs="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、部门支出绩效。</w:t>
      </w:r>
      <w:r>
        <w:rPr>
          <w:rFonts w:ascii="楷体" w:hAnsi="楷体" w:eastAsia="楷体" w:cs="楷体"/>
          <w:b/>
          <w:bCs/>
          <w:sz w:val="32"/>
          <w:szCs w:val="32"/>
        </w:rPr>
        <w:t xml:space="preserve"> </w:t>
      </w:r>
    </w:p>
    <w:p>
      <w:pPr>
        <w:spacing w:line="500" w:lineRule="exact"/>
        <w:ind w:firstLine="720" w:firstLineChars="225"/>
        <w:rPr>
          <w:rFonts w:ascii="仿宋" w:hAnsi="仿宋" w:eastAsia="仿宋" w:cs="Times New Roman"/>
          <w:b/>
          <w:bCs/>
          <w:sz w:val="32"/>
          <w:szCs w:val="32"/>
        </w:rPr>
      </w:pPr>
      <w:r>
        <w:rPr>
          <w:rFonts w:hint="eastAsia" w:ascii="仿宋" w:hAnsi="仿宋" w:eastAsia="仿宋" w:cs="仿宋"/>
          <w:b/>
          <w:bCs/>
          <w:sz w:val="32"/>
          <w:szCs w:val="32"/>
        </w:rPr>
        <w:t>（</w:t>
      </w:r>
      <w:r>
        <w:rPr>
          <w:rFonts w:ascii="仿宋" w:hAnsi="仿宋" w:eastAsia="仿宋" w:cs="仿宋"/>
          <w:b/>
          <w:bCs/>
          <w:sz w:val="32"/>
          <w:szCs w:val="32"/>
        </w:rPr>
        <w:t>1</w:t>
      </w:r>
      <w:r>
        <w:rPr>
          <w:rFonts w:hint="eastAsia" w:ascii="仿宋" w:hAnsi="仿宋" w:eastAsia="仿宋" w:cs="仿宋"/>
          <w:b/>
          <w:bCs/>
          <w:sz w:val="32"/>
          <w:szCs w:val="32"/>
        </w:rPr>
        <w:t>）行政运转保障。</w:t>
      </w:r>
      <w:r>
        <w:rPr>
          <w:rFonts w:hint="eastAsia" w:ascii="仿宋" w:hAnsi="仿宋" w:eastAsia="仿宋" w:cs="仿宋"/>
          <w:sz w:val="32"/>
          <w:szCs w:val="32"/>
        </w:rPr>
        <w:t>在单位的日常经费管理工作中首先保障单位基本运转，保障人员支出和日常公用经费，确保本部门教育管理工作的正常运转和人员稳定，在资金有保证的情况下着力改善办公条件。</w:t>
      </w:r>
      <w:r>
        <w:rPr>
          <w:rFonts w:ascii="仿宋" w:hAnsi="仿宋" w:eastAsia="仿宋" w:cs="仿宋"/>
          <w:sz w:val="32"/>
          <w:szCs w:val="32"/>
        </w:rPr>
        <w:t xml:space="preserve"> </w:t>
      </w:r>
    </w:p>
    <w:p>
      <w:pPr>
        <w:spacing w:line="500" w:lineRule="exact"/>
        <w:ind w:firstLine="720" w:firstLineChars="225"/>
        <w:rPr>
          <w:rFonts w:ascii="仿宋" w:hAnsi="仿宋" w:eastAsia="仿宋" w:cs="Times New Roman"/>
          <w:b/>
          <w:bCs/>
          <w:sz w:val="32"/>
          <w:szCs w:val="32"/>
        </w:rPr>
      </w:pPr>
      <w:r>
        <w:rPr>
          <w:rFonts w:hint="eastAsia" w:ascii="仿宋" w:hAnsi="仿宋" w:eastAsia="仿宋" w:cs="仿宋"/>
          <w:b/>
          <w:bCs/>
          <w:sz w:val="32"/>
          <w:szCs w:val="32"/>
        </w:rPr>
        <w:t>（</w:t>
      </w:r>
      <w:r>
        <w:rPr>
          <w:rFonts w:ascii="仿宋" w:hAnsi="仿宋" w:eastAsia="仿宋" w:cs="仿宋"/>
          <w:b/>
          <w:bCs/>
          <w:sz w:val="32"/>
          <w:szCs w:val="32"/>
        </w:rPr>
        <w:t>2</w:t>
      </w:r>
      <w:r>
        <w:rPr>
          <w:rFonts w:hint="eastAsia" w:ascii="仿宋" w:hAnsi="仿宋" w:eastAsia="仿宋" w:cs="仿宋"/>
          <w:b/>
          <w:bCs/>
          <w:sz w:val="32"/>
          <w:szCs w:val="32"/>
        </w:rPr>
        <w:t>）机关厉行节约。</w:t>
      </w:r>
      <w:r>
        <w:rPr>
          <w:rFonts w:hint="eastAsia" w:ascii="仿宋" w:hAnsi="仿宋" w:eastAsia="仿宋" w:cs="仿宋"/>
          <w:sz w:val="32"/>
          <w:szCs w:val="32"/>
        </w:rPr>
        <w:t>在保障基本运转的前提下，大力倡导厉行节约，把有限的资金用在刀刃上。2021年全年无因公出国（境）费用，公车运行维护费用全年为</w:t>
      </w:r>
      <w:r>
        <w:rPr>
          <w:rFonts w:ascii="仿宋" w:hAnsi="仿宋" w:eastAsia="仿宋" w:cs="仿宋"/>
          <w:sz w:val="32"/>
          <w:szCs w:val="32"/>
        </w:rPr>
        <w:t>0</w:t>
      </w:r>
      <w:r>
        <w:rPr>
          <w:rFonts w:hint="eastAsia" w:ascii="仿宋" w:hAnsi="仿宋" w:eastAsia="仿宋" w:cs="仿宋"/>
          <w:sz w:val="32"/>
          <w:szCs w:val="32"/>
        </w:rPr>
        <w:t>万元，公务接待经费全年为4.31万元。</w:t>
      </w:r>
      <w:r>
        <w:rPr>
          <w:rFonts w:ascii="仿宋" w:hAnsi="仿宋" w:eastAsia="仿宋" w:cs="仿宋"/>
          <w:sz w:val="32"/>
          <w:szCs w:val="32"/>
        </w:rPr>
        <w:t xml:space="preserve"> </w:t>
      </w:r>
    </w:p>
    <w:p>
      <w:pPr>
        <w:spacing w:line="500" w:lineRule="exact"/>
        <w:ind w:firstLine="720" w:firstLineChars="225"/>
        <w:rPr>
          <w:rFonts w:ascii="仿宋" w:hAnsi="仿宋" w:eastAsia="仿宋" w:cs="Times New Roman"/>
          <w:b/>
          <w:bCs/>
          <w:sz w:val="32"/>
          <w:szCs w:val="32"/>
        </w:rPr>
      </w:pPr>
      <w:r>
        <w:rPr>
          <w:rFonts w:hint="eastAsia" w:ascii="仿宋" w:hAnsi="仿宋" w:eastAsia="仿宋" w:cs="仿宋"/>
          <w:b/>
          <w:bCs/>
          <w:sz w:val="32"/>
          <w:szCs w:val="32"/>
        </w:rPr>
        <w:t>（</w:t>
      </w:r>
      <w:r>
        <w:rPr>
          <w:rFonts w:ascii="仿宋" w:hAnsi="仿宋" w:eastAsia="仿宋" w:cs="仿宋"/>
          <w:b/>
          <w:bCs/>
          <w:sz w:val="32"/>
          <w:szCs w:val="32"/>
        </w:rPr>
        <w:t>3</w:t>
      </w:r>
      <w:r>
        <w:rPr>
          <w:rFonts w:hint="eastAsia" w:ascii="仿宋" w:hAnsi="仿宋" w:eastAsia="仿宋" w:cs="仿宋"/>
          <w:b/>
          <w:bCs/>
          <w:sz w:val="32"/>
          <w:szCs w:val="32"/>
        </w:rPr>
        <w:t>）预决算公开情况。</w:t>
      </w:r>
      <w:r>
        <w:rPr>
          <w:rFonts w:hint="eastAsia" w:ascii="仿宋" w:hAnsi="仿宋" w:eastAsia="仿宋" w:cs="仿宋"/>
          <w:sz w:val="32"/>
          <w:szCs w:val="32"/>
        </w:rPr>
        <w:t>按照相关规定，本部门预决算、“三公”经费预决算、其他重要财政资金使用情况均已公开公示。</w:t>
      </w:r>
      <w:r>
        <w:rPr>
          <w:rFonts w:ascii="仿宋" w:hAnsi="仿宋" w:eastAsia="仿宋" w:cs="仿宋"/>
          <w:sz w:val="32"/>
          <w:szCs w:val="32"/>
        </w:rPr>
        <w:t xml:space="preserve"> </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六、存在的主要问题</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由于财政资金紧张，有时在资金安排和下达上较晚，部门在运用资金时受到一定的限制</w:t>
      </w:r>
      <w:r>
        <w:rPr>
          <w:rFonts w:ascii="仿宋" w:hAnsi="仿宋" w:eastAsia="仿宋" w:cs="仿宋"/>
          <w:sz w:val="32"/>
          <w:szCs w:val="32"/>
        </w:rPr>
        <w:t>,</w:t>
      </w:r>
      <w:r>
        <w:rPr>
          <w:rFonts w:hint="eastAsia" w:ascii="仿宋" w:hAnsi="仿宋" w:eastAsia="仿宋" w:cs="仿宋"/>
          <w:sz w:val="32"/>
          <w:szCs w:val="32"/>
        </w:rPr>
        <w:t>资金执行进度未按照预算逐月使用。</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七、改进措施和有关建议</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（一）加强新行政单位会计制度和新预算法学习培训</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加强新《预算法》、《行政单位会计制度》等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（二）规范账务处理，提高财务信息质量</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严格按照《会计法》、《行政单位会计制度》、《行政单位财务规则》等规定执行财务核算，并结合实际情况，完整、准确地披露相关信息，尽可能地做到决算与预算相衔接。</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（三）完善管理制度，进一步加强资产管理</w:t>
      </w:r>
    </w:p>
    <w:p>
      <w:pPr>
        <w:jc w:val="left"/>
        <w:rPr>
          <w:rFonts w:ascii="宋体" w:cs="Times New Roman"/>
          <w:color w:val="000000"/>
          <w:kern w:val="0"/>
          <w:sz w:val="32"/>
          <w:szCs w:val="32"/>
        </w:rPr>
      </w:pPr>
      <w:r>
        <w:rPr>
          <w:rFonts w:hint="eastAsia" w:ascii="仿宋" w:hAnsi="仿宋" w:eastAsia="仿宋" w:cs="仿宋"/>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ind w:firstLine="640" w:firstLineChars="200"/>
        <w:jc w:val="left"/>
        <w:rPr>
          <w:rFonts w:cs="黑体" w:asciiTheme="minorEastAsia" w:hAnsiTheme="minorEastAsia"/>
          <w:color w:val="000000"/>
          <w:kern w:val="0"/>
          <w:sz w:val="32"/>
          <w:szCs w:val="32"/>
        </w:rPr>
      </w:pPr>
    </w:p>
    <w:sectPr>
      <w:pgSz w:w="11906" w:h="16838"/>
      <w:pgMar w:top="720" w:right="720" w:bottom="136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0CDB"/>
    <w:multiLevelType w:val="singleLevel"/>
    <w:tmpl w:val="9BDD0CDB"/>
    <w:lvl w:ilvl="0" w:tentative="0">
      <w:start w:val="2"/>
      <w:numFmt w:val="chineseCounting"/>
      <w:suff w:val="nothing"/>
      <w:lvlText w:val="%1、"/>
      <w:lvlJc w:val="left"/>
      <w:rPr>
        <w:rFonts w:hint="eastAsia"/>
      </w:rPr>
    </w:lvl>
  </w:abstractNum>
  <w:abstractNum w:abstractNumId="1">
    <w:nsid w:val="F0ACA3E3"/>
    <w:multiLevelType w:val="singleLevel"/>
    <w:tmpl w:val="F0ACA3E3"/>
    <w:lvl w:ilvl="0" w:tentative="0">
      <w:start w:val="11"/>
      <w:numFmt w:val="decimal"/>
      <w:suff w:val="nothing"/>
      <w:lvlText w:val="%1、"/>
      <w:lvlJc w:val="left"/>
    </w:lvl>
  </w:abstractNum>
  <w:abstractNum w:abstractNumId="2">
    <w:nsid w:val="F7BFA2EF"/>
    <w:multiLevelType w:val="singleLevel"/>
    <w:tmpl w:val="F7BFA2EF"/>
    <w:lvl w:ilvl="0" w:tentative="0">
      <w:start w:val="2"/>
      <w:numFmt w:val="decimal"/>
      <w:suff w:val="nothing"/>
      <w:lvlText w:val="%1、"/>
      <w:lvlJc w:val="left"/>
      <w:pPr>
        <w:ind w:left="250"/>
      </w:p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TEyZmJlMTRhN2E5YTIzNTIzOGIzZDg5ZmYzNzQifQ=="/>
  </w:docVars>
  <w:rsids>
    <w:rsidRoot w:val="004506F9"/>
    <w:rsid w:val="0002229B"/>
    <w:rsid w:val="000273BD"/>
    <w:rsid w:val="000415B7"/>
    <w:rsid w:val="00041E3F"/>
    <w:rsid w:val="00055DAA"/>
    <w:rsid w:val="00061F7B"/>
    <w:rsid w:val="000658A3"/>
    <w:rsid w:val="00070137"/>
    <w:rsid w:val="00074155"/>
    <w:rsid w:val="000873EF"/>
    <w:rsid w:val="000A3F69"/>
    <w:rsid w:val="000D7511"/>
    <w:rsid w:val="00103957"/>
    <w:rsid w:val="00124A1F"/>
    <w:rsid w:val="00152C6D"/>
    <w:rsid w:val="00162D39"/>
    <w:rsid w:val="001678BD"/>
    <w:rsid w:val="00182373"/>
    <w:rsid w:val="001A67DB"/>
    <w:rsid w:val="001C3C29"/>
    <w:rsid w:val="001D351B"/>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11C8"/>
    <w:rsid w:val="003C4197"/>
    <w:rsid w:val="003C47E6"/>
    <w:rsid w:val="003C4FC2"/>
    <w:rsid w:val="003E2331"/>
    <w:rsid w:val="003E7661"/>
    <w:rsid w:val="00405BC7"/>
    <w:rsid w:val="00416E61"/>
    <w:rsid w:val="0042790C"/>
    <w:rsid w:val="0043304D"/>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613CC"/>
    <w:rsid w:val="005767CC"/>
    <w:rsid w:val="00590D9F"/>
    <w:rsid w:val="00595D26"/>
    <w:rsid w:val="005A74E6"/>
    <w:rsid w:val="005B404E"/>
    <w:rsid w:val="005D4D55"/>
    <w:rsid w:val="005E2CFB"/>
    <w:rsid w:val="005F2103"/>
    <w:rsid w:val="005F3D1C"/>
    <w:rsid w:val="00621105"/>
    <w:rsid w:val="0062378F"/>
    <w:rsid w:val="00641842"/>
    <w:rsid w:val="00651EEC"/>
    <w:rsid w:val="00686673"/>
    <w:rsid w:val="00691E8C"/>
    <w:rsid w:val="006A22C4"/>
    <w:rsid w:val="006A348B"/>
    <w:rsid w:val="006A351B"/>
    <w:rsid w:val="006B0422"/>
    <w:rsid w:val="006C1B53"/>
    <w:rsid w:val="006D7730"/>
    <w:rsid w:val="006E2153"/>
    <w:rsid w:val="006E5284"/>
    <w:rsid w:val="006F3EB5"/>
    <w:rsid w:val="00702E34"/>
    <w:rsid w:val="00704395"/>
    <w:rsid w:val="00710FE7"/>
    <w:rsid w:val="00717621"/>
    <w:rsid w:val="00720FF1"/>
    <w:rsid w:val="00727A53"/>
    <w:rsid w:val="00787B42"/>
    <w:rsid w:val="007B71C1"/>
    <w:rsid w:val="007C3E28"/>
    <w:rsid w:val="007C4539"/>
    <w:rsid w:val="007E6DBC"/>
    <w:rsid w:val="007F3657"/>
    <w:rsid w:val="00812ED5"/>
    <w:rsid w:val="008277D9"/>
    <w:rsid w:val="00830CB8"/>
    <w:rsid w:val="0084478C"/>
    <w:rsid w:val="0086638C"/>
    <w:rsid w:val="008A3E8D"/>
    <w:rsid w:val="008C7FDC"/>
    <w:rsid w:val="009237C4"/>
    <w:rsid w:val="00944C48"/>
    <w:rsid w:val="00950252"/>
    <w:rsid w:val="00967F5D"/>
    <w:rsid w:val="00986323"/>
    <w:rsid w:val="009A0F95"/>
    <w:rsid w:val="009B3ADF"/>
    <w:rsid w:val="009C3B52"/>
    <w:rsid w:val="009E6817"/>
    <w:rsid w:val="009E6E9A"/>
    <w:rsid w:val="00A01D2B"/>
    <w:rsid w:val="00A4163E"/>
    <w:rsid w:val="00A42218"/>
    <w:rsid w:val="00A70249"/>
    <w:rsid w:val="00A70B02"/>
    <w:rsid w:val="00A71D9F"/>
    <w:rsid w:val="00A823D1"/>
    <w:rsid w:val="00A92E9F"/>
    <w:rsid w:val="00B040FE"/>
    <w:rsid w:val="00B1269E"/>
    <w:rsid w:val="00B33BEA"/>
    <w:rsid w:val="00B57C9F"/>
    <w:rsid w:val="00B63572"/>
    <w:rsid w:val="00B845B3"/>
    <w:rsid w:val="00B85D8B"/>
    <w:rsid w:val="00BA6300"/>
    <w:rsid w:val="00BB4A40"/>
    <w:rsid w:val="00BD6C3E"/>
    <w:rsid w:val="00BE3674"/>
    <w:rsid w:val="00C10681"/>
    <w:rsid w:val="00C3049A"/>
    <w:rsid w:val="00C31B1E"/>
    <w:rsid w:val="00C60701"/>
    <w:rsid w:val="00C77645"/>
    <w:rsid w:val="00C873BB"/>
    <w:rsid w:val="00C92794"/>
    <w:rsid w:val="00CD08A2"/>
    <w:rsid w:val="00CE04C3"/>
    <w:rsid w:val="00CE76A0"/>
    <w:rsid w:val="00D148C6"/>
    <w:rsid w:val="00D17A8A"/>
    <w:rsid w:val="00D353DE"/>
    <w:rsid w:val="00D415BA"/>
    <w:rsid w:val="00D63780"/>
    <w:rsid w:val="00D644EE"/>
    <w:rsid w:val="00D75489"/>
    <w:rsid w:val="00DD06FF"/>
    <w:rsid w:val="00DD5FE9"/>
    <w:rsid w:val="00E00C7A"/>
    <w:rsid w:val="00E163F9"/>
    <w:rsid w:val="00E209CF"/>
    <w:rsid w:val="00E24352"/>
    <w:rsid w:val="00E37D6C"/>
    <w:rsid w:val="00E55B68"/>
    <w:rsid w:val="00E67BE6"/>
    <w:rsid w:val="00E8683C"/>
    <w:rsid w:val="00EA2B72"/>
    <w:rsid w:val="00F74360"/>
    <w:rsid w:val="00F909A3"/>
    <w:rsid w:val="00FB462F"/>
    <w:rsid w:val="00FE16FA"/>
    <w:rsid w:val="00FE328A"/>
    <w:rsid w:val="00FE6269"/>
    <w:rsid w:val="00FF5CD6"/>
    <w:rsid w:val="03F037A0"/>
    <w:rsid w:val="08BA0844"/>
    <w:rsid w:val="098305E9"/>
    <w:rsid w:val="0ABC5E13"/>
    <w:rsid w:val="0C6D2071"/>
    <w:rsid w:val="0FB73D2F"/>
    <w:rsid w:val="11FA01FC"/>
    <w:rsid w:val="1411479B"/>
    <w:rsid w:val="142B6A9A"/>
    <w:rsid w:val="15F408DB"/>
    <w:rsid w:val="1ABA2944"/>
    <w:rsid w:val="1AE03D00"/>
    <w:rsid w:val="1B304996"/>
    <w:rsid w:val="1C0F22D1"/>
    <w:rsid w:val="1E364A25"/>
    <w:rsid w:val="24806158"/>
    <w:rsid w:val="24CE705B"/>
    <w:rsid w:val="278510AA"/>
    <w:rsid w:val="2D772382"/>
    <w:rsid w:val="31C9380E"/>
    <w:rsid w:val="34AC1301"/>
    <w:rsid w:val="3C7772DC"/>
    <w:rsid w:val="3CEA279F"/>
    <w:rsid w:val="3FDB2FAD"/>
    <w:rsid w:val="405E15A1"/>
    <w:rsid w:val="443305F7"/>
    <w:rsid w:val="466E61EE"/>
    <w:rsid w:val="47E349BA"/>
    <w:rsid w:val="50BB4319"/>
    <w:rsid w:val="511F7D8D"/>
    <w:rsid w:val="51675575"/>
    <w:rsid w:val="548C2AC6"/>
    <w:rsid w:val="590F2107"/>
    <w:rsid w:val="5FEA2274"/>
    <w:rsid w:val="60395112"/>
    <w:rsid w:val="647F7A80"/>
    <w:rsid w:val="6B1B6095"/>
    <w:rsid w:val="6FB5245D"/>
    <w:rsid w:val="70A73F27"/>
    <w:rsid w:val="75183646"/>
    <w:rsid w:val="7AE85F45"/>
    <w:rsid w:val="7E153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副标题 Char"/>
    <w:basedOn w:val="7"/>
    <w:link w:val="5"/>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Workbook3.xlsx"/><Relationship Id="rId7" Type="http://schemas.openxmlformats.org/officeDocument/2006/relationships/image" Target="media/image2.emf"/><Relationship Id="rId6" Type="http://schemas.openxmlformats.org/officeDocument/2006/relationships/package" Target="embeddings/Workbook2.xlsx"/><Relationship Id="rId5" Type="http://schemas.openxmlformats.org/officeDocument/2006/relationships/image" Target="media/image1.emf"/><Relationship Id="rId4" Type="http://schemas.openxmlformats.org/officeDocument/2006/relationships/package" Target="embeddings/Workbook1.xlsx"/><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9.emf"/><Relationship Id="rId20" Type="http://schemas.openxmlformats.org/officeDocument/2006/relationships/package" Target="embeddings/Workbook9.xlsx"/><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Workbook8.xlsx"/><Relationship Id="rId17" Type="http://schemas.openxmlformats.org/officeDocument/2006/relationships/image" Target="media/image7.emf"/><Relationship Id="rId16" Type="http://schemas.openxmlformats.org/officeDocument/2006/relationships/package" Target="embeddings/Workbook7.xlsx"/><Relationship Id="rId15" Type="http://schemas.openxmlformats.org/officeDocument/2006/relationships/image" Target="media/image6.emf"/><Relationship Id="rId14" Type="http://schemas.openxmlformats.org/officeDocument/2006/relationships/package" Target="embeddings/Workbook6.xlsx"/><Relationship Id="rId13" Type="http://schemas.openxmlformats.org/officeDocument/2006/relationships/image" Target="media/image5.emf"/><Relationship Id="rId12" Type="http://schemas.openxmlformats.org/officeDocument/2006/relationships/package" Target="embeddings/Workbook5.xlsx"/><Relationship Id="rId11" Type="http://schemas.openxmlformats.org/officeDocument/2006/relationships/image" Target="media/image4.emf"/><Relationship Id="rId10" Type="http://schemas.openxmlformats.org/officeDocument/2006/relationships/package" Target="embeddings/Workbook4.xls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D2C5-6924-4962-9555-B8F838BB51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7137</Words>
  <Characters>8033</Characters>
  <Lines>57</Lines>
  <Paragraphs>16</Paragraphs>
  <TotalTime>3</TotalTime>
  <ScaleCrop>false</ScaleCrop>
  <LinksUpToDate>false</LinksUpToDate>
  <CharactersWithSpaces>8071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2022-09-09T02:57:17Z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64B7BED9565C482386DF5B603388896B</vt:lpwstr>
  </property>
</Properties>
</file>