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 w:val="0"/>
          <w:bCs/>
          <w:kern w:val="0"/>
          <w:sz w:val="36"/>
          <w:szCs w:val="36"/>
        </w:rPr>
      </w:pPr>
    </w:p>
    <w:p>
      <w:pPr>
        <w:widowControl/>
        <w:spacing w:line="600" w:lineRule="exact"/>
        <w:jc w:val="center"/>
        <w:rPr>
          <w:rFonts w:hint="eastAsia" w:ascii="楷体" w:hAnsi="楷体" w:eastAsia="楷体" w:cs="楷体"/>
          <w:b/>
          <w:bCs w:val="0"/>
          <w:kern w:val="0"/>
          <w:sz w:val="32"/>
          <w:szCs w:val="32"/>
        </w:rPr>
      </w:pPr>
      <w:r>
        <w:rPr>
          <w:rFonts w:hint="eastAsia" w:ascii="楷体" w:hAnsi="楷体" w:eastAsia="楷体" w:cs="楷体"/>
          <w:b/>
          <w:bCs w:val="0"/>
          <w:kern w:val="0"/>
          <w:sz w:val="32"/>
          <w:szCs w:val="32"/>
        </w:rPr>
        <w:t>第三部分 相关说明</w:t>
      </w:r>
    </w:p>
    <w:p>
      <w:pPr>
        <w:widowControl/>
        <w:spacing w:line="600" w:lineRule="exact"/>
        <w:jc w:val="center"/>
        <w:rPr>
          <w:rFonts w:hint="eastAsia" w:ascii="楷体" w:hAnsi="楷体" w:eastAsia="楷体" w:cs="楷体"/>
          <w:b w:val="0"/>
          <w:bCs/>
          <w:kern w:val="0"/>
          <w:sz w:val="32"/>
          <w:szCs w:val="32"/>
        </w:rPr>
      </w:pPr>
    </w:p>
    <w:p>
      <w:pPr>
        <w:pStyle w:val="15"/>
        <w:numPr>
          <w:ilvl w:val="0"/>
          <w:numId w:val="1"/>
        </w:numPr>
        <w:spacing w:line="600" w:lineRule="exact"/>
        <w:ind w:firstLineChars="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 xml:space="preserve"> 、2024年上级税收返还和转移支付执行情况说明</w:t>
      </w:r>
    </w:p>
    <w:p>
      <w:pPr>
        <w:spacing w:line="600" w:lineRule="exact"/>
        <w:ind w:firstLine="63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（一）、2024年对下税收返还和转移支付情况</w:t>
      </w:r>
    </w:p>
    <w:p>
      <w:pPr>
        <w:spacing w:line="600" w:lineRule="exact"/>
        <w:ind w:firstLine="63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2024年我县对下税收返还和转移支付决算数为0.</w:t>
      </w:r>
    </w:p>
    <w:p>
      <w:pPr>
        <w:spacing w:line="600" w:lineRule="exact"/>
        <w:ind w:firstLine="63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（二）、2024年上级税收返还和转移支付情况</w:t>
      </w:r>
    </w:p>
    <w:p>
      <w:pPr>
        <w:spacing w:line="60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2024年我县积极争取，上级税收返还及转移支付补助450519万元，比上年减少16612万元。具体情况如下：</w:t>
      </w:r>
    </w:p>
    <w:p>
      <w:pPr>
        <w:spacing w:line="60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1、返还性收入7440万元，与上年持平。其中所得税基数返还收入191万元；成品油税费改革税收返还收入1294万元；增值税税收返还收入2923万元；消费税税收返还收入24万元；增值税“五五分享”税收返还收入1570万元；其他返还性收入1438万元。</w:t>
      </w:r>
    </w:p>
    <w:p>
      <w:pPr>
        <w:spacing w:line="600" w:lineRule="exact"/>
        <w:ind w:firstLine="640" w:firstLineChars="200"/>
        <w:rPr>
          <w:rFonts w:hint="eastAsia" w:ascii="楷体" w:hAnsi="楷体" w:eastAsia="楷体" w:cs="楷体"/>
          <w:b w:val="0"/>
          <w:bCs/>
          <w:sz w:val="32"/>
          <w:szCs w:val="32"/>
        </w:rPr>
      </w:pPr>
      <w:r>
        <w:rPr>
          <w:rFonts w:hint="eastAsia" w:ascii="楷体" w:hAnsi="楷体" w:eastAsia="楷体" w:cs="楷体"/>
          <w:b w:val="0"/>
          <w:bCs/>
          <w:color w:val="000000"/>
          <w:sz w:val="32"/>
          <w:szCs w:val="32"/>
        </w:rPr>
        <w:t>2、一般性转移支付收入410819万元，较上年下降5.34%（主要是上级对转移支付结构性调整所致）。</w:t>
      </w:r>
      <w:r>
        <w:rPr>
          <w:rFonts w:hint="eastAsia" w:ascii="楷体" w:hAnsi="楷体" w:eastAsia="楷体" w:cs="楷体"/>
          <w:b w:val="0"/>
          <w:bCs/>
          <w:sz w:val="32"/>
          <w:szCs w:val="32"/>
        </w:rPr>
        <w:t>其中：均衡性转移支付收入148499万元；县级基本财力保障机制奖补收入43877万元；结算补助收入5170万元；资源枯竭开型城市转移支付补助收入851万元；企事业单位划转补助收入545万元；产粮大县奖励资金收入5054万元；重点生态功能区转移支付收入12660万元；固定数额补助收入18246万元；革命老区转移支付收入3534万元;巩固脱贫攻坚成果衔接乡村振兴转移支付收入17971万元；一般公共服务共同财政事权转移支付收入15万元；  公共安全共同财政事权转移支付收入1756万元；教育共同财政事权转移支付收入34676万元；科学技术共同财政事权转移支付收入149万元；文化旅游体育与传媒共同财政事权转移支付收入1422万元；社会保障和就业共同财政事权转移支付收入50414万元；医疗卫生共同财政事权转移支付收入16363万元；节能环保共同财政事权转移支付收入1078万元；农林水共同财政事权转移支付收入31413万元；交通运输共同财政事权转移支付收入10819万元；住房保障共同财政事权转移支付收入1269万元；粮油物资储备共同财政事权转移支付收入186万元；灾害防治及应急管理共同财政事权转移支付收入1592万元；其他一般性转移支付收入3260万元。</w:t>
      </w:r>
    </w:p>
    <w:p>
      <w:pPr>
        <w:spacing w:line="600" w:lineRule="exact"/>
        <w:ind w:firstLine="320" w:firstLineChars="100"/>
        <w:rPr>
          <w:rFonts w:hint="eastAsia" w:ascii="楷体" w:hAnsi="楷体" w:eastAsia="楷体" w:cs="楷体"/>
          <w:b w:val="0"/>
          <w:bCs/>
          <w:kern w:val="0"/>
          <w:sz w:val="32"/>
          <w:szCs w:val="32"/>
        </w:rPr>
      </w:pPr>
      <w:r>
        <w:rPr>
          <w:rFonts w:hint="eastAsia" w:ascii="楷体" w:hAnsi="楷体" w:eastAsia="楷体" w:cs="楷体"/>
          <w:b w:val="0"/>
          <w:bCs/>
          <w:sz w:val="32"/>
          <w:szCs w:val="32"/>
        </w:rPr>
        <w:t>3、</w:t>
      </w:r>
      <w:r>
        <w:rPr>
          <w:rFonts w:hint="eastAsia" w:ascii="楷体" w:hAnsi="楷体" w:eastAsia="楷体" w:cs="楷体"/>
          <w:b w:val="0"/>
          <w:bCs/>
          <w:color w:val="000000"/>
          <w:sz w:val="32"/>
          <w:szCs w:val="32"/>
        </w:rPr>
        <w:t>专项转移支付收入32260万元，较上年增加25.62%（主要是上级对转移支付结构性调整所致）。其中一般公共服务3699万元；公共安全83万元；教育634万元；科学技术232万元；文化旅游体验与传媒456万元；社会保障和就业661万元；卫生健康791万元；节能环保2317万元；城乡社区407万元；农林水8876万元；交通运输5465万元；资源勘探信息等2410万元；商业服务业等165万元；金融20万元；自然资源海洋气象等437万元；住房保障支出2329万元；粮油物资储备94万元；灾害防治及应急管理2695万元；其他收入489万元。</w:t>
      </w:r>
    </w:p>
    <w:p>
      <w:pPr>
        <w:spacing w:line="580" w:lineRule="exact"/>
        <w:ind w:firstLine="640" w:firstLineChars="200"/>
        <w:rPr>
          <w:rFonts w:hint="eastAsia" w:ascii="楷体" w:hAnsi="楷体" w:eastAsia="楷体" w:cs="楷体"/>
          <w:b w:val="0"/>
          <w:bCs/>
          <w:color w:val="000000"/>
          <w:sz w:val="32"/>
          <w:szCs w:val="32"/>
        </w:rPr>
      </w:pPr>
    </w:p>
    <w:p>
      <w:pPr>
        <w:spacing w:line="580" w:lineRule="exact"/>
        <w:ind w:firstLine="643" w:firstLineChars="20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二、溆浦县2024年举借政府债务情况说明</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1、地方政府债务限额情况</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根据《湖南省财政厅关于做好2015年地方政府债务限额管理工作的通知》（湘财预〔2015〕132号）精神，我县2024年末政府债务限额为83.83亿元，其中一般债务限额38.13亿元，专项债务限额45.70亿元。</w:t>
      </w:r>
    </w:p>
    <w:p>
      <w:pPr>
        <w:spacing w:line="580" w:lineRule="exact"/>
        <w:ind w:firstLine="640" w:firstLineChars="200"/>
        <w:rPr>
          <w:rFonts w:hint="eastAsia" w:ascii="楷体" w:hAnsi="楷体" w:eastAsia="楷体" w:cs="楷体"/>
          <w:b w:val="0"/>
          <w:bCs/>
          <w:color w:val="000000" w:themeColor="text1"/>
          <w:sz w:val="32"/>
          <w:szCs w:val="32"/>
          <w:highlight w:val="none"/>
        </w:rPr>
      </w:pPr>
      <w:r>
        <w:rPr>
          <w:rFonts w:hint="eastAsia" w:ascii="楷体" w:hAnsi="楷体" w:eastAsia="楷体" w:cs="楷体"/>
          <w:b w:val="0"/>
          <w:bCs/>
          <w:color w:val="000000" w:themeColor="text1"/>
          <w:sz w:val="32"/>
          <w:szCs w:val="32"/>
          <w:highlight w:val="none"/>
        </w:rPr>
        <w:t>2、地方政府债券发行情况</w:t>
      </w:r>
    </w:p>
    <w:p>
      <w:pPr>
        <w:spacing w:line="580" w:lineRule="exact"/>
        <w:ind w:firstLine="640" w:firstLineChars="200"/>
        <w:rPr>
          <w:rFonts w:hint="eastAsia" w:ascii="楷体" w:hAnsi="楷体" w:eastAsia="楷体" w:cs="楷体"/>
          <w:b w:val="0"/>
          <w:bCs/>
          <w:color w:val="000000" w:themeColor="text1"/>
          <w:sz w:val="32"/>
          <w:szCs w:val="32"/>
          <w:highlight w:val="none"/>
        </w:rPr>
      </w:pPr>
      <w:r>
        <w:rPr>
          <w:rFonts w:hint="eastAsia" w:ascii="楷体" w:hAnsi="楷体" w:eastAsia="楷体" w:cs="楷体"/>
          <w:b w:val="0"/>
          <w:bCs/>
          <w:color w:val="000000" w:themeColor="text1"/>
          <w:sz w:val="32"/>
          <w:szCs w:val="32"/>
          <w:highlight w:val="none"/>
        </w:rPr>
        <w:t>2024年我县新增债券额度增加16.02亿元，其中新增一般债券1.63亿元、再融资债券5.02亿元。新增专项债券9.37亿元。</w:t>
      </w:r>
    </w:p>
    <w:p>
      <w:pPr>
        <w:spacing w:line="580" w:lineRule="exact"/>
        <w:ind w:firstLine="640" w:firstLineChars="200"/>
        <w:rPr>
          <w:rFonts w:hint="eastAsia" w:ascii="楷体" w:hAnsi="楷体" w:eastAsia="楷体" w:cs="楷体"/>
          <w:b w:val="0"/>
          <w:bCs/>
          <w:color w:val="000000" w:themeColor="text1"/>
          <w:sz w:val="32"/>
          <w:szCs w:val="32"/>
          <w:highlight w:val="none"/>
        </w:rPr>
      </w:pPr>
      <w:r>
        <w:rPr>
          <w:rFonts w:hint="eastAsia" w:ascii="楷体" w:hAnsi="楷体" w:eastAsia="楷体" w:cs="楷体"/>
          <w:b w:val="0"/>
          <w:bCs/>
          <w:color w:val="000000" w:themeColor="text1"/>
          <w:sz w:val="32"/>
          <w:szCs w:val="32"/>
          <w:highlight w:val="none"/>
        </w:rPr>
        <w:t>新增一般债券1.63亿元，安排国省干线、农村公路0.32亿元，2023年农村公路安防工程0.15亿元，监管中心项目0.11亿元，徐特立项目建设0.16亿元，水利国债配套资金0.4208亿元，其他22个项目共0.4692亿元。已拨付项目资金1.1702亿元，主要是：国省干线、农村公路0.1201亿元，徐特立项目建设0.16亿元，水利国债配套资金0.3996亿元，其他24个项目共0.4905亿元。</w:t>
      </w:r>
    </w:p>
    <w:p>
      <w:pPr>
        <w:spacing w:line="580" w:lineRule="exact"/>
        <w:ind w:firstLine="640" w:firstLineChars="200"/>
        <w:rPr>
          <w:rFonts w:hint="eastAsia" w:ascii="楷体" w:hAnsi="楷体" w:eastAsia="楷体" w:cs="楷体"/>
          <w:b w:val="0"/>
          <w:bCs/>
          <w:color w:val="000000" w:themeColor="text1"/>
          <w:sz w:val="32"/>
          <w:szCs w:val="32"/>
          <w:highlight w:val="none"/>
        </w:rPr>
      </w:pPr>
      <w:r>
        <w:rPr>
          <w:rFonts w:hint="eastAsia" w:ascii="楷体" w:hAnsi="楷体" w:eastAsia="楷体" w:cs="楷体"/>
          <w:b w:val="0"/>
          <w:bCs/>
          <w:color w:val="000000" w:themeColor="text1"/>
          <w:sz w:val="32"/>
          <w:szCs w:val="32"/>
          <w:highlight w:val="none"/>
        </w:rPr>
        <w:t>新增专项债券9.37亿元，主要用于溆浦县现代农业产业园基础设施建设项目（一期）0.62亿元、溆浦县全民健身中心建设项目1.33亿元、溆浦县学前教育提质改造及改扩建项目0.63亿元、溆浦县智慧停车项目1.01亿元，溆浦产业开发区工业水厂及管网配套设施建设项目0.81亿元，城投置换隐性债项目4.97亿元。</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3、地方政府债务余额情况</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2023年末，我县政府债务余额为723870万元，全部为未偿还的地方政府债券资金，其中一般债券余额364921万元，专项债券余额358949万元。</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2024年12月底</w:t>
      </w:r>
      <w:bookmarkStart w:id="0" w:name="_GoBack"/>
      <w:bookmarkEnd w:id="0"/>
      <w:r>
        <w:rPr>
          <w:rFonts w:hint="eastAsia" w:ascii="楷体" w:hAnsi="楷体" w:eastAsia="楷体" w:cs="楷体"/>
          <w:b w:val="0"/>
          <w:bCs/>
          <w:color w:val="000000"/>
          <w:sz w:val="32"/>
          <w:szCs w:val="32"/>
        </w:rPr>
        <w:t>，我县政府债务余额为82.82亿元，全部为未偿还的地方政府债券资金，其中一般债券余额37.93亿元，专项债券余额44.89亿元。</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4、地方政府债务还本付息情况</w:t>
      </w:r>
    </w:p>
    <w:p>
      <w:pPr>
        <w:spacing w:line="540" w:lineRule="exact"/>
        <w:ind w:firstLine="645"/>
        <w:rPr>
          <w:rFonts w:hint="eastAsia" w:ascii="楷体" w:hAnsi="楷体" w:eastAsia="楷体" w:cs="楷体"/>
          <w:b w:val="0"/>
          <w:bCs/>
          <w:sz w:val="32"/>
          <w:szCs w:val="32"/>
        </w:rPr>
      </w:pPr>
      <w:r>
        <w:rPr>
          <w:rFonts w:hint="eastAsia" w:ascii="楷体" w:hAnsi="楷体" w:eastAsia="楷体" w:cs="楷体"/>
          <w:b w:val="0"/>
          <w:bCs/>
          <w:color w:val="000000"/>
          <w:sz w:val="32"/>
          <w:szCs w:val="32"/>
        </w:rPr>
        <w:t>2024年，我县偿还债券资金利息21322.10万元，其中一般债券利息9136.42万元、专项债券利息12185.68万元。</w:t>
      </w:r>
    </w:p>
    <w:p>
      <w:pPr>
        <w:spacing w:line="580" w:lineRule="exact"/>
        <w:ind w:firstLine="640" w:firstLineChars="200"/>
        <w:rPr>
          <w:rFonts w:hint="eastAsia" w:ascii="楷体" w:hAnsi="楷体" w:eastAsia="楷体" w:cs="楷体"/>
          <w:b w:val="0"/>
          <w:bCs/>
          <w:color w:val="000000" w:themeColor="text1"/>
          <w:kern w:val="0"/>
          <w:sz w:val="32"/>
          <w:szCs w:val="32"/>
        </w:rPr>
      </w:pPr>
      <w:r>
        <w:rPr>
          <w:rFonts w:hint="eastAsia" w:ascii="楷体" w:hAnsi="楷体" w:eastAsia="楷体" w:cs="楷体"/>
          <w:b w:val="0"/>
          <w:bCs/>
          <w:color w:val="000000" w:themeColor="text1"/>
          <w:kern w:val="0"/>
          <w:sz w:val="32"/>
          <w:szCs w:val="32"/>
        </w:rPr>
        <w:t>三、溆浦县2024年“三公”经费决算情况说明</w:t>
      </w:r>
    </w:p>
    <w:p>
      <w:pPr>
        <w:spacing w:line="580" w:lineRule="exact"/>
        <w:ind w:firstLine="640" w:firstLineChars="200"/>
        <w:rPr>
          <w:rFonts w:hint="eastAsia" w:ascii="楷体" w:hAnsi="楷体" w:eastAsia="楷体" w:cs="楷体"/>
          <w:b w:val="0"/>
          <w:bCs/>
          <w:color w:val="000000" w:themeColor="text1"/>
          <w:kern w:val="0"/>
          <w:sz w:val="32"/>
          <w:szCs w:val="32"/>
        </w:rPr>
      </w:pPr>
      <w:r>
        <w:rPr>
          <w:rFonts w:hint="eastAsia" w:ascii="楷体" w:hAnsi="楷体" w:eastAsia="楷体" w:cs="楷体"/>
          <w:b w:val="0"/>
          <w:bCs/>
          <w:color w:val="000000" w:themeColor="text1"/>
          <w:kern w:val="0"/>
          <w:sz w:val="32"/>
          <w:szCs w:val="32"/>
        </w:rPr>
        <w:t>1、2024年公务用车运行费预算数含公务用车购置费预算数。</w:t>
      </w:r>
    </w:p>
    <w:p>
      <w:pPr>
        <w:spacing w:line="580" w:lineRule="exact"/>
        <w:ind w:firstLine="640" w:firstLineChars="200"/>
        <w:rPr>
          <w:rFonts w:hint="eastAsia" w:ascii="楷体" w:hAnsi="楷体" w:eastAsia="楷体" w:cs="楷体"/>
          <w:b w:val="0"/>
          <w:bCs/>
          <w:color w:val="000000" w:themeColor="text1"/>
          <w:kern w:val="0"/>
          <w:sz w:val="32"/>
          <w:szCs w:val="32"/>
        </w:rPr>
      </w:pPr>
      <w:r>
        <w:rPr>
          <w:rFonts w:hint="eastAsia" w:ascii="楷体" w:hAnsi="楷体" w:eastAsia="楷体" w:cs="楷体"/>
          <w:b w:val="0"/>
          <w:bCs/>
          <w:color w:val="000000" w:themeColor="text1"/>
          <w:kern w:val="0"/>
          <w:sz w:val="32"/>
          <w:szCs w:val="32"/>
        </w:rPr>
        <w:t>2、2024年三公经费支出984.23万元，较上年增加73.01万元，增加8.00%。其中：严格控制出国（境）支出，出国经费</w:t>
      </w:r>
      <w:r>
        <w:rPr>
          <w:rFonts w:hint="eastAsia" w:ascii="楷体" w:hAnsi="楷体" w:eastAsia="楷体" w:cs="楷体"/>
          <w:b w:val="0"/>
          <w:bCs/>
          <w:color w:val="000000" w:themeColor="text1"/>
          <w:kern w:val="0"/>
          <w:sz w:val="32"/>
          <w:szCs w:val="32"/>
          <w:lang w:eastAsia="zh-CN"/>
        </w:rPr>
        <w:t>仅</w:t>
      </w:r>
      <w:r>
        <w:rPr>
          <w:rFonts w:hint="eastAsia" w:ascii="楷体" w:hAnsi="楷体" w:eastAsia="楷体" w:cs="楷体"/>
          <w:b w:val="0"/>
          <w:bCs/>
          <w:color w:val="000000" w:themeColor="text1"/>
          <w:kern w:val="0"/>
          <w:sz w:val="32"/>
          <w:szCs w:val="32"/>
        </w:rPr>
        <w:t>为0.95万元；公务用车购置费242.43万元，较上年增加166.81万元，增长2.21%，主要是我县公务需要增加车辆购置费；公务用车运行维护费585.32万元，较上年减少33.73万元，下降5%，主要是我县严格控制车辆使用成本；公务接待费支出155.53万元，较上年减少61.02万元，减少0.28%，我县严格控制公务接待活动费用。</w:t>
      </w:r>
    </w:p>
    <w:p>
      <w:pPr>
        <w:spacing w:line="580" w:lineRule="exact"/>
        <w:ind w:firstLine="640" w:firstLineChars="200"/>
        <w:rPr>
          <w:rFonts w:hint="eastAsia" w:ascii="楷体" w:hAnsi="楷体" w:eastAsia="楷体" w:cs="楷体"/>
          <w:b w:val="0"/>
          <w:bCs/>
          <w:color w:val="000000" w:themeColor="text1"/>
          <w:kern w:val="0"/>
          <w:sz w:val="32"/>
          <w:szCs w:val="32"/>
        </w:rPr>
      </w:pPr>
      <w:r>
        <w:rPr>
          <w:rFonts w:hint="eastAsia" w:ascii="楷体" w:hAnsi="楷体" w:eastAsia="楷体" w:cs="楷体"/>
          <w:b w:val="0"/>
          <w:bCs/>
          <w:color w:val="000000" w:themeColor="text1"/>
          <w:kern w:val="0"/>
          <w:sz w:val="32"/>
          <w:szCs w:val="32"/>
        </w:rPr>
        <w:t>3、公务用车购置费和公务用车运行费支出827.75万元，较预算减少96.27万元，下降10.41%.主要是我县严控车辆购置和车辆运行预算支出。</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ab/>
      </w:r>
      <w:r>
        <w:rPr>
          <w:rFonts w:hint="eastAsia" w:ascii="楷体" w:hAnsi="楷体" w:eastAsia="楷体" w:cs="楷体"/>
          <w:b w:val="0"/>
          <w:bCs/>
          <w:color w:val="000000"/>
          <w:sz w:val="32"/>
          <w:szCs w:val="32"/>
        </w:rPr>
        <w:t>四、预算绩效管理工作开展情况</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2024年，编制预算时，我县部门预算单位预算资金全部纳入绩效目标管理，其中部门整体支出绩效目标管理资金59.39亿元（项目支出绩效目标管理资金39.97亿元），预算执行时，为深化绩效监控，促进绩效目标实现，我县采取单位自控和财政审核相结合的方式，对绩效运行全过程进行跟踪监督，对偏离绩效目标、计划进度滞后、预算执行缓慢的项目及时督促整改。着力确保项目绩效目标顺利实现。项目完成后，采取“三位一体”绩效评价方式，即通过部门自评、财政再评价、第三方评价，对项目绩效情况出具绩效评价报告，及时向社会公开，并将绩效评价结果作为下年度预算编制的重要依据。</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五、2024年重大政策和重点项目绩效执行结果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根据县预算绩效管理工作计划安排，我局围绕县委、县政府重大决策部署，选择部分项目作为县级财政重点绩效评价对象，覆盖教育、民生等重点领域。现随政府决算公开2024年重大政策和重点项目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（一）城区园林绿化项目绩效执行结果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城区园林绿化管护专项资金321.6万元，是县城市管理和综合执法局职能范围内的持续性项目。主要用于绿地管理养护、环境卫生清扫保洁、市政配套设施维护、安全保护及基础设施管护。该项目的实施改善了居民的居住环境，保护了水源和水质，减少空气污染，维护生态平衡，改善了城市生态环境，促进城市经济发展，提升城市人文景观，增强城市生态效益。</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（二）县农业保险保费补贴项目绩效执行结果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2024年该项目各预算层次农业保险费财政补贴专项资金4284.15万元，主要用于对大豆、玉米、水稻完全成本、水稻制种、油菜、商品林、公益林、能繁母猪、育肥猪、生猪价格“保险+期货”、生猪饲料价格指数等十一个险种。农业保险补贴的投入促进了农业生产经营者对农业生产要素投入的增加，稳定和提高农民收入，分散农业风险与补偿农业损失。</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（三）县机关社保养老财政补助资金绩效执行结果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该项目是指政府在机关、事业单位范围内，经过立法，对因年老、患病、伤残、失业等原因，暂时或永久丧失劳动能力的工作人员给予物质帮助的一种社会保障制度。长期以来实行退休金制度，有力的保障了机关事业单位退休人员的生活，维护了社会的稳定。</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（四）县污水处理项目资金绩效执行结果</w:t>
      </w:r>
    </w:p>
    <w:p>
      <w:pPr>
        <w:spacing w:line="580" w:lineRule="exact"/>
        <w:ind w:firstLine="640" w:firstLineChars="200"/>
        <w:rPr>
          <w:rFonts w:hint="eastAsia" w:ascii="楷体" w:hAnsi="楷体" w:eastAsia="楷体" w:cs="楷体"/>
          <w:b w:val="0"/>
          <w:bCs/>
          <w:color w:val="000000"/>
          <w:sz w:val="32"/>
          <w:szCs w:val="32"/>
        </w:rPr>
      </w:pPr>
      <w:r>
        <w:rPr>
          <w:rFonts w:hint="eastAsia" w:ascii="楷体" w:hAnsi="楷体" w:eastAsia="楷体" w:cs="楷体"/>
          <w:b w:val="0"/>
          <w:bCs/>
          <w:color w:val="000000"/>
          <w:sz w:val="32"/>
          <w:szCs w:val="32"/>
        </w:rPr>
        <w:t>污水处理专项资金616万元，该项目旨在提升污水处理能力保障区域水质安全和生态平衡，2024年度重点覆盖居民生活污水处理及管网维护，主要目标为提高污水处理率降低污染物排放量。全年完成处理污水633.8万吨；污染物（COD/BOD等）去除率达到行业标准（95%以上）。完成泵站、管网等设施巡检维护12次，无重大设备故障记录。减少水体污染，区域水质改善达标率100%；污泥无害化处置率达95%以上。有效降低居民健康风险，居民满意度大大提升。</w:t>
      </w:r>
    </w:p>
    <w:p>
      <w:pPr>
        <w:rPr>
          <w:rFonts w:hint="eastAsia" w:ascii="楷体" w:hAnsi="楷体" w:eastAsia="楷体" w:cs="楷体"/>
          <w:b w:val="0"/>
          <w:bCs/>
          <w:sz w:val="28"/>
          <w:szCs w:val="28"/>
        </w:rPr>
      </w:pPr>
      <w:r>
        <w:rPr>
          <w:rFonts w:hint="eastAsia" w:ascii="楷体" w:hAnsi="楷体" w:eastAsia="楷体" w:cs="楷体"/>
          <w:b w:val="0"/>
          <w:bCs/>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7A"/>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66201"/>
    <w:multiLevelType w:val="multilevel"/>
    <w:tmpl w:val="60666201"/>
    <w:lvl w:ilvl="0" w:tentative="0">
      <w:start w:val="1"/>
      <w:numFmt w:val="japaneseCounting"/>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Q0MmQ0MTc5MDQ5ZDk2NjU3YjUxOTg0MGZhM2M3ZGQifQ=="/>
  </w:docVars>
  <w:rsids>
    <w:rsidRoot w:val="003D7EDB"/>
    <w:rsid w:val="000B532B"/>
    <w:rsid w:val="000E7EE8"/>
    <w:rsid w:val="00123FBB"/>
    <w:rsid w:val="00137AEC"/>
    <w:rsid w:val="00167FE4"/>
    <w:rsid w:val="0017722A"/>
    <w:rsid w:val="00177766"/>
    <w:rsid w:val="00184BB0"/>
    <w:rsid w:val="00235CCA"/>
    <w:rsid w:val="002572AD"/>
    <w:rsid w:val="002F0245"/>
    <w:rsid w:val="00363E94"/>
    <w:rsid w:val="003A1D2E"/>
    <w:rsid w:val="003B7F65"/>
    <w:rsid w:val="003D5EE5"/>
    <w:rsid w:val="003D7EDB"/>
    <w:rsid w:val="003E7F1E"/>
    <w:rsid w:val="003F02FA"/>
    <w:rsid w:val="003F075F"/>
    <w:rsid w:val="003F59FA"/>
    <w:rsid w:val="00435683"/>
    <w:rsid w:val="00443602"/>
    <w:rsid w:val="00485E8B"/>
    <w:rsid w:val="00494510"/>
    <w:rsid w:val="004B10F2"/>
    <w:rsid w:val="004B5738"/>
    <w:rsid w:val="004F20B9"/>
    <w:rsid w:val="005B0A47"/>
    <w:rsid w:val="005C6175"/>
    <w:rsid w:val="006C766B"/>
    <w:rsid w:val="006D215E"/>
    <w:rsid w:val="00772C24"/>
    <w:rsid w:val="007B072A"/>
    <w:rsid w:val="007B3F17"/>
    <w:rsid w:val="007C0301"/>
    <w:rsid w:val="007D33D2"/>
    <w:rsid w:val="007F6C74"/>
    <w:rsid w:val="009218CA"/>
    <w:rsid w:val="00944CED"/>
    <w:rsid w:val="0097256F"/>
    <w:rsid w:val="00980066"/>
    <w:rsid w:val="009E5DBF"/>
    <w:rsid w:val="009F7241"/>
    <w:rsid w:val="00A335B2"/>
    <w:rsid w:val="00A81753"/>
    <w:rsid w:val="00A86492"/>
    <w:rsid w:val="00B03F6B"/>
    <w:rsid w:val="00B411BE"/>
    <w:rsid w:val="00B42BEB"/>
    <w:rsid w:val="00B715FF"/>
    <w:rsid w:val="00C14841"/>
    <w:rsid w:val="00C71772"/>
    <w:rsid w:val="00C93E54"/>
    <w:rsid w:val="00CB68A1"/>
    <w:rsid w:val="00CC233C"/>
    <w:rsid w:val="00CC66BE"/>
    <w:rsid w:val="00CD2938"/>
    <w:rsid w:val="00CF6DCB"/>
    <w:rsid w:val="00D129C8"/>
    <w:rsid w:val="00D41DAA"/>
    <w:rsid w:val="00D60079"/>
    <w:rsid w:val="00D739EC"/>
    <w:rsid w:val="00D97EF2"/>
    <w:rsid w:val="00DA11D9"/>
    <w:rsid w:val="00DD5724"/>
    <w:rsid w:val="00E13765"/>
    <w:rsid w:val="00E37DF9"/>
    <w:rsid w:val="00E553C8"/>
    <w:rsid w:val="00E8702F"/>
    <w:rsid w:val="00E87517"/>
    <w:rsid w:val="00EA18C6"/>
    <w:rsid w:val="00F52BE3"/>
    <w:rsid w:val="00F9566C"/>
    <w:rsid w:val="00FC6A44"/>
    <w:rsid w:val="00FD02F9"/>
    <w:rsid w:val="00FF76EE"/>
    <w:rsid w:val="0D1414D2"/>
    <w:rsid w:val="1C897A30"/>
    <w:rsid w:val="200B1A25"/>
    <w:rsid w:val="27E43C9B"/>
    <w:rsid w:val="2AE1141E"/>
    <w:rsid w:val="2AF9207D"/>
    <w:rsid w:val="330D54EB"/>
    <w:rsid w:val="38352426"/>
    <w:rsid w:val="3A1661F4"/>
    <w:rsid w:val="3BF439AD"/>
    <w:rsid w:val="40957E49"/>
    <w:rsid w:val="43095D37"/>
    <w:rsid w:val="487D4B52"/>
    <w:rsid w:val="5F981F51"/>
    <w:rsid w:val="6DC768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autoSpaceDE w:val="0"/>
      <w:autoSpaceDN w:val="0"/>
      <w:jc w:val="left"/>
    </w:pPr>
    <w:rPr>
      <w:rFonts w:ascii="仿宋" w:hAnsi="仿宋" w:eastAsia="仿宋" w:cs="仿宋"/>
      <w:kern w:val="0"/>
      <w:sz w:val="32"/>
      <w:szCs w:val="32"/>
      <w:lang w:eastAsia="en-US"/>
    </w:rPr>
  </w:style>
  <w:style w:type="paragraph" w:styleId="3">
    <w:name w:val="Body Text 2"/>
    <w:basedOn w:val="1"/>
    <w:qFormat/>
    <w:uiPriority w:val="0"/>
    <w:pPr>
      <w:spacing w:line="480" w:lineRule="auto"/>
    </w:pPr>
    <w:rPr>
      <w:rFonts w:cs="黑体"/>
    </w:rPr>
  </w:style>
  <w:style w:type="paragraph" w:styleId="4">
    <w:name w:val="Body Text Indent"/>
    <w:basedOn w:val="1"/>
    <w:next w:val="5"/>
    <w:qFormat/>
    <w:uiPriority w:val="0"/>
    <w:pPr>
      <w:spacing w:line="360" w:lineRule="auto"/>
      <w:ind w:firstLine="567"/>
    </w:pPr>
    <w:rPr>
      <w:rFonts w:ascii="宋体"/>
      <w:sz w:val="28"/>
    </w:rPr>
  </w:style>
  <w:style w:type="paragraph" w:customStyle="1" w:styleId="5">
    <w:name w:val="font5"/>
    <w:basedOn w:val="1"/>
    <w:qFormat/>
    <w:uiPriority w:val="0"/>
    <w:pPr>
      <w:widowControl/>
      <w:spacing w:before="100" w:beforeAutospacing="1" w:after="100" w:afterAutospacing="1"/>
      <w:jc w:val="left"/>
    </w:pPr>
    <w:rPr>
      <w:rFonts w:hint="eastAsia" w:hAnsi="宋体"/>
      <w:sz w:val="18"/>
      <w:szCs w:val="18"/>
    </w:rPr>
  </w:style>
  <w:style w:type="paragraph" w:styleId="6">
    <w:name w:val="footer"/>
    <w:basedOn w:val="1"/>
    <w:link w:val="14"/>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2"/>
    <w:next w:val="10"/>
    <w:qFormat/>
    <w:uiPriority w:val="99"/>
    <w:pPr>
      <w:ind w:firstLine="420" w:firstLineChars="100"/>
    </w:pPr>
    <w:rPr>
      <w:rFonts w:ascii="仿宋_GB2312" w:hAnsi="Times New Roman" w:eastAsia="仿宋_GB2312"/>
      <w:sz w:val="24"/>
    </w:rPr>
  </w:style>
  <w:style w:type="paragraph" w:styleId="10">
    <w:name w:val="Body Text First Indent 2"/>
    <w:basedOn w:val="4"/>
    <w:next w:val="9"/>
    <w:qFormat/>
    <w:uiPriority w:val="0"/>
    <w:pPr>
      <w:spacing w:after="120"/>
      <w:ind w:left="420" w:leftChars="200" w:firstLine="420" w:firstLineChars="200"/>
    </w:pPr>
    <w:rPr>
      <w:rFonts w:ascii="Times New Roman"/>
      <w:sz w:val="21"/>
    </w:rPr>
  </w:style>
  <w:style w:type="character" w:customStyle="1" w:styleId="13">
    <w:name w:val="页眉 Char"/>
    <w:basedOn w:val="12"/>
    <w:link w:val="7"/>
    <w:semiHidden/>
    <w:qFormat/>
    <w:uiPriority w:val="99"/>
    <w:rPr>
      <w:sz w:val="18"/>
      <w:szCs w:val="18"/>
    </w:rPr>
  </w:style>
  <w:style w:type="character" w:customStyle="1" w:styleId="14">
    <w:name w:val="页脚 Char"/>
    <w:basedOn w:val="12"/>
    <w:link w:val="6"/>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font11"/>
    <w:basedOn w:val="12"/>
    <w:qFormat/>
    <w:uiPriority w:val="0"/>
    <w:rPr>
      <w:rFonts w:hint="default" w:ascii="Times New Roman" w:hAnsi="Times New Roman" w:cs="Times New Roman"/>
      <w:color w:val="000000"/>
      <w:sz w:val="20"/>
      <w:szCs w:val="20"/>
      <w:u w:val="none"/>
    </w:rPr>
  </w:style>
  <w:style w:type="character" w:customStyle="1" w:styleId="17">
    <w:name w:val="font01"/>
    <w:basedOn w:val="1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515</Words>
  <Characters>2936</Characters>
  <Lines>24</Lines>
  <Paragraphs>6</Paragraphs>
  <TotalTime>105</TotalTime>
  <ScaleCrop>false</ScaleCrop>
  <LinksUpToDate>false</LinksUpToDate>
  <CharactersWithSpaces>3445</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2021-06-01T08:58:00Z</dcterms:created>
  <dc:creator>lenovo</dc:creator>
  <cp:lastModifiedBy>Administrator</cp:lastModifiedBy>
  <cp:lastPrinted>2024-09-30T15:56:00Z</cp:lastPrinted>
  <dcterms:modified xsi:type="dcterms:W3CDTF">2025-11-07T03:46:09Z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ICV">
    <vt:lpwstr>8E4BAF6E5DD4420BA370926C64652908_13</vt:lpwstr>
  </property>
  <property fmtid="{D5CDD505-2E9C-101B-9397-08002B2CF9AE}" pid="4" name="KSOTemplateDocerSaveRecord">
    <vt:lpwstr>eyJoZGlkIjoiMmNhYTdlOGJhYjE1MzYyMjgxZmJhZDQ1YzE4MzIwN2QiLCJ1c2VySWQiOiIxMjEyNDExMDczIn0=</vt:lpwstr>
  </property>
</Properties>
</file>