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  <w:lang w:eastAsia="zh-CN"/>
        </w:rPr>
        <w:t>溆浦县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  <w:t>年财政决算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  <w:lang w:eastAsia="zh-CN"/>
        </w:rPr>
        <w:t>草案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  <w:t>及202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  <w:t>年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  <w:lang w:eastAsia="zh-CN"/>
        </w:rPr>
        <w:t>上半年</w:t>
      </w:r>
      <w:r>
        <w:rPr>
          <w:rFonts w:hint="eastAsia" w:ascii="方正小标宋简体" w:hAnsi="方正小标宋简体" w:eastAsia="方正小标宋简体"/>
          <w:bCs w:val="0"/>
          <w:color w:val="000000"/>
          <w:sz w:val="44"/>
          <w:szCs w:val="44"/>
        </w:rPr>
        <w:t>财政预算执行情况的报告</w:t>
      </w:r>
    </w:p>
    <w:p>
      <w:pPr>
        <w:widowControl/>
        <w:spacing w:line="560" w:lineRule="exact"/>
        <w:ind w:firstLine="0" w:firstLineChars="0"/>
        <w:jc w:val="right"/>
        <w:rPr>
          <w:rFonts w:hint="eastAsia" w:ascii="楷体_GB2312" w:hAnsi="楷体_GB2312" w:eastAsia="楷体_GB2312"/>
          <w:bCs/>
          <w:color w:val="000000"/>
          <w:spacing w:val="-20"/>
          <w:kern w:val="2"/>
          <w:sz w:val="32"/>
          <w:szCs w:val="32"/>
        </w:rPr>
      </w:pPr>
    </w:p>
    <w:p>
      <w:pPr>
        <w:widowControl/>
        <w:spacing w:line="560" w:lineRule="exact"/>
        <w:ind w:firstLine="0" w:firstLineChars="0"/>
        <w:jc w:val="center"/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  <w:lang w:eastAsia="zh-CN"/>
        </w:rPr>
        <w:t>——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</w:rPr>
        <w:t>202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</w:rPr>
        <w:t>年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  <w:lang w:val="en-US" w:eastAsia="zh-CN"/>
        </w:rPr>
        <w:t>7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</w:rPr>
        <w:t>月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  <w:lang w:val="en-US" w:eastAsia="zh-CN"/>
        </w:rPr>
        <w:t>30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</w:rPr>
        <w:t>日在县第十八届人大常委会第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  <w:lang w:val="en-US" w:eastAsia="zh-CN"/>
        </w:rPr>
        <w:t>四十三</w:t>
      </w:r>
      <w:r>
        <w:rPr>
          <w:rFonts w:hint="eastAsia" w:ascii="楷体_GB2312" w:hAnsi="楷体_GB2312" w:eastAsia="楷体_GB2312"/>
          <w:b w:val="0"/>
          <w:spacing w:val="-17"/>
          <w:kern w:val="0"/>
          <w:sz w:val="32"/>
          <w:szCs w:val="32"/>
        </w:rPr>
        <w:t>次会议上</w:t>
      </w:r>
    </w:p>
    <w:p>
      <w:pPr>
        <w:widowControl/>
        <w:spacing w:line="560" w:lineRule="exact"/>
        <w:ind w:firstLine="0" w:firstLineChars="0"/>
        <w:jc w:val="center"/>
        <w:outlineLvl w:val="9"/>
        <w:rPr>
          <w:rFonts w:hint="eastAsia" w:ascii="楷体_GB2312" w:hAnsi="楷体_GB2312" w:eastAsia="楷体_GB2312"/>
          <w:bCs/>
          <w:color w:val="000000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/>
          <w:bCs/>
          <w:color w:val="000000"/>
          <w:spacing w:val="0"/>
          <w:sz w:val="32"/>
          <w:szCs w:val="32"/>
          <w:lang w:eastAsia="zh-CN"/>
        </w:rPr>
        <w:t>县财政局局长</w:t>
      </w:r>
      <w:r>
        <w:rPr>
          <w:rFonts w:hint="eastAsia" w:ascii="楷体_GB2312" w:hAnsi="楷体_GB2312" w:eastAsia="楷体_GB2312"/>
          <w:bCs/>
          <w:color w:val="000000"/>
          <w:spacing w:val="0"/>
          <w:sz w:val="32"/>
          <w:szCs w:val="32"/>
          <w:lang w:val="en-US" w:eastAsia="zh-CN"/>
        </w:rPr>
        <w:t xml:space="preserve">  谢正德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jc w:val="both"/>
        <w:textAlignment w:val="auto"/>
        <w:outlineLvl w:val="9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尊敬的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主任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、各位副主任、各位委员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  <w:lang w:val="en-US" w:eastAsia="zh-CN"/>
        </w:rPr>
        <w:t>根据会议安排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</w:rPr>
        <w:t>，现将全县202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</w:rPr>
        <w:t>年财政决算情况和202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  <w:lang w:eastAsia="zh-CN"/>
        </w:rPr>
        <w:t>上半年</w:t>
      </w:r>
      <w:r>
        <w:rPr>
          <w:rFonts w:hint="eastAsia" w:ascii="仿宋_GB2312" w:hAnsi="仿宋_GB2312" w:eastAsia="仿宋_GB2312"/>
          <w:bCs/>
          <w:color w:val="000000"/>
          <w:kern w:val="0"/>
          <w:sz w:val="32"/>
          <w:szCs w:val="32"/>
        </w:rPr>
        <w:t>财政预算执行情况报告如下，请予审议。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一、202</w:t>
      </w:r>
      <w:r>
        <w:rPr>
          <w:rFonts w:hint="eastAsia" w:ascii="黑体" w:hAnsi="黑体" w:eastAsia="黑体"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年财政决算情况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  <w:t>（一）财政收支决算情况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</w:rPr>
        <w:t>一般公共预算收支决算情况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收入方面：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年，全县共完成地方一般公共预算收入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113882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99.47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7830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7.38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加上上划中央收入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18771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万元及上划省级收入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4985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万元，一般公共预算收入完成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137638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93.6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1.18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%。主要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得益于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我县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国有资源（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资产）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有偿使用收入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的大幅增加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分结构来看: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税收收入完成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80391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万元，占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一般公共预算总收入的58.41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%，同比下降24.75%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其中地方税收收入完成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56635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68.27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同比减收20216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万元,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26.31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主要是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受房地产业持续低迷的影响，土地增值税同比大幅下降了57.39%。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非税收入完成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57247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181.52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同比增收28046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，增长96.04%。主要是国有资源、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资产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有偿使用收入增加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21737万元，罚没收入增加6455万元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  <w:lang w:eastAsia="zh-CN"/>
        </w:rPr>
        <w:t>地方税收</w:t>
      </w: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分税种来看：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增值税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完成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10324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23.12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</w:t>
      </w:r>
      <w:r>
        <w:rPr>
          <w:rFonts w:hint="eastAsia" w:ascii="仿宋_GB2312" w:hAnsi="仿宋_GB2312" w:eastAsia="仿宋_GB2312"/>
          <w:color w:val="000000"/>
          <w:sz w:val="32"/>
          <w:szCs w:val="32"/>
          <w:shd w:val="clear" w:color="auto" w:fill="FFFFFF"/>
        </w:rPr>
        <w:t>企业所得税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完成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1566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万元，下降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19.63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%；个人所得税完成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726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6.21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%；城市维护建设税完成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1185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14.06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%；房产税完成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2075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6.54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%；城镇土地使用税完成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947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4.46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%；土地增值税完成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26001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57.39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%；契税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完成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10953</w:t>
      </w:r>
      <w:r>
        <w:rPr>
          <w:rFonts w:hint="eastAsia" w:ascii="仿宋_GB2312" w:hAnsi="仿宋_GB2312" w:eastAsia="仿宋_GB2312"/>
          <w:color w:val="000000"/>
          <w:spacing w:val="-4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94.94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%；资源税完成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381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37.92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%；车船税完成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1448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44.09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%；印花税完成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409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44.1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支出方面：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年，全县一般公共预算支出完成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614994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28432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4.85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%，完成调整预算的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94.11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主要功能科目支出情况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如下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一般公共服务支出完成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54840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109.4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0.24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公共安全支出完成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19839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117.78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1860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10.35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教育支出完成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148166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117.67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3780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2.62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%。主要是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增加城北学校项目回购支出。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科学技术支出完成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6603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494.61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8773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57.06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文化体育与传媒支出完成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4613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144.75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</w:rPr>
        <w:t>比上年减少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lang w:val="en-US" w:eastAsia="zh-CN"/>
        </w:rPr>
        <w:t>472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</w:rPr>
        <w:t>万元，下降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lang w:val="en-US" w:eastAsia="zh-CN"/>
        </w:rPr>
        <w:t>9.28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社会保障与就业支出完成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120989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100.34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14212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13.31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卫生健康支出完成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43813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134.45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5039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节能环保支出完成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6033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54.73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3940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39.51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城乡社区事务支出完成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19169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36.91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3348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21.16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农林水事务支出完成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131636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130.24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12734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10.71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交通运输支出完成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18582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74.72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1850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11.06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资源勘探工业信息等事务支出完成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4442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30.21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601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15.66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自然资源海洋气象等事务支出完成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9433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132.26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万元,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0.05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住房保障支出完成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6017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万元，为调整预算的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43.26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%，比上年减少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1097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万元,下降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15.42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税收返还及转移支付情况：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，中央及省市下达我县税收返还和转移支付补助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50519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同比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16612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3.56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%。其中税收返还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440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与上年持平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；一般性转移支付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10819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5.34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，主要是农林水共同财政事权转移支付收入减少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；专项转移支付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2260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25.62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，主要是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交通运输、资源勘探工业信息、灾害防治及应急管理等专项转移支付收入增加。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地方政府债券情况：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中央转贷我县地方政府债务转贷收入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6520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万元，比上年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59386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47.17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%，其中再融资一般债券收入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0220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万元，新增一般债券收入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6300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收支平衡情况：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年地方一般公共预算收入完成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13882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万元，上级补助收入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50519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万元，债务转贷收入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6520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万元，调入资金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5007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万元，上年结余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万元，收入总计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76188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万元；一般公共预算支出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14994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万元，上解支出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903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万元，债务还本支出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2100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万元，年终累计结转下年支出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万元，支出总计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76188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当年收支平衡。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2.政府性基金预算收支决算情况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收入情况：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年政府性基金预算收入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4369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/>
          <w:i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比上年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23741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49.35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%,其中国有土地有偿使用收入完成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6998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23217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57.73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支出情况：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年政府性基金预算支出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0798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万元，比上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lang w:val="en-US" w:eastAsia="zh-CN"/>
        </w:rPr>
        <w:t>56599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lang w:val="en-US" w:eastAsia="zh-CN"/>
        </w:rPr>
        <w:t>48.21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</w:rPr>
        <w:t>%,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shd w:val="clear" w:color="auto" w:fill="FFFFFF"/>
        </w:rPr>
        <w:t>主要是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shd w:val="clear" w:color="auto" w:fill="FFFFFF"/>
          <w:lang w:eastAsia="zh-CN"/>
        </w:rPr>
        <w:t>专项债项目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shd w:val="clear" w:color="auto" w:fill="FFFFFF"/>
          <w:lang w:val="en-US" w:eastAsia="zh-CN"/>
        </w:rPr>
        <w:t>支出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shd w:val="clear" w:color="auto" w:fill="FFFFFF"/>
          <w:lang w:eastAsia="zh-CN"/>
        </w:rPr>
        <w:t>和土地成本支出</w:t>
      </w:r>
      <w:r>
        <w:rPr>
          <w:rFonts w:hint="eastAsia" w:ascii="仿宋_GB2312" w:hAnsi="仿宋_GB2312" w:eastAsia="仿宋_GB2312"/>
          <w:color w:val="000000"/>
          <w:spacing w:val="6"/>
          <w:kern w:val="2"/>
          <w:sz w:val="32"/>
          <w:szCs w:val="32"/>
          <w:shd w:val="clear" w:color="auto" w:fill="FFFFFF"/>
          <w:lang w:val="en-US" w:eastAsia="zh-CN"/>
        </w:rPr>
        <w:t>减少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sz w:val="32"/>
          <w:szCs w:val="32"/>
        </w:rPr>
        <w:t>收支平衡情况：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年政府性基金收入完成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4369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/>
          <w:i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上级补助收入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426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万元，债务转贷收入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3700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上年结转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0759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收入总计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56254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万元；政府性基金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支出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0798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上解支出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248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调出资金到一般公共预算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0372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地方政府债券还本支出47300万元，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结转下年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7536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万元，支出总计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56254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，当年收支平衡。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3.国有资本经营预算收支决算情况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年，全县国有资本经营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预算收入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200万元，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上级补助收入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万元，上年结余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万元，收入合计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万元；国有资本经营预算支出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9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万元，国有资本经营预算调出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万元，支出合计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万元，当年收支平衡。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4.社保基金预算收支决算情况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2024年，全县社会保险基金预算收入107156万元，其中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保险费收入43115万元，财政补贴63642万元，利息、转移收入等其他收入399万元；全县社会保险基金支出91616万元，其中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社会保险待遇支出91468万元，转移支出等其他支出148万元，当年结余15540万元，年末滚存结余80539万元。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5.2024年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政府债务情况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（1）债务限额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年，省核定我县地方政府债务限额为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83.83</w:t>
      </w:r>
      <w:r>
        <w:rPr>
          <w:rFonts w:hint="eastAsia" w:ascii="仿宋_GB2312" w:hAnsi="仿宋_GB2312" w:eastAsia="仿宋_GB2312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（2）债务余额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截至202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年底，地方政府债务余额为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82.82</w:t>
      </w:r>
      <w:r>
        <w:rPr>
          <w:rFonts w:hint="eastAsia" w:ascii="仿宋_GB2312" w:hAnsi="仿宋_GB2312" w:eastAsia="仿宋_GB2312"/>
          <w:sz w:val="32"/>
          <w:szCs w:val="32"/>
        </w:rPr>
        <w:t>亿元，按债务类型分：一般债务余额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37.93</w:t>
      </w:r>
      <w:r>
        <w:rPr>
          <w:rFonts w:hint="eastAsia" w:ascii="仿宋_GB2312" w:hAnsi="仿宋_GB2312" w:eastAsia="仿宋_GB2312"/>
          <w:sz w:val="32"/>
          <w:szCs w:val="32"/>
        </w:rPr>
        <w:t>亿元，专项债务余额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44.89</w:t>
      </w:r>
      <w:r>
        <w:rPr>
          <w:rFonts w:hint="eastAsia" w:ascii="仿宋_GB2312" w:hAnsi="仿宋_GB2312" w:eastAsia="仿宋_GB2312"/>
          <w:sz w:val="32"/>
          <w:szCs w:val="32"/>
        </w:rPr>
        <w:t>亿元；按债券类别分：新增债券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50.07</w:t>
      </w:r>
      <w:r>
        <w:rPr>
          <w:rFonts w:hint="eastAsia" w:ascii="仿宋_GB2312" w:hAnsi="仿宋_GB2312" w:eastAsia="仿宋_GB2312"/>
          <w:sz w:val="32"/>
          <w:szCs w:val="32"/>
        </w:rPr>
        <w:t>亿元，置换债券2.57亿元，再融资债券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30.18</w:t>
      </w:r>
      <w:r>
        <w:rPr>
          <w:rFonts w:hint="eastAsia" w:ascii="仿宋_GB2312" w:hAnsi="仿宋_GB2312" w:eastAsia="仿宋_GB2312"/>
          <w:sz w:val="32"/>
          <w:szCs w:val="32"/>
        </w:rPr>
        <w:t>亿元；按债券期限分：3年期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2.65</w:t>
      </w:r>
      <w:r>
        <w:rPr>
          <w:rFonts w:hint="eastAsia" w:ascii="仿宋_GB2312" w:hAnsi="仿宋_GB2312" w:eastAsia="仿宋_GB2312"/>
          <w:sz w:val="32"/>
          <w:szCs w:val="32"/>
        </w:rPr>
        <w:t>亿元，5年期2.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  <w:szCs w:val="32"/>
        </w:rPr>
        <w:t>亿元，7年期5.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07</w:t>
      </w:r>
      <w:r>
        <w:rPr>
          <w:rFonts w:hint="eastAsia" w:ascii="仿宋_GB2312" w:hAnsi="仿宋_GB2312" w:eastAsia="仿宋_GB2312"/>
          <w:sz w:val="32"/>
          <w:szCs w:val="32"/>
        </w:rPr>
        <w:t>亿元，10年期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32.71</w:t>
      </w:r>
      <w:r>
        <w:rPr>
          <w:rFonts w:hint="eastAsia" w:ascii="仿宋_GB2312" w:hAnsi="仿宋_GB2312" w:eastAsia="仿宋_GB2312"/>
          <w:sz w:val="32"/>
          <w:szCs w:val="32"/>
        </w:rPr>
        <w:t>亿元，15年期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16.03</w:t>
      </w:r>
      <w:r>
        <w:rPr>
          <w:rFonts w:hint="eastAsia" w:ascii="仿宋_GB2312" w:hAnsi="仿宋_GB2312" w:eastAsia="仿宋_GB2312"/>
          <w:sz w:val="32"/>
          <w:szCs w:val="32"/>
        </w:rPr>
        <w:t>亿元，20年期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19.04</w:t>
      </w:r>
      <w:r>
        <w:rPr>
          <w:rFonts w:hint="eastAsia" w:ascii="仿宋_GB2312" w:hAnsi="仿宋_GB2312" w:eastAsia="仿宋_GB2312"/>
          <w:sz w:val="32"/>
          <w:szCs w:val="32"/>
        </w:rPr>
        <w:t>亿元，30年期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5.06</w:t>
      </w:r>
      <w:r>
        <w:rPr>
          <w:rFonts w:hint="eastAsia" w:ascii="仿宋_GB2312" w:hAnsi="仿宋_GB2312" w:eastAsia="仿宋_GB2312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（3）还本付息情况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年全县到期政府债务本金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5.58</w:t>
      </w:r>
      <w:r>
        <w:rPr>
          <w:rFonts w:hint="eastAsia" w:ascii="仿宋_GB2312" w:hAnsi="仿宋_GB2312" w:eastAsia="仿宋_GB2312"/>
          <w:sz w:val="32"/>
          <w:szCs w:val="32"/>
        </w:rPr>
        <w:t>亿元，其中：一般债务本金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5.21</w:t>
      </w:r>
      <w:r>
        <w:rPr>
          <w:rFonts w:hint="eastAsia" w:ascii="仿宋_GB2312" w:hAnsi="仿宋_GB2312" w:eastAsia="仿宋_GB2312"/>
          <w:sz w:val="32"/>
          <w:szCs w:val="32"/>
        </w:rPr>
        <w:t>亿元，专项债务本金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0.37</w:t>
      </w:r>
      <w:r>
        <w:rPr>
          <w:rFonts w:hint="eastAsia" w:ascii="仿宋_GB2312" w:hAnsi="仿宋_GB2312" w:eastAsia="仿宋_GB2312"/>
          <w:sz w:val="32"/>
          <w:szCs w:val="32"/>
        </w:rPr>
        <w:t>亿元。应付利息2.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/>
          <w:sz w:val="32"/>
          <w:szCs w:val="32"/>
        </w:rPr>
        <w:t>亿元，其中：一般债券利息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0.91</w:t>
      </w:r>
      <w:r>
        <w:rPr>
          <w:rFonts w:hint="eastAsia" w:ascii="仿宋_GB2312" w:hAnsi="仿宋_GB2312" w:eastAsia="仿宋_GB2312"/>
          <w:sz w:val="32"/>
          <w:szCs w:val="32"/>
        </w:rPr>
        <w:t>亿元，专项债券利息1.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sz w:val="32"/>
          <w:szCs w:val="32"/>
        </w:rPr>
        <w:t>亿元。到期本金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5.022</w:t>
      </w:r>
      <w:r>
        <w:rPr>
          <w:rFonts w:hint="eastAsia" w:ascii="仿宋_GB2312" w:hAnsi="仿宋_GB2312" w:eastAsia="仿宋_GB2312"/>
          <w:sz w:val="32"/>
          <w:szCs w:val="32"/>
        </w:rPr>
        <w:t>亿元通过发行再融资债券偿还，应付利息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2.13亿元</w:t>
      </w:r>
      <w:r>
        <w:rPr>
          <w:rFonts w:hint="eastAsia" w:ascii="仿宋_GB2312" w:hAnsi="仿宋_GB2312" w:eastAsia="仿宋_GB2312"/>
          <w:sz w:val="32"/>
          <w:szCs w:val="32"/>
        </w:rPr>
        <w:t>和0.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558</w:t>
      </w:r>
      <w:r>
        <w:rPr>
          <w:rFonts w:hint="eastAsia" w:ascii="仿宋_GB2312" w:hAnsi="仿宋_GB2312" w:eastAsia="仿宋_GB2312"/>
          <w:sz w:val="32"/>
          <w:szCs w:val="32"/>
        </w:rPr>
        <w:t>亿元专项债券本金已使用财政资金偿还。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（4）新增债券安排使用情况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年我县新增债券额度增加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11.00</w:t>
      </w:r>
      <w:r>
        <w:rPr>
          <w:rFonts w:hint="eastAsia" w:ascii="仿宋_GB2312" w:hAnsi="仿宋_GB2312" w:eastAsia="仿宋_GB2312"/>
          <w:sz w:val="32"/>
          <w:szCs w:val="32"/>
        </w:rPr>
        <w:t>亿元，其中新增一般债券1.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63</w:t>
      </w:r>
      <w:r>
        <w:rPr>
          <w:rFonts w:hint="eastAsia" w:ascii="仿宋_GB2312" w:hAnsi="仿宋_GB2312" w:eastAsia="仿宋_GB2312"/>
          <w:sz w:val="32"/>
          <w:szCs w:val="32"/>
        </w:rPr>
        <w:t>亿元、新增专项债券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9.37</w:t>
      </w:r>
      <w:r>
        <w:rPr>
          <w:rFonts w:hint="eastAsia" w:ascii="仿宋_GB2312" w:hAnsi="仿宋_GB2312" w:eastAsia="仿宋_GB2312"/>
          <w:sz w:val="32"/>
          <w:szCs w:val="32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新增一般债券1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.63</w:t>
      </w:r>
      <w:r>
        <w:rPr>
          <w:rFonts w:hint="eastAsia" w:ascii="仿宋_GB2312" w:hAnsi="仿宋_GB2312" w:eastAsia="仿宋_GB2312"/>
          <w:sz w:val="32"/>
          <w:szCs w:val="32"/>
        </w:rPr>
        <w:t>亿元，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主要安排用于国省干线、农村公路0.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2亿元，202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年农村公路安防工程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0.15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亿元，监管中心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0.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亿元，徐特立项目建设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0.16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亿元，水利国债配套资金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0.4208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其他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22个项目0.4692亿元。已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拨付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1.1702亿元，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主要是：国省干线、农村公路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0.1201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亿元，徐特立项目建设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0.16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亿元，水利国债配套资金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0.3996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其他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24个项目共0.4905亿元。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新增专项债券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9.37</w:t>
      </w:r>
      <w:r>
        <w:rPr>
          <w:rFonts w:hint="eastAsia" w:ascii="仿宋_GB2312" w:hAnsi="仿宋_GB2312" w:eastAsia="仿宋_GB2312"/>
          <w:sz w:val="32"/>
          <w:szCs w:val="32"/>
        </w:rPr>
        <w:t>亿元，主要用于溆浦县现代农业产业园基础设施建设项目（一期）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0.62</w:t>
      </w:r>
      <w:r>
        <w:rPr>
          <w:rFonts w:hint="eastAsia" w:ascii="仿宋_GB2312" w:hAnsi="仿宋_GB2312" w:eastAsia="仿宋_GB2312"/>
          <w:sz w:val="32"/>
          <w:szCs w:val="32"/>
        </w:rPr>
        <w:t>亿元、溆浦县全民健身中心建设项目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1.33</w:t>
      </w:r>
      <w:r>
        <w:rPr>
          <w:rFonts w:hint="eastAsia" w:ascii="仿宋_GB2312" w:hAnsi="仿宋_GB2312" w:eastAsia="仿宋_GB2312"/>
          <w:sz w:val="32"/>
          <w:szCs w:val="32"/>
        </w:rPr>
        <w:t>亿元、溆浦县学前教育提质改造及改扩建项目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0.63</w:t>
      </w:r>
      <w:r>
        <w:rPr>
          <w:rFonts w:hint="eastAsia" w:ascii="仿宋_GB2312" w:hAnsi="仿宋_GB2312" w:eastAsia="仿宋_GB2312"/>
          <w:sz w:val="32"/>
          <w:szCs w:val="32"/>
        </w:rPr>
        <w:t>亿元、溆浦县智慧停车项目1.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/>
          <w:sz w:val="32"/>
          <w:szCs w:val="32"/>
        </w:rPr>
        <w:t>亿元，溆浦产业开发区工业水厂及管网配套设施建设项目0.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/>
          <w:sz w:val="32"/>
          <w:szCs w:val="32"/>
        </w:rPr>
        <w:t>亿元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置换隐性债务4.97亿元。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67" w:firstLineChars="200"/>
        <w:jc w:val="both"/>
        <w:textAlignment w:val="auto"/>
        <w:rPr>
          <w:rFonts w:hint="eastAsia" w:ascii="仿宋_GB2312" w:hAnsi="仿宋_GB2312" w:eastAsia="仿宋_GB2312"/>
          <w:b/>
          <w:bCs w:val="0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 w:val="0"/>
          <w:color w:val="000000"/>
          <w:spacing w:val="6"/>
          <w:sz w:val="32"/>
          <w:szCs w:val="32"/>
          <w:lang w:val="en-US" w:eastAsia="zh-CN"/>
        </w:rPr>
        <w:t>6.专项资金绩效评价情况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委托第三方机构对城乡建设引导资金、污水处理费等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9项资金，开展重点绩效评价。从评价结果来看，大部分专项资金都较好地完成了向县人大会报告的绩效目标，也有部分专项资金在政策目标实现、项目执行进度、资金使用管理等方面存在问题，目前已督促相关部门(单位）立即整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/>
          <w:bCs w:val="0"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/>
          <w:b/>
          <w:bCs w:val="0"/>
          <w:color w:val="000000"/>
          <w:spacing w:val="6"/>
          <w:sz w:val="32"/>
          <w:szCs w:val="32"/>
          <w:lang w:val="en-US" w:eastAsia="zh-CN"/>
        </w:rPr>
        <w:t>预备费使用情况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64" w:firstLineChars="200"/>
        <w:jc w:val="both"/>
        <w:textAlignment w:val="auto"/>
        <w:rPr>
          <w:rFonts w:hint="eastAsia" w:ascii="仿宋_GB2312" w:hAnsi="仿宋_GB2312" w:eastAsia="仿宋_GB2312"/>
          <w:b w:val="0"/>
          <w:bCs/>
          <w:color w:val="000000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/>
          <w:color w:val="000000"/>
          <w:spacing w:val="6"/>
          <w:sz w:val="32"/>
          <w:szCs w:val="32"/>
          <w:lang w:val="en-US" w:eastAsia="zh-CN"/>
        </w:rPr>
        <w:t>2024年预算安排预备费6000万元，实际使用4570万元，主要用于水利损毁等突发自然灾害救助、上级新出台政策增支及年初难以预见的特殊支出等。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  <w:t>（二）202</w:t>
      </w: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  <w:t>年预算执行效果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1.强化收支统筹，保障了财政平稳健康运行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。面对复杂严峻的宏观形势和收支平衡压力，财政部门积极作为，着力强化收支统筹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，积极争取上级资金支持，加强预算编制，增强绩效目标约束，提高财政资金配置效率，确保全年收支平衡。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抓好收入组织。坚持主动作为，强化经济形势研判和税源摸底，建立健全财税协同机制，严格执行收入分月计划，加大税源培育政策储备和税源引进力度，加强征收管理，严防跑冒滴漏，确保颗粒归仓。2024年，全县地方一般公共预算收入完成了113882万元，同比增长7.38%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强化支出管理。牢固树立过“紧日子”的思想，大力压减一般性支出，编制年初预算时，进一步压减一般性支出和非急需、非刚性支出。开展结转结余资金清理工作，对不需按原用途使用的项目资金及时予以收回，调剂用于其他项目或收回后统筹使用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有效盘活国有“三资”。坚持把清查盘活国有“三资”作为财源建设的重要手段，全年入库国有资源（资产）处置收入35410万元。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2.加大财政支撑，促进了经济高质量发展。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紧扣县域经济高质量目标任务，充分发挥财政职能作用，积极打好财政政策“组合拳”。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推动惠企政策落实。深入开展助企纾困活动，推动各部门认真梳理兑现惠企政策，有效降低了企业负担。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发挥财政资金作用。按照“聚焦战略取向、突出政策引导、坚持市场运作”的原则，全年投入产业发展基金3000万元，促进产业升级改造，充分发挥产业基金引导和杠杆作用。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保障政府投资项目建设。加大统筹协调力度，做好项目谋划、开工建设、运营管理全周期财政服务，积极筹措拨付各类项目建设资金，推动项目早落地早开工早投产。四是助推产业转型升级。深入落实创新驱动发展战略，为成功创建省级创新型县，巩固全国科普示范县成果提供了坚实资金保障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3.突出保障重点，兜牢了“三保”和民生底线。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加大存量资金盘活力度，将有限的财政资金统筹用于“三保”重点领域和民生刚性支出。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优化结构，保障重点支出。按照“量入为出、收支平衡、统筹兼顾、突出重点”的原则，全年一般公共预算支出完成61.49亿元，“三保”支出32.24亿元，其中：保基本民生支出15.59亿元、保工资支出15.72亿元、保运转支出0.93亿元，“三保”支出保障有力。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聚焦民生，保障重点领域。落实教育支出“两个只增不减”，安排学前教育专项经费3587万元，义务教育专项经费42593万元，高中教育专项经费6795万元，职业教育专项经费6992万元。推动卫生健康事业发展，及时拨付医疗卫生经费，医疗救助资助特殊人群参保1218.58万元，防止困难群众因病返贫；为城乡低保、特困和脱贫监测户等困难群体落实城乡居保参保补贴140万元，保障困难群众老有所养；织牢织密民生保障网，为城乡低保、特困对象、孤儿、残疾人等群体发放民生救助资金19440万元。将农村特困分散供养、城市及集中特困供养标准分别提标至631元/月、962元/月。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</w:rPr>
        <w:t>三是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加大“三农”投入，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促进农民增收，维护农村稳定。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，全县通过“一卡通”发放各类补贴项目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96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项，补贴资金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5.2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亿元，惠及群众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117.31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万人次。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4.全力化解债务，打好了风险防控“阻击仗”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。通过综合运用预算偿还、处置资产、债券替换、市场转化等多种方式积极防范化解债务风险。一是政府债务按期化解。2024年，全县共偿还各类债务本息15.86亿元，其中本金11.48亿元，各类债务利息4.38亿元。另外通过向省厅申请发行再融资债券缓释政府债务5.02亿元，与金融机构协商展期各类债务1.93亿元。二是积极争取专项债券。2024年全县共发行专项债券9.37亿元，额度位居全市前列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0" w:line="61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2024年以来，面对多重超预期因素叠加影响及基层财政巨大的收支平衡压力，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在县委、县政府的坚强领导下，在县人大的监督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支持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下，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省市财政部门精心指导下，全县财政系统扛牢“以政领财、以财辅政”政治责任，全面落实财税政策，纵深推进财政改革，想方设法培植财源，全力保障“三保”支出，</w:t>
      </w:r>
      <w:r>
        <w:rPr>
          <w:rFonts w:hint="eastAsia" w:ascii="仿宋_GB2312" w:hAnsi="仿宋_GB2312" w:eastAsia="仿宋_GB2312"/>
          <w:color w:val="000000"/>
          <w:spacing w:val="6"/>
          <w:sz w:val="32"/>
          <w:szCs w:val="32"/>
        </w:rPr>
        <w:t>为保持县域经济持续健康发展和社会大局稳定提供了坚实的保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障。</w:t>
      </w:r>
    </w:p>
    <w:p>
      <w:pPr>
        <w:keepNext w:val="0"/>
        <w:keepLines w:val="0"/>
        <w:pageBreakBefore w:val="0"/>
        <w:widowControl w:val="0"/>
        <w:tabs>
          <w:tab w:val="left" w:pos="5044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黑体" w:hAnsi="黑体" w:eastAsia="黑体"/>
          <w:bCs/>
          <w:color w:val="000000"/>
          <w:kern w:val="2"/>
          <w:sz w:val="32"/>
          <w:szCs w:val="32"/>
          <w:shd w:val="clear" w:color="auto" w:fill="auto"/>
        </w:rPr>
      </w:pPr>
      <w:r>
        <w:rPr>
          <w:rFonts w:hint="eastAsia" w:ascii="黑体" w:hAnsi="黑体" w:eastAsia="黑体"/>
          <w:bCs/>
          <w:color w:val="000000"/>
          <w:kern w:val="2"/>
          <w:sz w:val="32"/>
          <w:szCs w:val="32"/>
          <w:shd w:val="clear" w:color="auto" w:fill="auto"/>
        </w:rPr>
        <w:t>二、202</w:t>
      </w:r>
      <w:r>
        <w:rPr>
          <w:rFonts w:hint="eastAsia" w:ascii="黑体" w:hAnsi="黑体" w:eastAsia="黑体"/>
          <w:bCs/>
          <w:color w:val="000000"/>
          <w:kern w:val="2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kern w:val="2"/>
          <w:sz w:val="32"/>
          <w:szCs w:val="32"/>
          <w:shd w:val="clear" w:color="auto" w:fill="auto"/>
        </w:rPr>
        <w:t>年</w:t>
      </w:r>
      <w:r>
        <w:rPr>
          <w:rFonts w:hint="eastAsia" w:ascii="黑体" w:hAnsi="黑体" w:eastAsia="黑体"/>
          <w:bCs/>
          <w:color w:val="000000"/>
          <w:kern w:val="2"/>
          <w:sz w:val="32"/>
          <w:szCs w:val="32"/>
          <w:shd w:val="clear" w:color="auto" w:fill="auto"/>
          <w:lang w:eastAsia="zh-CN"/>
        </w:rPr>
        <w:t>上半年</w:t>
      </w:r>
      <w:r>
        <w:rPr>
          <w:rFonts w:hint="eastAsia" w:ascii="黑体" w:hAnsi="黑体" w:eastAsia="黑体"/>
          <w:bCs/>
          <w:color w:val="000000"/>
          <w:kern w:val="2"/>
          <w:sz w:val="32"/>
          <w:szCs w:val="32"/>
          <w:shd w:val="clear" w:color="auto" w:fill="auto"/>
        </w:rPr>
        <w:t>财政预算执行情况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  <w:t>（一）财政预算收支基本情况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1-6月，我县预算执行整体呈现“收入增速放缓、支出保障有力、结构持续优化”的特点。受宏观经济环境和政策调整影响，我县财政运行面临极大挑战，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在县委、县政府的坚强领导下，在县人大的监督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支持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下，财政部门主动担当，精准施策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b w:val="0"/>
          <w:bCs/>
          <w:color w:val="000000"/>
          <w:spacing w:val="0"/>
          <w:kern w:val="2"/>
          <w:sz w:val="32"/>
          <w:szCs w:val="32"/>
          <w:lang w:val="en-US" w:eastAsia="zh-CN" w:bidi="ar-SA"/>
        </w:rPr>
        <w:t>抓收入促增长，抓支出促保障，抓化债促稳定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/>
          <w:b w:val="0"/>
          <w:bCs/>
          <w:color w:val="000000"/>
          <w:spacing w:val="0"/>
          <w:sz w:val="32"/>
          <w:szCs w:val="32"/>
          <w:lang w:eastAsia="zh-CN"/>
        </w:rPr>
        <w:t>抓管理促增效，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全面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完成地方经济发展阶段性目标，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促进了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全县经济社会健康发展和社会大局和谐稳定。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1.</w:t>
      </w: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  <w:shd w:val="clear" w:color="auto" w:fill="FFFFFF"/>
        </w:rPr>
        <w:t>一般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公共预算收支情况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一般公共预算收入情况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上半年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，全县一般公共预算收入完成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89694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62.66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2.61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%。其中地方一般公共预算收入完成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76260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64.52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1.63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%;上划中央收入完成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10658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增长8.76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%；上划省级收入完成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2776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7.71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bCs w:val="0"/>
          <w:color w:val="000000"/>
          <w:sz w:val="32"/>
          <w:szCs w:val="32"/>
        </w:rPr>
        <w:t>分部门完成情况：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税务部门完成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59877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51.31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25.93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%；财政部门完成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29817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112.79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353.93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bCs w:val="0"/>
          <w:color w:val="000000"/>
          <w:sz w:val="32"/>
          <w:szCs w:val="32"/>
        </w:rPr>
        <w:t>分结构完成情况：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税收收入完成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55043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65.14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5.98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%，其中地方税收完成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41610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69.86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5.18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%；非税收入完成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34650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59.09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2.32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%，地方收入中非税占比为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38.63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/>
          <w:bCs w:val="0"/>
          <w:color w:val="000000"/>
          <w:sz w:val="32"/>
          <w:szCs w:val="32"/>
        </w:rPr>
        <w:t>分税种完成情况：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eastAsia="zh-CN"/>
        </w:rPr>
        <w:t>地方税收完成</w:t>
      </w:r>
      <w:r>
        <w:rPr>
          <w:rFonts w:hint="eastAsia" w:ascii="仿宋_GB2312" w:hAnsi="仿宋_GB2312" w:eastAsia="仿宋_GB2312"/>
          <w:b w:val="0"/>
          <w:bCs/>
          <w:color w:val="000000"/>
          <w:sz w:val="32"/>
          <w:szCs w:val="32"/>
          <w:lang w:val="en-US" w:eastAsia="zh-CN"/>
        </w:rPr>
        <w:t>41610万元，其中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增值税完成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5327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2.87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%；企业所得税完成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1106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35.3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%；个人所得税完成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458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43.46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资源税完成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202万元，同比下降3%；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城市维护建设税完成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631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5.83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%；房产税完成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2642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119.81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印花税完成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249万元，同比增长21.12%；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城镇土地使用税完成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481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13.61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%；土地增值税完成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25384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29.03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%；耕地占用税完成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2210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1441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%，契税完成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2154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78.23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上级补助收入情况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上半年，我县共收到上级补助收入379981万元，比上年同期增加11663万元。其中一般性转移支付收入364017万元，比上年同期增加7515万元；专项转移支付收入15964万元，比上年同期增加4148万元。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上半年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,全县一般公共预算支出完成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316006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57.83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7.8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%。主要功能支出科目完成情况如下：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一般公共服务支出完成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32007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51.36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1680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5.54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公共安全支出完成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9665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67.48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1460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13.12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教育支出完成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92095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65.18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17660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23.73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科学技术支出完成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911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60.51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1752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万元,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65.8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文化旅游体育与传媒支出完成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3507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103.55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679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24.01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社会保障与就业支出完成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54629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50.19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4268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7.29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卫生健康支出完成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19518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22.76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6300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24.4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节能环保支出完成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2541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138.25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1336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34.46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城乡社区支出完成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12759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4.83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18511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59.2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农林水支出完成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53379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96.16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10768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16.79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交通运输支出完成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11473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101.96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1048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8.37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资源勘探工业信息等事务支出完成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3813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43.03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579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17.9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自然资源海洋气象等事务支出完成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4406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55.91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1125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20.34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住房保障支出完成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3865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143.84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%，同比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198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4.87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2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政府性基金收支执行情况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上半年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，全县政府性基金收入共完成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7085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5.70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3999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18.96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%，主要是国有土地有偿使用收入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。政府性基金支出完成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54038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万元，为年初预算的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10.88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%，比上年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19988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58.70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%，主要是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土地储备专项债券收入安排的支出增加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⒊社保基金预算收支情况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2025年1-6月，全县社会保险基金预算收入92506.52万元，其中，保险费收入29025.71万元，财政补贴27070.99万元、上级补助收入（企保）35519.21万元，利息、转移收入等其他收入890.61万元；全县社会保险基金支出94866.0</w:t>
      </w:r>
      <w:r>
        <w:rPr>
          <w:rFonts w:hint="eastAsia" w:ascii="仿宋_GB2312" w:hAnsi="仿宋_GB2312" w:eastAsia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万元，其中，社会保险待遇支出83508.3万元，上解上级支出（企保）10911.74万元，转移支出等其他支出446.02万元。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⒋地方债券收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支</w:t>
      </w:r>
      <w:r>
        <w:rPr>
          <w:rFonts w:hint="eastAsia" w:ascii="仿宋_GB2312" w:hAnsi="仿宋_GB2312" w:eastAsia="仿宋_GB2312"/>
          <w:b/>
          <w:bCs/>
          <w:color w:val="000000"/>
          <w:kern w:val="0"/>
          <w:sz w:val="32"/>
          <w:szCs w:val="32"/>
          <w:shd w:val="clear" w:color="auto" w:fill="FFFFFF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上半年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，我县共收到上级地方债券资金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2200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万元，其中一般债券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8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万元，专项债券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3800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万元。全县偿还各类债务本息93680.36万元（本金66358.14万元、利息27322.22万元），其中政府债券偿还本金528.22万元，利息10895.62万元；隐性债务偿还本金11694.01万元，利息2703万元；关注类债务偿还本金6949.84万元，利息405.1万元；经营性债务偿还本金47186.07万元，利息13318.5万元；向省财政厅申请再融资债券7000万元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  <w:t>（二）财政预算执行的主要特点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  <w:t>1.加强财税征收，确保财政收入正增长。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进一步健全财税协同机制，落实征管责任，确保收入颗粒归仓。一是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加大清欠力度。针对历年征收难度较大的房屋租赁税收及残疾人就业保障金，县委县政府高度重视，统筹调度，强化督导，成效显著：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1-6月共入库房产税2642万元，同比增长119.81%，入库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残疾人就业保障金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1007万元，同比增长2787.93%。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二是加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大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盘活国有“三资”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力度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坚持把清查盘活国有“三资”作为财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政增收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的重要手段，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1-6月全县盘活“三资”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增加财政收入18700万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元</w:t>
      </w:r>
      <w:r>
        <w:rPr>
          <w:rFonts w:hint="eastAsia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。通过以上措施，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val="en-US" w:eastAsia="zh-CN"/>
        </w:rPr>
        <w:t>1-6月全县地方一般公共预算收入完成</w:t>
      </w:r>
      <w:r>
        <w:rPr>
          <w:rFonts w:hint="eastAsia" w:eastAsia="仿宋_GB2312"/>
          <w:color w:val="000000"/>
          <w:spacing w:val="0"/>
          <w:sz w:val="32"/>
          <w:szCs w:val="32"/>
          <w:lang w:val="en-US" w:eastAsia="zh-CN"/>
        </w:rPr>
        <w:t>76260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val="en-US" w:eastAsia="zh-CN"/>
        </w:rPr>
        <w:t>万元，同比增长</w:t>
      </w:r>
      <w:r>
        <w:rPr>
          <w:rFonts w:hint="eastAsia" w:eastAsia="仿宋_GB2312"/>
          <w:color w:val="000000"/>
          <w:spacing w:val="0"/>
          <w:sz w:val="32"/>
          <w:szCs w:val="32"/>
          <w:lang w:val="en-US" w:eastAsia="zh-CN"/>
        </w:rPr>
        <w:t>1.63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val="en-US" w:eastAsia="zh-CN"/>
        </w:rPr>
        <w:t>%</w:t>
      </w:r>
      <w:r>
        <w:rPr>
          <w:rFonts w:hint="eastAsia" w:eastAsia="仿宋_GB2312"/>
          <w:color w:val="000000"/>
          <w:spacing w:val="0"/>
          <w:sz w:val="32"/>
          <w:szCs w:val="32"/>
          <w:lang w:val="en-US" w:eastAsia="zh-CN"/>
        </w:rPr>
        <w:t>，实现了正增长的目标。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  <w:t>2.压缩弹性支出，有力保障重点支出。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一是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持续推进政府机关习惯“过紧日子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  <w:t>严格按《溆浦县严格落实党政机关习惯过紧日子要求十五条措施》的要求，将厉行节约意识入心入脑。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二是有力保障“三保”支出。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eastAsia="zh-CN"/>
        </w:rPr>
        <w:t>坚持把“三保”放在财政支出的优先位置，预算优先安排，资金优先拨付，风险优先化解，全力以赴兜牢“三保”底线。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是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兜牢民生保障底线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</w:rPr>
        <w:t>优先义务教育学校保障机制、城乡居民医保、新农保、三农等民生配套资金，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eastAsia="zh-CN"/>
        </w:rPr>
        <w:t>更好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</w:rPr>
        <w:t>保障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eastAsia="zh-CN"/>
        </w:rPr>
        <w:t>民生，增进民生福祉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四是全力化债防控风险，健全债务风险防控机制和政府举债融资机制，坚决遏制债务增量，稳妥化解债务存量。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1-6月，全县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共化解各类债务本息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val="en-US" w:eastAsia="zh-CN"/>
        </w:rPr>
        <w:t>93680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万元，未发生债务风险事件。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/>
          <w:b/>
          <w:bCs/>
          <w:color w:val="000000"/>
          <w:spacing w:val="0"/>
          <w:kern w:val="0"/>
          <w:sz w:val="32"/>
          <w:szCs w:val="32"/>
          <w:lang w:val="en-US" w:eastAsia="zh-CN" w:bidi="ar-SA"/>
        </w:rPr>
        <w:t>3.深化财政制度改革，不断提高财政管理水平。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一是继续深化预算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管理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改革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eastAsia="zh-CN"/>
        </w:rPr>
        <w:t>探索零基预算改革理念，打破财政支出只增不减僵化格局，减轻财政负担，助推新一轮财税体制改革。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是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不断规范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政府采购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管理。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eastAsia="zh-CN"/>
        </w:rPr>
        <w:t>积极推进预算单位政府采购电子卖场工作，不断加强政府采购限额标准以下的支出管理，全面实施政府采购意向挂网公示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val="en-US" w:eastAsia="zh-CN"/>
        </w:rPr>
        <w:t>提高了政府采购的透明度和公正性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</w:rPr>
        <w:t>是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0"/>
          <w:sz w:val="32"/>
          <w:szCs w:val="32"/>
          <w:lang w:eastAsia="zh-CN"/>
        </w:rPr>
        <w:t>充分发挥绩效评价效益。继续</w:t>
      </w:r>
      <w:r>
        <w:rPr>
          <w:rFonts w:hint="eastAsia" w:ascii="仿宋_GB2312" w:hAnsi="仿宋_GB2312" w:eastAsia="仿宋_GB2312"/>
          <w:color w:val="000000"/>
          <w:spacing w:val="0"/>
          <w:sz w:val="32"/>
          <w:szCs w:val="32"/>
          <w:lang w:eastAsia="zh-CN"/>
        </w:rPr>
        <w:t>巩固拓展“绩效管理提升年”行动成果，聘请了第三方对相关单位的绩效目标进行了质量把控，进行事前绩效评价财政再评价，对单位的绩效自评进行全面审核，确保绩效质量有效提升。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/>
          <w:b/>
          <w:bCs/>
          <w:color w:val="000000"/>
          <w:kern w:val="0"/>
          <w:sz w:val="32"/>
          <w:szCs w:val="32"/>
          <w:shd w:val="clear" w:color="auto" w:fill="FFFFFF"/>
        </w:rPr>
        <w:t>（三）下半年工作打算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展望下半年，财政运行仍将面临诸多挑战与不确定性。我们将保持战略定力，准确识变、科学应变、主动求变，从眼前的困境中捕捉和创造机遇，以正确的战略策略应变局、育新机、开新局。具体要抓好以下四个方面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</w:rPr>
        <w:t>1.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聚焦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</w:rPr>
        <w:t>财源建设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在挖潜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</w:rPr>
        <w:t>增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效上精准发力。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牢固树立“大财政”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理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念，把抓好财源建设摆在更加突出的位置，坚定不移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“兴工强县”为关键支撑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推进财源建设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扩量提质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确保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2025年地方一般公共预算收入保持正增长。一是进一步盘活低效闲置“三资”。按照“全领域、全口径、全覆盖”的盘活清查要求，制定“分类、分批、分步”盘活任务清单，按照“能用则用、不用则售、不售则租、能融则融”的处置原则和方式，多渠道、多方式推进资产资源处置盘活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二是加大招商引资。大力实施“招商引资年”活动，充分发挥财政职能作用，将全县招商引资专项经费纳入财政预算予以保障。局领导班子成员带头走出去，开展招商引资，扶植新兴财源，为财税收入注入源头“活水”。三是加快产业发展。用足用好财政政策，全力支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硅砂、石材和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风电、光伏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等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特色产业做大做强，延伸产业链条，尽快形成规模税源。保障好园区产业发展基金，支持“雨溆工业园”建设发展，推动更多产业项目落地。四是进一步深化财税综合治理。深入开展“税费精诚共治”工作，推进多部门精诚合作，实现税费共治，税费征管质效双提升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2.聚焦预算执行，在财政支出上精准把控。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坚持“先预算后支出、无预算不支出、有预算不超支”原则，当好“铁公鸡”，打好“铁算盘”，把每一分钱都花在刀刃上。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一是坚持“三保”优先。始终把“保基本民生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保工资、保运转”放在财政支出的优先位置，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保障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各类工资、民生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落实到位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确保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社会大局稳定。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二是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从严控制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支出。将“过紧日子”作为长期方针，进一步压缩一般性支出、严格执行经费开支标准、强化“三公”经费管理、硬化预算执行约束等措施，切实做到有保有压。严控新增支出，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对无效、低效的支出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坚决取消。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是保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障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重点支出。对县委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县政府确定的各项重大决策部署、重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点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工作、重大项目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所需资金全力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保障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到位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是加强绩效管理。进一步健全事前评估、事中监控、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事后评价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机制，抓好预算绩效管理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持续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提升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质效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3.聚焦债务化解，在风险防范上守牢底线。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一是坚决遏制隐性债务增量。坚持量力而行搞建设，更多运用市场化方式谋发展，坚决避免“负债不负责”“顾前不顾后”。二是有序化解债务存量。统筹各类资金资源，确保按进度完成隐性债务化解任务，督促平台公司按计划筹集偿债资金，提前调度并制定化债预案，有效预防债务风险。通过控制项目规模、压缩公用经费、处置存量资产、引入社会资本等方式，多渠道筹集资金化解存量债务。三是稳妥缓释风险。进一步完善全口径常态化债务监测机制，时刻监控债务变化情况，积极协调金融机构推进风险缓释措施落地。四是管好用好政府债券。建立支出进度全过程通报预警制度，防止资金闲置沉淀，规范用好政府债券资金，扩大有效投资体量，不断增强县域经济活力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4.聚焦财政管理，在提质增效上狠下功夫。</w:t>
      </w: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扎实推进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财政管理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强基固本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”工作，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夯实管理基础、健全制度体系、优化管理流程、强化风险防控，实现财政管理的规范化、科学化和精细化，为经济社会高质量发展提供坚实的财政保障。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一是加强银行账户管理。根据《预算法》、《会计法》、《银行账户管理办法》等相关规定规范银行账户管理，清理不合规账户，实现银行账户资金动态监控，提高资金使用效率，防范财务风险，确保资金安全。二是加强会计基础管理。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</w:rPr>
        <w:t>建立健全会计工作规范体系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</w:rPr>
        <w:t>提升会计核算质量和效率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</w:rPr>
        <w:t>强化会计监督职能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</w:rPr>
        <w:t>提高会计人员专业素质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2"/>
          <w:sz w:val="32"/>
          <w:szCs w:val="32"/>
          <w:shd w:val="clear" w:color="auto" w:fill="FFFFFF"/>
          <w:lang w:eastAsia="zh-CN"/>
        </w:rPr>
        <w:t>，提升财务管理水平，保障单位经济健康运行。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三是规范政府采购管理。坚持以完善监管体系为核心、强化制度建设为重点、规范采购程序为手段，努力实现采购管理精细化、规范化和科学化，不断提高政府采购的质量和效率。四是加强财政监督管理。加大财政资金监管力度，切实规范财政财务管理，提高财政资金使用效益。选取重大项目特别是惠民实事项目，对项目资金拨付、使用、管理全过程监督检查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2024年财政决算和2025年上半年预算执行情况，是全县上下在县委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县政府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坚强领导和县人大有力监督下，攻坚克难、砥砺奋进的财政答卷。面对复杂严峻的经济形势和艰巨繁重的改革发展稳定任务，我们深知财政运行仍面临诸多挑战，收支矛盾依然突出，风险防控不容懈怠。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下半年，我们将在县委县政府的正确领导下，在县人大及其常委会的依法监督和大力支持下，以高度的政治责任感和历史使命感，紧紧围绕全县发展大局，坚持开源节流并重、提质增效并举，持续深化财税体制改革，全力抓好财源培植，硬化预算约束管理，坚决兜牢“三保”底线，稳妥化解政府债务风险，不断提升财政管理现代化水平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我们坚信，有县委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县政府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的统揽全局，有县人大的监督指导，有全县人民的共同努力，我们一定能够克服前进道路上的各种困难，圆满完成全年各项财政目标任务，为奋力谱写中国式现代化湖南新篇章贡献溆浦力量！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以上报告，请予审议。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701" w:right="1474" w:bottom="1531" w:left="1474" w:header="851" w:footer="1134" w:gutter="0"/>
          <w:pgNumType w:fmt="numberInDash" w:start="1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</w:p>
    <w:sectPr>
      <w:footerReference r:id="rId9" w:type="default"/>
      <w:pgSz w:w="11906" w:h="16838"/>
      <w:pgMar w:top="1701" w:right="1474" w:bottom="1531" w:left="1474" w:header="851" w:footer="1134" w:gutter="0"/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tabs>
        <w:tab w:val="clear" w:pos="4153"/>
        <w:tab w:val="clear" w:pos="8306"/>
      </w:tabs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1</w:t>
    </w:r>
    <w:r>
      <w:fldChar w:fldCharType="end"/>
    </w:r>
  </w:p>
  <w:p>
    <w:pPr>
      <w:pStyle w:val="10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jc w:val="center"/>
      <w:rPr>
        <w:sz w:val="18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_x0000_s30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0"/>
                            <w:tabs>
                              <w:tab w:val="clear" w:pos="4153"/>
                              <w:tab w:val="clear" w:pos="8306"/>
                            </w:tabs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3074" o:spid="_x0000_s1026" o:spt="1" style="position:absolute;left:0pt;margin-top:0pt;height:144pt;width:144pt;mso-position-horizontal:outside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2MbPBNMAAAAFAQAADwAAAAAAAAABACAAAAAiAAAAZHJzL2Rvd25yZXYueG1sUEsBAhQAFAAA&#10;AAgAh07iQBOjIX67AQAAhgMAAA4AAAAAAAAAAQAgAAAAIgEAAGRycy9lMm9Eb2MueG1sUEsFBgAA&#10;AAAGAAYAWQEAAE8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0"/>
                      <w:tabs>
                        <w:tab w:val="clear" w:pos="4153"/>
                        <w:tab w:val="clear" w:pos="8306"/>
                      </w:tabs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  <w:tab w:val="clear" w:pos="8306"/>
      </w:tabs>
      <w:rPr>
        <w:sz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tabs>
        <w:tab w:val="clear" w:pos="4153"/>
        <w:tab w:val="clear" w:pos="8306"/>
      </w:tabs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1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k4ZDU3YmFiNmYyOWYxYzUxOTE2M2Q2NWU5ZGEifQ=="/>
  </w:docVars>
  <w:rsids>
    <w:rsidRoot w:val="00000000"/>
    <w:rsid w:val="01EF572E"/>
    <w:rsid w:val="0A2D0B63"/>
    <w:rsid w:val="1D5C5F16"/>
    <w:rsid w:val="23403BE4"/>
    <w:rsid w:val="29245D79"/>
    <w:rsid w:val="3C7E77FF"/>
    <w:rsid w:val="3F4345C8"/>
    <w:rsid w:val="400B13AA"/>
    <w:rsid w:val="504D2CA2"/>
    <w:rsid w:val="523E6809"/>
    <w:rsid w:val="54151939"/>
    <w:rsid w:val="57F82DC0"/>
    <w:rsid w:val="6712451C"/>
    <w:rsid w:val="67434155"/>
    <w:rsid w:val="74557B81"/>
    <w:rsid w:val="77324E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默认段落字体1"/>
    <w:link w:val="1"/>
    <w:qFormat/>
    <w:uiPriority w:val="0"/>
  </w:style>
  <w:style w:type="table" w:customStyle="1" w:styleId="6">
    <w:name w:val="普通表格1"/>
    <w:semiHidden/>
    <w:qFormat/>
    <w:uiPriority w:val="0"/>
  </w:style>
  <w:style w:type="paragraph" w:customStyle="1" w:styleId="7">
    <w:name w:val="正文文本1"/>
    <w:basedOn w:val="1"/>
    <w:qFormat/>
    <w:uiPriority w:val="0"/>
    <w:pPr>
      <w:widowControl/>
      <w:spacing w:line="590" w:lineRule="exact"/>
      <w:ind w:firstLine="420" w:firstLineChars="200"/>
      <w:jc w:val="left"/>
    </w:pPr>
    <w:rPr>
      <w:rFonts w:ascii="仿宋_GB2312" w:hAnsi="仿宋_GB2312" w:eastAsia="宋体"/>
      <w:sz w:val="32"/>
      <w:szCs w:val="32"/>
    </w:rPr>
  </w:style>
  <w:style w:type="paragraph" w:customStyle="1" w:styleId="8">
    <w:name w:val="纯文本1"/>
    <w:basedOn w:val="1"/>
    <w:qFormat/>
    <w:uiPriority w:val="0"/>
    <w:rPr>
      <w:rFonts w:ascii="宋体" w:hAnsi="Courier New"/>
    </w:rPr>
  </w:style>
  <w:style w:type="paragraph" w:customStyle="1" w:styleId="9">
    <w:name w:val="批注框文本1"/>
    <w:basedOn w:val="1"/>
    <w:qFormat/>
    <w:uiPriority w:val="0"/>
    <w:rPr>
      <w:sz w:val="18"/>
      <w:szCs w:val="18"/>
    </w:rPr>
  </w:style>
  <w:style w:type="paragraph" w:customStyle="1" w:styleId="10">
    <w:name w:val="页脚1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1">
    <w:name w:val="页脚 Char"/>
    <w:link w:val="10"/>
    <w:qFormat/>
    <w:uiPriority w:val="0"/>
    <w:rPr>
      <w:kern w:val="2"/>
      <w:sz w:val="18"/>
      <w:szCs w:val="18"/>
    </w:rPr>
  </w:style>
  <w:style w:type="paragraph" w:customStyle="1" w:styleId="12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3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4">
    <w:name w:val="正文首行缩进11"/>
    <w:basedOn w:val="7"/>
    <w:qFormat/>
    <w:uiPriority w:val="0"/>
    <w:pPr>
      <w:spacing w:before="100" w:beforeAutospacing="1" w:after="120"/>
      <w:ind w:firstLineChars="100"/>
      <w:jc w:val="both"/>
    </w:pPr>
    <w:rPr>
      <w:rFonts w:ascii="Calibri" w:hAnsi="Calibri"/>
      <w:sz w:val="21"/>
      <w:szCs w:val="21"/>
    </w:rPr>
  </w:style>
  <w:style w:type="character" w:customStyle="1" w:styleId="15">
    <w:name w:val="要点1"/>
    <w:link w:val="1"/>
    <w:qFormat/>
    <w:uiPriority w:val="0"/>
    <w:rPr>
      <w:b/>
      <w:bCs/>
    </w:rPr>
  </w:style>
  <w:style w:type="character" w:customStyle="1" w:styleId="16">
    <w:name w:val="页码1"/>
    <w:basedOn w:val="5"/>
    <w:link w:val="1"/>
    <w:uiPriority w:val="0"/>
  </w:style>
  <w:style w:type="paragraph" w:customStyle="1" w:styleId="17">
    <w:name w:val="FootnoteText"/>
    <w:basedOn w:val="1"/>
    <w:qFormat/>
    <w:uiPriority w:val="0"/>
    <w:pPr>
      <w:snapToGrid w:val="0"/>
      <w:jc w:val="left"/>
    </w:pPr>
    <w:rPr>
      <w:rFonts w:ascii="Calibri" w:hAnsi="Calibri" w:eastAsia="仿宋_GB2312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9">
    <w:name w:val="正文首行缩进1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8936</Words>
  <Characters>10661</Characters>
  <Lines>0</Lines>
  <Paragraphs>0</Paragraphs>
  <TotalTime>12</TotalTime>
  <ScaleCrop>false</ScaleCrop>
  <LinksUpToDate>false</LinksUpToDate>
  <CharactersWithSpaces>10663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2025-07-29T04:30:00Z</dcterms:created>
  <dc:creator>睿爸</dc:creator>
  <cp:lastModifiedBy>玲子</cp:lastModifiedBy>
  <cp:lastPrinted>2025-07-29T04:53:00Z</cp:lastPrinted>
  <dcterms:modified xsi:type="dcterms:W3CDTF">2025-07-29T05:16:04Z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eyJoZGlkIjoiNDBmN2MyNDVhY2VmNmJhYTNhMzI1YjlmMzIyN2JlODYiLCJ1c2VySWQiOiI2MDUyNjQyNTkifQ==</vt:lpwstr>
  </property>
  <property fmtid="{D5CDD505-2E9C-101B-9397-08002B2CF9AE}" pid="3" name="KSOProductBuildVer">
    <vt:lpwstr>2052-11.1.0.14309</vt:lpwstr>
  </property>
  <property fmtid="{D5CDD505-2E9C-101B-9397-08002B2CF9AE}" pid="4" name="ICV">
    <vt:lpwstr>4C0F7E5D225444C4B631150DB7A4831F_13</vt:lpwstr>
  </property>
</Properties>
</file>