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方正大标宋简体" w:eastAsia="方正大标宋简体" w:cs="宋体"/>
          <w:bCs/>
          <w:color w:val="000000"/>
          <w:kern w:val="0"/>
          <w:sz w:val="32"/>
          <w:szCs w:val="32"/>
        </w:rPr>
      </w:pPr>
      <w:r>
        <w:rPr>
          <w:rFonts w:hint="eastAsia" w:ascii="方正大标宋简体" w:eastAsia="方正大标宋简体" w:cs="宋体"/>
          <w:bCs/>
          <w:color w:val="000000"/>
          <w:kern w:val="0"/>
          <w:sz w:val="32"/>
          <w:szCs w:val="32"/>
        </w:rPr>
        <w:t>溆浦县图书馆202</w:t>
      </w:r>
      <w:r>
        <w:rPr>
          <w:rFonts w:hint="eastAsia" w:ascii="方正大标宋简体" w:eastAsia="方正大标宋简体" w:cs="宋体"/>
          <w:bCs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方正大标宋简体" w:eastAsia="方正大标宋简体" w:cs="宋体"/>
          <w:bCs/>
          <w:color w:val="000000"/>
          <w:kern w:val="0"/>
          <w:sz w:val="32"/>
          <w:szCs w:val="32"/>
        </w:rPr>
        <w:t>年</w:t>
      </w:r>
      <w:r>
        <w:rPr>
          <w:rFonts w:hint="eastAsia" w:ascii="方正大标宋简体" w:eastAsia="方正大标宋简体" w:cs="宋体"/>
          <w:bCs/>
          <w:color w:val="000000"/>
          <w:kern w:val="0"/>
          <w:sz w:val="32"/>
          <w:szCs w:val="32"/>
          <w:lang w:val="en-US" w:eastAsia="zh-CN"/>
        </w:rPr>
        <w:t>免费开放地方配套</w:t>
      </w:r>
      <w:r>
        <w:rPr>
          <w:rFonts w:hint="eastAsia" w:ascii="方正大标宋简体" w:eastAsia="方正大标宋简体" w:cs="宋体"/>
          <w:bCs/>
          <w:color w:val="000000"/>
          <w:kern w:val="0"/>
          <w:sz w:val="32"/>
          <w:szCs w:val="32"/>
        </w:rPr>
        <w:t>专项资金</w:t>
      </w:r>
    </w:p>
    <w:p>
      <w:pPr>
        <w:spacing w:line="640" w:lineRule="exact"/>
        <w:jc w:val="center"/>
        <w:rPr>
          <w:rFonts w:ascii="方正大标宋简体" w:eastAsia="方正大标宋简体" w:cs="宋体"/>
          <w:bCs/>
          <w:color w:val="000000"/>
          <w:kern w:val="0"/>
          <w:sz w:val="32"/>
          <w:szCs w:val="32"/>
        </w:rPr>
      </w:pPr>
      <w:r>
        <w:rPr>
          <w:rFonts w:hint="eastAsia" w:ascii="方正大标宋简体" w:eastAsia="方正大标宋简体" w:cs="宋体"/>
          <w:bCs/>
          <w:color w:val="000000"/>
          <w:kern w:val="0"/>
          <w:sz w:val="32"/>
          <w:szCs w:val="32"/>
        </w:rPr>
        <w:t>绩效评价报告</w:t>
      </w:r>
    </w:p>
    <w:p>
      <w:pPr>
        <w:overflowPunct w:val="0"/>
        <w:topLinePunct/>
        <w:spacing w:line="540" w:lineRule="exact"/>
        <w:ind w:firstLine="640" w:firstLineChars="200"/>
        <w:rPr>
          <w:rFonts w:ascii="仿宋_GB2312" w:hAnsi="仿宋_GB2312" w:eastAsia="仿宋_GB2312" w:cs="仿宋_GB2312"/>
          <w:color w:val="414141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14141"/>
          <w:kern w:val="0"/>
          <w:sz w:val="32"/>
          <w:szCs w:val="32"/>
        </w:rPr>
        <w:t>为加强财政资金管理，强化支出责任，提高财政资金的使用效益，建立科学、合理的财政支出绩效评价管理体系，根据《溆浦县财政局关于开展专项资金支出绩效评价工作的通知》（溆财绩函【202</w:t>
      </w:r>
      <w:r>
        <w:rPr>
          <w:rFonts w:hint="eastAsia" w:ascii="仿宋_GB2312" w:hAnsi="仿宋_GB2312" w:eastAsia="仿宋_GB2312" w:cs="仿宋_GB2312"/>
          <w:color w:val="414141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414141"/>
          <w:kern w:val="0"/>
          <w:sz w:val="32"/>
          <w:szCs w:val="32"/>
        </w:rPr>
        <w:t>】</w:t>
      </w:r>
      <w:r>
        <w:rPr>
          <w:rFonts w:hint="eastAsia" w:ascii="仿宋_GB2312" w:hAnsi="仿宋_GB2312" w:eastAsia="仿宋_GB2312" w:cs="仿宋_GB2312"/>
          <w:color w:val="414141"/>
          <w:kern w:val="0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414141"/>
          <w:kern w:val="0"/>
          <w:sz w:val="32"/>
          <w:szCs w:val="32"/>
        </w:rPr>
        <w:t>号）等有关文件精神，我馆于202</w:t>
      </w:r>
      <w:r>
        <w:rPr>
          <w:rFonts w:hint="eastAsia" w:ascii="仿宋_GB2312" w:hAnsi="仿宋_GB2312" w:eastAsia="仿宋_GB2312" w:cs="仿宋_GB2312"/>
          <w:color w:val="414141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414141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414141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414141"/>
          <w:kern w:val="0"/>
          <w:sz w:val="32"/>
          <w:szCs w:val="32"/>
        </w:rPr>
        <w:t>月，组织力量对本单位的项目建设支出进行了绩效评价，本次评价遵循了“科学规范、公正公开、分类管理、绩效相关”的原则，运用科学、合理的绩效评价方法，对本单位202</w:t>
      </w:r>
      <w:r>
        <w:rPr>
          <w:rFonts w:hint="eastAsia" w:ascii="仿宋_GB2312" w:hAnsi="仿宋_GB2312" w:eastAsia="仿宋_GB2312" w:cs="仿宋_GB2312"/>
          <w:color w:val="414141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414141"/>
          <w:kern w:val="0"/>
          <w:sz w:val="32"/>
          <w:szCs w:val="32"/>
        </w:rPr>
        <w:t>度购书费专项资金绩效情况进行客观、公正的评价。现将情况报告如下：</w:t>
      </w:r>
    </w:p>
    <w:p>
      <w:pPr>
        <w:pStyle w:val="9"/>
        <w:numPr>
          <w:ilvl w:val="0"/>
          <w:numId w:val="1"/>
        </w:numPr>
        <w:spacing w:line="580" w:lineRule="exact"/>
        <w:ind w:firstLineChars="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项目基本情况</w:t>
      </w:r>
    </w:p>
    <w:p>
      <w:pPr>
        <w:pStyle w:val="9"/>
        <w:spacing w:line="580" w:lineRule="exact"/>
        <w:ind w:firstLine="64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1.项目概况。202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免费开放地方配套资金2.4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万元，主要用于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图书馆免费开放日常开支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。</w:t>
      </w:r>
    </w:p>
    <w:p>
      <w:pPr>
        <w:overflowPunct w:val="0"/>
        <w:topLinePunct/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2.项目绩效目标。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积极推进图书馆免费开放，保障读者的基本阅读需求，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保证</w:t>
      </w:r>
      <w:r>
        <w:rPr>
          <w:rFonts w:hint="default" w:ascii="仿宋_GB2312" w:hAnsi="宋体" w:eastAsia="仿宋_GB2312" w:cs="仿宋_GB2312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图书馆免费开放设施</w:t>
      </w:r>
      <w:r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正常运行；增加馆藏</w:t>
      </w:r>
      <w:r>
        <w:rPr>
          <w:rFonts w:hint="default" w:ascii="仿宋_GB2312" w:hAnsi="宋体" w:eastAsia="仿宋_GB2312" w:cs="仿宋_GB2312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图书，开展送书下乡活动</w:t>
      </w:r>
      <w:r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和</w:t>
      </w:r>
      <w:r>
        <w:rPr>
          <w:rFonts w:hint="default" w:ascii="仿宋_GB2312" w:hAnsi="宋体" w:eastAsia="仿宋_GB2312" w:cs="仿宋_GB2312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图书馆总分馆分馆管理员业务培训。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。</w:t>
      </w:r>
    </w:p>
    <w:p>
      <w:pPr>
        <w:spacing w:line="58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二、绩效评价指标分析情况</w:t>
      </w:r>
    </w:p>
    <w:p>
      <w:pPr>
        <w:spacing w:line="580" w:lineRule="exact"/>
        <w:ind w:firstLine="643" w:firstLineChars="200"/>
        <w:rPr>
          <w:rFonts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（一）项目资金情况分析</w:t>
      </w:r>
    </w:p>
    <w:p>
      <w:pPr>
        <w:overflowPunct w:val="0"/>
        <w:topLinePunct/>
        <w:spacing w:line="540" w:lineRule="exact"/>
        <w:ind w:firstLine="640" w:firstLineChars="200"/>
        <w:rPr>
          <w:rFonts w:ascii="仿宋_GB2312" w:hAnsi="仿宋_GB2312" w:eastAsia="仿宋_GB2312" w:cs="仿宋_GB2312"/>
          <w:color w:val="414141"/>
          <w:kern w:val="0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1.项目资金到位情况分析。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color w:val="313131"/>
          <w:kern w:val="0"/>
          <w:sz w:val="32"/>
          <w:szCs w:val="32"/>
          <w:shd w:val="clear" w:color="auto" w:fill="FFFFFF"/>
        </w:rPr>
        <w:t>02</w:t>
      </w:r>
      <w:r>
        <w:rPr>
          <w:rFonts w:hint="eastAsia" w:ascii="仿宋_GB2312" w:hAnsi="仿宋_GB2312" w:eastAsia="仿宋_GB2312" w:cs="仿宋_GB2312"/>
          <w:color w:val="313131"/>
          <w:kern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313131"/>
          <w:kern w:val="0"/>
          <w:sz w:val="32"/>
          <w:szCs w:val="32"/>
          <w:shd w:val="clear" w:color="auto" w:fill="FFFFFF"/>
        </w:rPr>
        <w:t>年县财政局安排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免费开放地方配套资金2.4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313131"/>
          <w:kern w:val="0"/>
          <w:sz w:val="32"/>
          <w:szCs w:val="32"/>
          <w:shd w:val="clear" w:color="auto" w:fill="FFFFFF"/>
        </w:rPr>
        <w:t>，财政资金已全部拨付到我馆，拨付到位率100%。</w:t>
      </w:r>
    </w:p>
    <w:p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2.项目资金使用情况分析。</w:t>
      </w:r>
      <w:r>
        <w:rPr>
          <w:rFonts w:hint="eastAsia" w:ascii="仿宋_GB2312" w:hAnsi="仿宋_GB2312" w:eastAsia="仿宋_GB2312" w:cs="仿宋_GB2312"/>
          <w:color w:val="313131"/>
          <w:kern w:val="0"/>
          <w:sz w:val="32"/>
          <w:szCs w:val="32"/>
          <w:shd w:val="clear" w:color="auto" w:fill="FFFFFF"/>
        </w:rPr>
        <w:t>财政预算安排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免费开放地方配套资金2.4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313131"/>
          <w:kern w:val="0"/>
          <w:sz w:val="32"/>
          <w:szCs w:val="32"/>
          <w:shd w:val="clear" w:color="auto" w:fill="FFFFFF"/>
        </w:rPr>
        <w:t>，</w:t>
      </w:r>
      <w:r>
        <w:rPr>
          <w:rFonts w:hint="eastAsia" w:ascii="仿宋_GB2312" w:hAnsi="仿宋" w:eastAsia="仿宋_GB2312" w:cs="Arial"/>
          <w:color w:val="000000"/>
          <w:sz w:val="32"/>
          <w:szCs w:val="32"/>
        </w:rPr>
        <w:t>我馆共投入使用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免费开放地方配套资金2.4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</w:t>
      </w:r>
      <w:r>
        <w:rPr>
          <w:rFonts w:hint="eastAsia" w:ascii="仿宋_GB2312" w:hAnsi="仿宋" w:eastAsia="仿宋_GB2312" w:cs="Arial"/>
          <w:color w:val="000000"/>
          <w:sz w:val="32"/>
          <w:szCs w:val="32"/>
        </w:rPr>
        <w:t>，</w:t>
      </w:r>
      <w:r>
        <w:rPr>
          <w:rFonts w:hint="eastAsia" w:ascii="仿宋_GB2312" w:hAnsi="仿宋" w:eastAsia="仿宋_GB2312" w:cs="Arial"/>
          <w:color w:val="000000"/>
          <w:sz w:val="32"/>
          <w:szCs w:val="32"/>
          <w:lang w:val="en-US" w:eastAsia="zh-CN"/>
        </w:rPr>
        <w:t>主要用于图书馆免费开放设施维护维修及水电费支出、开展图书馆总分馆分馆管理员业务培训、采购图书开展送书下乡活动。</w:t>
      </w:r>
    </w:p>
    <w:p>
      <w:pPr>
        <w:overflowPunct w:val="0"/>
        <w:topLinePunct/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3.项目资金管理情况分析。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认真按照上级部门的统一部署，统一思想认识，强化资金使用绩效，狠抓责任落实，保证项目建设资金按时到位，专款专用。</w:t>
      </w:r>
    </w:p>
    <w:p>
      <w:pPr>
        <w:spacing w:line="580" w:lineRule="exact"/>
        <w:ind w:firstLine="643" w:firstLineChars="200"/>
        <w:rPr>
          <w:rFonts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（二）项目实施情况分析</w:t>
      </w:r>
    </w:p>
    <w:p>
      <w:pPr>
        <w:overflowPunct w:val="0"/>
        <w:topLinePunct/>
        <w:spacing w:line="540" w:lineRule="exact"/>
        <w:ind w:firstLine="640" w:firstLineChars="200"/>
        <w:rPr>
          <w:rFonts w:ascii="仿宋_GB2312" w:hAnsi="仿宋_GB2312" w:eastAsia="仿宋_GB2312" w:cs="仿宋_GB2312"/>
          <w:color w:val="414141"/>
          <w:kern w:val="0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1.项目组织情况分析。</w:t>
      </w:r>
      <w:r>
        <w:rPr>
          <w:rFonts w:hint="eastAsia" w:ascii="仿宋_GB2312" w:hAnsi="仿宋_GB2312" w:eastAsia="仿宋_GB2312" w:cs="仿宋_GB2312"/>
          <w:color w:val="313131"/>
          <w:kern w:val="0"/>
          <w:sz w:val="32"/>
          <w:szCs w:val="32"/>
          <w:shd w:val="clear" w:color="auto" w:fill="FFFFFF"/>
        </w:rPr>
        <w:t>财政预算安排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免费开放地方配套资金2.4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313131"/>
          <w:kern w:val="0"/>
          <w:sz w:val="32"/>
          <w:szCs w:val="32"/>
          <w:shd w:val="clear" w:color="auto" w:fill="FFFFFF"/>
        </w:rPr>
        <w:t>，</w:t>
      </w:r>
      <w:r>
        <w:rPr>
          <w:rFonts w:hint="eastAsia" w:ascii="仿宋_GB2312" w:hAnsi="仿宋" w:eastAsia="仿宋_GB2312" w:cs="Arial"/>
          <w:color w:val="000000"/>
          <w:sz w:val="32"/>
          <w:szCs w:val="32"/>
        </w:rPr>
        <w:t>我馆共投入使用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免费开放地方配套资金2.4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</w:t>
      </w:r>
      <w:r>
        <w:rPr>
          <w:rFonts w:hint="eastAsia" w:ascii="仿宋_GB2312" w:hAnsi="仿宋" w:eastAsia="仿宋_GB2312" w:cs="Arial"/>
          <w:color w:val="000000"/>
          <w:sz w:val="32"/>
          <w:szCs w:val="32"/>
        </w:rPr>
        <w:t>，</w:t>
      </w:r>
      <w:r>
        <w:rPr>
          <w:rFonts w:hint="eastAsia" w:ascii="仿宋_GB2312" w:hAnsi="仿宋" w:eastAsia="仿宋_GB2312" w:cs="Arial"/>
          <w:color w:val="000000"/>
          <w:sz w:val="32"/>
          <w:szCs w:val="32"/>
          <w:lang w:val="en-US" w:eastAsia="zh-CN"/>
        </w:rPr>
        <w:t>全部用于图书馆免费开放设施维护维修及水电费支出、开展图书馆总分馆分馆管理员业务培训2次、采购图书开展送书下乡活动12场次。</w:t>
      </w:r>
    </w:p>
    <w:p>
      <w:pPr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2.项目管理情况分析。</w:t>
      </w:r>
    </w:p>
    <w:p>
      <w:pPr>
        <w:overflowPunct w:val="0"/>
        <w:topLinePunct/>
        <w:spacing w:line="540" w:lineRule="exact"/>
        <w:ind w:firstLine="640" w:firstLineChars="200"/>
        <w:rPr>
          <w:rFonts w:ascii="仿宋_GB2312" w:hAnsi="仿宋_GB2312" w:eastAsia="仿宋_GB2312" w:cs="仿宋_GB2312"/>
          <w:color w:val="414141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（1）全面推行信息公开、公告、公示制度，确保项目建设资金的使用公正透明，确保项目实施达到预期的经济效益、社会效益、生态效益。</w:t>
      </w:r>
    </w:p>
    <w:p>
      <w:pPr>
        <w:overflowPunct w:val="0"/>
        <w:topLinePunct/>
        <w:spacing w:line="540" w:lineRule="exact"/>
        <w:ind w:firstLine="640" w:firstLineChars="200"/>
        <w:rPr>
          <w:rFonts w:ascii="仿宋_GB2312" w:hAnsi="仿宋_GB2312" w:eastAsia="仿宋_GB2312" w:cs="仿宋_GB2312"/>
          <w:color w:val="414141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（2）项目资金支付形式，依据年初拟定用款计划，严格按照项目资金管理办法对资金进行计划申请、划拨、使用，及时、规范对收支进行账务处理和会计核算。</w:t>
      </w:r>
    </w:p>
    <w:p>
      <w:pPr>
        <w:spacing w:line="580" w:lineRule="exact"/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（三）项目绩效情况分析</w:t>
      </w:r>
    </w:p>
    <w:p>
      <w:pPr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1.项目的经济性分析。202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免费开放地方配套资金2.4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</w:t>
      </w:r>
      <w:r>
        <w:rPr>
          <w:rFonts w:hint="eastAsia" w:ascii="仿宋_GB2312" w:hAnsi="宋体" w:eastAsia="仿宋_GB2312"/>
          <w:sz w:val="32"/>
          <w:szCs w:val="32"/>
        </w:rPr>
        <w:t>，共投入资金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2.4</w:t>
      </w:r>
      <w:r>
        <w:rPr>
          <w:rFonts w:hint="eastAsia" w:ascii="仿宋_GB2312" w:hAnsi="宋体" w:eastAsia="仿宋_GB2312"/>
          <w:sz w:val="32"/>
          <w:szCs w:val="32"/>
        </w:rPr>
        <w:t>万元。所有专项资金专款专用，没有挪用和挤占。</w:t>
      </w:r>
    </w:p>
    <w:p>
      <w:pPr>
        <w:overflowPunct w:val="0"/>
        <w:topLinePunct/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2.项目的效率性分析。202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免费开放地方配套资金</w:t>
      </w:r>
      <w:r>
        <w:rPr>
          <w:rFonts w:hint="eastAsia" w:ascii="仿宋_GB2312" w:hAnsi="宋体" w:eastAsia="仿宋_GB2312"/>
          <w:sz w:val="32"/>
          <w:szCs w:val="32"/>
        </w:rPr>
        <w:t>，严格按照绩效申报目标实施，全年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经常开展</w:t>
      </w:r>
      <w:r>
        <w:rPr>
          <w:rFonts w:hint="eastAsia" w:ascii="仿宋_GB2312" w:hAnsi="仿宋" w:eastAsia="仿宋_GB2312" w:cs="Arial"/>
          <w:color w:val="000000"/>
          <w:sz w:val="32"/>
          <w:szCs w:val="32"/>
          <w:lang w:val="en-US" w:eastAsia="zh-CN"/>
        </w:rPr>
        <w:t>图书馆免费开放设施维护维修、开展图书馆总分馆分馆管理员业务培训2次、采购图书开展送书下乡活动12场次。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3.项目的效益性分析。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进行读者辅导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1000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人次。</w:t>
      </w:r>
      <w:r>
        <w:rPr>
          <w:rFonts w:hint="eastAsia" w:ascii="仿宋_GB2312" w:hAnsi="仿宋_GB2312" w:eastAsia="仿宋_GB2312" w:cs="仿宋_GB2312"/>
          <w:sz w:val="32"/>
          <w:szCs w:val="32"/>
        </w:rPr>
        <w:t>我馆全年今年共办理借书证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00多个，我馆现有办证读者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97</w:t>
      </w:r>
      <w:r>
        <w:rPr>
          <w:rFonts w:hint="eastAsia" w:ascii="仿宋_GB2312" w:hAnsi="仿宋_GB2312" w:eastAsia="仿宋_GB2312" w:cs="仿宋_GB2312"/>
          <w:sz w:val="32"/>
          <w:szCs w:val="32"/>
        </w:rPr>
        <w:t>00多人，全年接待读者2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万人次，外借书刊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万册次。开展书香湖南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送书下乡等各类活动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0场次。</w:t>
      </w:r>
    </w:p>
    <w:p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三、项目后续工作计划。</w:t>
      </w:r>
      <w:r>
        <w:rPr>
          <w:rFonts w:hint="eastAsia" w:ascii="仿宋_GB2312" w:hAnsi="黑体" w:eastAsia="仿宋_GB2312" w:cs="黑体"/>
          <w:sz w:val="32"/>
          <w:szCs w:val="32"/>
          <w:lang w:val="en-US" w:eastAsia="zh-CN"/>
        </w:rPr>
        <w:t>免费开放服务</w:t>
      </w:r>
      <w:r>
        <w:rPr>
          <w:rFonts w:hint="eastAsia" w:ascii="仿宋_GB2312" w:hAnsi="黑体" w:eastAsia="仿宋_GB2312" w:cs="黑体"/>
          <w:sz w:val="32"/>
          <w:szCs w:val="32"/>
        </w:rPr>
        <w:t>是图书馆的一项常规性、连续性工作，也是图书馆实现</w:t>
      </w:r>
      <w:r>
        <w:rPr>
          <w:rFonts w:hint="eastAsia" w:ascii="仿宋_GB2312" w:hAnsi="黑体" w:eastAsia="仿宋_GB2312" w:cs="黑体"/>
          <w:sz w:val="32"/>
          <w:szCs w:val="32"/>
          <w:lang w:val="en-US" w:eastAsia="zh-CN"/>
        </w:rPr>
        <w:t>社会价值</w:t>
      </w:r>
      <w:r>
        <w:rPr>
          <w:rFonts w:hint="eastAsia" w:ascii="仿宋_GB2312" w:hAnsi="黑体" w:eastAsia="仿宋_GB2312" w:cs="黑体"/>
          <w:sz w:val="32"/>
          <w:szCs w:val="32"/>
        </w:rPr>
        <w:t>的工作基础，202</w:t>
      </w:r>
      <w:r>
        <w:rPr>
          <w:rFonts w:hint="eastAsia" w:ascii="仿宋_GB2312" w:hAnsi="黑体" w:eastAsia="仿宋_GB2312" w:cs="黑体"/>
          <w:sz w:val="32"/>
          <w:szCs w:val="32"/>
          <w:lang w:val="en-US" w:eastAsia="zh-CN"/>
        </w:rPr>
        <w:t>3</w:t>
      </w:r>
      <w:r>
        <w:rPr>
          <w:rFonts w:hint="eastAsia" w:ascii="仿宋_GB2312" w:hAnsi="黑体" w:eastAsia="仿宋_GB2312" w:cs="黑体"/>
          <w:sz w:val="32"/>
          <w:szCs w:val="32"/>
        </w:rPr>
        <w:t>年我馆</w:t>
      </w:r>
      <w:r>
        <w:rPr>
          <w:rFonts w:hint="eastAsia" w:ascii="仿宋_GB2312" w:hAnsi="黑体" w:eastAsia="仿宋_GB2312" w:cs="黑体"/>
          <w:sz w:val="32"/>
          <w:szCs w:val="32"/>
          <w:lang w:val="en-US" w:eastAsia="zh-CN"/>
        </w:rPr>
        <w:t>继续推进免费开放，加大宣传力度，提高社会知晓率，优化阅读环境、提升服务效率，更好的为社会和读者服务</w:t>
      </w:r>
      <w:r>
        <w:rPr>
          <w:rFonts w:hint="eastAsia" w:ascii="仿宋_GB2312" w:hAnsi="黑体" w:eastAsia="仿宋_GB2312" w:cs="黑体"/>
          <w:sz w:val="32"/>
          <w:szCs w:val="32"/>
        </w:rPr>
        <w:t>。</w:t>
      </w:r>
    </w:p>
    <w:p>
      <w:pPr>
        <w:spacing w:line="58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四、评价情况及评价结论。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溆浦县图书馆202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免费开放地方配套资金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绩效评价指标得分为97分，评价为优。</w:t>
      </w:r>
    </w:p>
    <w:p>
      <w:pPr>
        <w:spacing w:line="58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五、主要经验做法、存在问题、改进措施和建议</w:t>
      </w:r>
    </w:p>
    <w:p>
      <w:pPr>
        <w:ind w:firstLine="707" w:firstLineChars="221"/>
        <w:jc w:val="left"/>
        <w:rPr>
          <w:rStyle w:val="10"/>
          <w:rFonts w:hint="eastAsia" w:ascii="仿宋" w:hAnsi="仿宋" w:eastAsia="仿宋" w:cs="仿宋"/>
          <w:sz w:val="32"/>
          <w:szCs w:val="32"/>
        </w:rPr>
      </w:pPr>
      <w:r>
        <w:rPr>
          <w:rStyle w:val="10"/>
          <w:rFonts w:hint="eastAsia" w:ascii="仿宋" w:hAnsi="仿宋" w:eastAsia="仿宋" w:cs="仿宋"/>
          <w:sz w:val="32"/>
          <w:szCs w:val="32"/>
        </w:rPr>
        <w:t>1、丰富的藏书是图书馆开展文化服务活动的前提，当前很多图书馆门庭冷落的主要原因就是购书经费短缺，入藏新书少，图书馆无书可读。希望国家加大对图书馆的投入，建立长效机制，将图书馆的事业经费列入财政预算。</w:t>
      </w:r>
    </w:p>
    <w:p>
      <w:pPr>
        <w:ind w:firstLine="707" w:firstLineChars="221"/>
        <w:jc w:val="left"/>
        <w:rPr>
          <w:rStyle w:val="10"/>
          <w:rFonts w:hint="eastAsia" w:ascii="仿宋" w:hAnsi="仿宋" w:eastAsia="仿宋" w:cs="仿宋"/>
          <w:sz w:val="32"/>
          <w:szCs w:val="32"/>
        </w:rPr>
      </w:pPr>
      <w:r>
        <w:rPr>
          <w:rStyle w:val="10"/>
          <w:rFonts w:hint="eastAsia" w:ascii="仿宋" w:hAnsi="仿宋" w:eastAsia="仿宋" w:cs="仿宋"/>
          <w:sz w:val="32"/>
          <w:szCs w:val="32"/>
        </w:rPr>
        <w:t>2、加强基础设施建设。不断改善图书馆的办公条件，优化读者的读书环境，提高图书馆服务的自动化水平。</w:t>
      </w:r>
    </w:p>
    <w:p>
      <w:pPr>
        <w:ind w:firstLine="707" w:firstLineChars="221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Style w:val="10"/>
          <w:rFonts w:hint="eastAsia" w:ascii="仿宋" w:hAnsi="仿宋" w:eastAsia="仿宋" w:cs="仿宋"/>
          <w:sz w:val="32"/>
          <w:szCs w:val="32"/>
        </w:rPr>
        <w:t>3、提升服务水平。加强图书馆工作人员的职业道德教育和图书馆专业技术教育，提升图书人员的服务水平。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六、其他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无</w:t>
      </w:r>
    </w:p>
    <w:p>
      <w:pPr>
        <w:spacing w:line="58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                                </w:t>
      </w:r>
    </w:p>
    <w:p>
      <w:pPr>
        <w:spacing w:line="580" w:lineRule="exact"/>
        <w:ind w:firstLine="4760" w:firstLineChars="17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 溆浦县图书馆</w:t>
      </w:r>
    </w:p>
    <w:p>
      <w:pPr>
        <w:spacing w:line="580" w:lineRule="exact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                                202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3</w:t>
      </w:r>
      <w:r>
        <w:rPr>
          <w:rFonts w:hint="eastAsia" w:ascii="黑体" w:hAnsi="黑体" w:eastAsia="黑体" w:cs="黑体"/>
          <w:sz w:val="28"/>
          <w:szCs w:val="28"/>
        </w:rPr>
        <w:t>年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3</w:t>
      </w:r>
      <w:r>
        <w:rPr>
          <w:rFonts w:hint="eastAsia" w:ascii="黑体" w:hAnsi="黑体" w:eastAsia="黑体" w:cs="黑体"/>
          <w:sz w:val="28"/>
          <w:szCs w:val="28"/>
        </w:rPr>
        <w:t>月</w:t>
      </w:r>
    </w:p>
    <w:p>
      <w:pPr>
        <w:rPr>
          <w:sz w:val="28"/>
          <w:szCs w:val="28"/>
        </w:rPr>
      </w:pPr>
      <w:bookmarkStart w:id="0" w:name="_GoBack"/>
      <w:bookmarkEnd w:id="0"/>
    </w:p>
    <w:sectPr>
      <w:headerReference r:id="rId4" w:type="first"/>
      <w:headerReference r:id="rId3" w:type="default"/>
      <w:footerReference r:id="rId5" w:type="default"/>
      <w:footerReference r:id="rId6" w:type="even"/>
      <w:pgSz w:w="11906" w:h="16838"/>
      <w:pgMar w:top="2155" w:right="1814" w:bottom="1701" w:left="1814" w:header="851" w:footer="1247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大标宋简体">
    <w:altName w:val="Arial Unicode MS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Style w:val="6"/>
        <w:rFonts w:ascii="Times New Roman" w:hAnsi="Times New Roman"/>
        <w:sz w:val="24"/>
        <w:szCs w:val="24"/>
      </w:rPr>
      <w:instrText xml:space="preserve">PAGE  </w:instrText>
    </w:r>
    <w:r>
      <w:rPr>
        <w:rFonts w:ascii="Times New Roman" w:hAnsi="Times New Roman"/>
        <w:sz w:val="24"/>
        <w:szCs w:val="24"/>
      </w:rPr>
      <w:fldChar w:fldCharType="separate"/>
    </w:r>
    <w:r>
      <w:rPr>
        <w:rStyle w:val="6"/>
        <w:rFonts w:ascii="Times New Roman" w:hAnsi="Times New Roman"/>
        <w:sz w:val="24"/>
        <w:szCs w:val="24"/>
      </w:rPr>
      <w:t>4</w:t>
    </w:r>
    <w:r>
      <w:rPr>
        <w:rFonts w:ascii="Times New Roman" w:hAnsi="Times New Roman"/>
        <w:sz w:val="24"/>
        <w:szCs w:val="24"/>
      </w:rPr>
      <w:fldChar w:fldCharType="end"/>
    </w:r>
  </w:p>
  <w:p>
    <w:pPr>
      <w:pStyle w:val="2"/>
      <w:rPr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4</w: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971F59"/>
    <w:multiLevelType w:val="multilevel"/>
    <w:tmpl w:val="1B971F59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TNiZTNmMDQ2MDMwZDBhNjAyYTdhZmM2YjVjMTExZjEifQ=="/>
  </w:docVars>
  <w:rsids>
    <w:rsidRoot w:val="00A5717D"/>
    <w:rsid w:val="00023857"/>
    <w:rsid w:val="00056ADF"/>
    <w:rsid w:val="0007065B"/>
    <w:rsid w:val="00107F45"/>
    <w:rsid w:val="00182B20"/>
    <w:rsid w:val="001B761D"/>
    <w:rsid w:val="00283524"/>
    <w:rsid w:val="002B5B90"/>
    <w:rsid w:val="002C08C7"/>
    <w:rsid w:val="00314FB3"/>
    <w:rsid w:val="00342186"/>
    <w:rsid w:val="003A7A79"/>
    <w:rsid w:val="00577374"/>
    <w:rsid w:val="00642D70"/>
    <w:rsid w:val="00655A21"/>
    <w:rsid w:val="00924ED9"/>
    <w:rsid w:val="009459F1"/>
    <w:rsid w:val="00995F7F"/>
    <w:rsid w:val="009D5424"/>
    <w:rsid w:val="00A5717D"/>
    <w:rsid w:val="00BB43CA"/>
    <w:rsid w:val="00C846BE"/>
    <w:rsid w:val="00CE5B0C"/>
    <w:rsid w:val="00E0487C"/>
    <w:rsid w:val="00E92A05"/>
    <w:rsid w:val="00F063E3"/>
    <w:rsid w:val="00F1577F"/>
    <w:rsid w:val="00F15D0B"/>
    <w:rsid w:val="00FA60D3"/>
    <w:rsid w:val="01BE5761"/>
    <w:rsid w:val="2450695D"/>
    <w:rsid w:val="32AF043E"/>
    <w:rsid w:val="3C331383"/>
    <w:rsid w:val="456149F1"/>
    <w:rsid w:val="539E4F9E"/>
    <w:rsid w:val="56FF15A8"/>
    <w:rsid w:val="7FBB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  <w:style w:type="character" w:customStyle="1" w:styleId="7">
    <w:name w:val="页脚 Char"/>
    <w:basedOn w:val="5"/>
    <w:link w:val="2"/>
    <w:uiPriority w:val="0"/>
    <w:rPr>
      <w:rFonts w:ascii="Calibri" w:hAnsi="Calibri" w:eastAsia="宋体" w:cs="Times New Roman"/>
      <w:sz w:val="18"/>
      <w:szCs w:val="18"/>
    </w:rPr>
  </w:style>
  <w:style w:type="character" w:customStyle="1" w:styleId="8">
    <w:name w:val="页眉 Char"/>
    <w:basedOn w:val="5"/>
    <w:link w:val="3"/>
    <w:uiPriority w:val="0"/>
    <w:rPr>
      <w:rFonts w:ascii="Calibri" w:hAnsi="Calibri" w:eastAsia="宋体" w:cs="Times New Roman"/>
      <w:sz w:val="18"/>
      <w:szCs w:val="18"/>
    </w:rPr>
  </w:style>
  <w:style w:type="paragraph" w:customStyle="1" w:styleId="9">
    <w:name w:val="列出段落1"/>
    <w:basedOn w:val="1"/>
    <w:qFormat/>
    <w:uiPriority w:val="0"/>
    <w:pPr>
      <w:ind w:firstLine="420" w:firstLineChars="200"/>
    </w:pPr>
    <w:rPr>
      <w:szCs w:val="22"/>
    </w:rPr>
  </w:style>
  <w:style w:type="character" w:customStyle="1" w:styleId="10">
    <w:name w:val="style68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1508</Words>
  <Characters>1584</Characters>
  <Lines>12</Lines>
  <Paragraphs>3</Paragraphs>
  <TotalTime>2</TotalTime>
  <ScaleCrop>false</ScaleCrop>
  <LinksUpToDate>false</LinksUpToDate>
  <CharactersWithSpaces>1651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2022-05-13T06:53:00Z</dcterms:created>
  <dc:creator>个人用户</dc:creator>
  <cp:lastModifiedBy>Administrator</cp:lastModifiedBy>
  <dcterms:modified xsi:type="dcterms:W3CDTF">2023-05-17T01:52:59Z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060F33E494EF47AAAC299BDE01958BAF</vt:lpwstr>
  </property>
</Properties>
</file>