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ascii="方正大标宋简体" w:eastAsia="方正大标宋简体" w:cs="宋体"/>
          <w:bCs/>
          <w:color w:val="000000"/>
          <w:kern w:val="0"/>
          <w:sz w:val="44"/>
          <w:szCs w:val="44"/>
        </w:rPr>
      </w:pPr>
      <w:r>
        <w:rPr>
          <w:rFonts w:hint="eastAsia" w:ascii="方正大标宋简体" w:eastAsia="方正大标宋简体" w:cs="宋体"/>
          <w:bCs/>
          <w:color w:val="000000"/>
          <w:kern w:val="0"/>
          <w:sz w:val="44"/>
          <w:szCs w:val="44"/>
        </w:rPr>
        <w:t>溆浦县图书馆202</w:t>
      </w:r>
      <w:r>
        <w:rPr>
          <w:rFonts w:hint="eastAsia" w:ascii="方正大标宋简体" w:eastAsia="方正大标宋简体" w:cs="宋体"/>
          <w:bCs/>
          <w:color w:val="000000"/>
          <w:kern w:val="0"/>
          <w:sz w:val="44"/>
          <w:szCs w:val="44"/>
          <w:lang w:val="en-US" w:eastAsia="zh-CN"/>
        </w:rPr>
        <w:t>2</w:t>
      </w:r>
      <w:r>
        <w:rPr>
          <w:rFonts w:hint="eastAsia" w:ascii="方正大标宋简体" w:eastAsia="方正大标宋简体" w:cs="宋体"/>
          <w:bCs/>
          <w:color w:val="000000"/>
          <w:kern w:val="0"/>
          <w:sz w:val="44"/>
          <w:szCs w:val="44"/>
        </w:rPr>
        <w:t>年流动图书车运行经费专项资金绩效评价报告</w:t>
      </w:r>
    </w:p>
    <w:p>
      <w:pPr>
        <w:overflowPunct w:val="0"/>
        <w:topLinePunct/>
        <w:spacing w:line="540" w:lineRule="exact"/>
        <w:ind w:firstLine="640" w:firstLineChars="200"/>
        <w:rPr>
          <w:rFonts w:ascii="仿宋_GB2312" w:hAnsi="仿宋_GB2312" w:eastAsia="仿宋_GB2312" w:cs="仿宋_GB2312"/>
          <w:color w:val="414141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414141"/>
          <w:kern w:val="0"/>
          <w:sz w:val="32"/>
          <w:szCs w:val="32"/>
        </w:rPr>
        <w:t>为加强财政资金管理，强化支出责任，提高财政资金的使用效益，建立科学、合理的财政支出绩效评价管理体系，根据《溆浦县财政局关于开展专项资金支出绩效评价工作的通知》（溆财绩函【202</w:t>
      </w:r>
      <w:r>
        <w:rPr>
          <w:rFonts w:hint="eastAsia" w:ascii="仿宋_GB2312" w:hAnsi="仿宋_GB2312" w:eastAsia="仿宋_GB2312" w:cs="仿宋_GB2312"/>
          <w:color w:val="414141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414141"/>
          <w:kern w:val="0"/>
          <w:sz w:val="32"/>
          <w:szCs w:val="32"/>
        </w:rPr>
        <w:t>】</w:t>
      </w:r>
      <w:r>
        <w:rPr>
          <w:rFonts w:hint="eastAsia" w:ascii="仿宋_GB2312" w:hAnsi="仿宋_GB2312" w:eastAsia="仿宋_GB2312" w:cs="仿宋_GB2312"/>
          <w:color w:val="414141"/>
          <w:kern w:val="0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414141"/>
          <w:kern w:val="0"/>
          <w:sz w:val="32"/>
          <w:szCs w:val="32"/>
        </w:rPr>
        <w:t>号）等有关文件精神，我馆于202</w:t>
      </w:r>
      <w:r>
        <w:rPr>
          <w:rFonts w:hint="eastAsia" w:ascii="仿宋_GB2312" w:hAnsi="仿宋_GB2312" w:eastAsia="仿宋_GB2312" w:cs="仿宋_GB2312"/>
          <w:color w:val="414141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414141"/>
          <w:kern w:val="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414141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414141"/>
          <w:kern w:val="0"/>
          <w:sz w:val="32"/>
          <w:szCs w:val="32"/>
        </w:rPr>
        <w:t>月，组织力量对本单位的项目建设支出进行了绩效评价，本次评价遵循了“科学规范、公正公开、分类管理、绩效相关”的原则，运用科学、合理的绩效评价方法，对本单位202</w:t>
      </w:r>
      <w:r>
        <w:rPr>
          <w:rFonts w:hint="eastAsia" w:ascii="仿宋_GB2312" w:hAnsi="仿宋_GB2312" w:eastAsia="仿宋_GB2312" w:cs="仿宋_GB2312"/>
          <w:color w:val="414141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414141"/>
          <w:kern w:val="0"/>
          <w:sz w:val="32"/>
          <w:szCs w:val="32"/>
        </w:rPr>
        <w:t>度流动图书馆车运行经费专项资金绩效情况进行客观、公正的评价。现将情况报告如下：</w:t>
      </w:r>
    </w:p>
    <w:p>
      <w:pPr>
        <w:spacing w:line="322" w:lineRule="exact"/>
        <w:ind w:left="480"/>
        <w:rPr>
          <w:rFonts w:ascii="仿宋_GB2312" w:eastAsia="仿宋_GB2312"/>
          <w:sz w:val="32"/>
          <w:szCs w:val="32"/>
        </w:rPr>
      </w:pPr>
    </w:p>
    <w:p>
      <w:pPr>
        <w:pStyle w:val="9"/>
        <w:numPr>
          <w:ilvl w:val="0"/>
          <w:numId w:val="1"/>
        </w:numPr>
        <w:spacing w:line="580" w:lineRule="exact"/>
        <w:ind w:firstLineChars="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项目基本情况</w:t>
      </w:r>
    </w:p>
    <w:p>
      <w:pPr>
        <w:overflowPunct w:val="0"/>
        <w:topLinePunct/>
        <w:spacing w:line="540" w:lineRule="exact"/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1.项目概况。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流动图书车运行经费5万元，用于流动图书车维护和正常运行费用支出。</w:t>
      </w:r>
    </w:p>
    <w:p>
      <w:pPr>
        <w:overflowPunct w:val="0"/>
        <w:topLinePunct/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2.项目绩效目标。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流动图书车运行经费项目绩效目标：打通公共文化服务的“最后一公里”。解决基层群众看书难、借书难的问题。开展各分馆图书配送52次（每个分馆每年2次）；开展送书下乡活动12场次。</w:t>
      </w:r>
    </w:p>
    <w:p>
      <w:pPr>
        <w:spacing w:line="58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二、绩效评价指标分析情况</w:t>
      </w:r>
    </w:p>
    <w:p>
      <w:pPr>
        <w:spacing w:line="580" w:lineRule="exact"/>
        <w:ind w:firstLine="643" w:firstLineChars="200"/>
        <w:rPr>
          <w:rFonts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（一）项目资金情况分析</w:t>
      </w:r>
    </w:p>
    <w:p>
      <w:pPr>
        <w:overflowPunct w:val="0"/>
        <w:topLinePunct/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1.项目资金到位情况分析。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color w:val="313131"/>
          <w:kern w:val="0"/>
          <w:sz w:val="32"/>
          <w:szCs w:val="32"/>
          <w:shd w:val="clear" w:color="auto" w:fill="FFFFFF"/>
        </w:rPr>
        <w:t>02</w:t>
      </w:r>
      <w:r>
        <w:rPr>
          <w:rFonts w:hint="eastAsia" w:ascii="仿宋_GB2312" w:hAnsi="仿宋_GB2312" w:eastAsia="仿宋_GB2312" w:cs="仿宋_GB2312"/>
          <w:color w:val="313131"/>
          <w:kern w:val="0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313131"/>
          <w:kern w:val="0"/>
          <w:sz w:val="32"/>
          <w:szCs w:val="32"/>
          <w:shd w:val="clear" w:color="auto" w:fill="FFFFFF"/>
        </w:rPr>
        <w:t>年县财政局安排我馆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流动图书车运行经费5万元</w:t>
      </w:r>
      <w:r>
        <w:rPr>
          <w:rFonts w:hint="eastAsia" w:ascii="仿宋_GB2312" w:hAnsi="仿宋_GB2312" w:eastAsia="仿宋_GB2312" w:cs="仿宋_GB2312"/>
          <w:color w:val="313131"/>
          <w:kern w:val="0"/>
          <w:sz w:val="32"/>
          <w:szCs w:val="32"/>
          <w:shd w:val="clear" w:color="auto" w:fill="FFFFFF"/>
        </w:rPr>
        <w:t>。财政资金已全部拨付到我馆，拨付到位率100%。</w:t>
      </w:r>
    </w:p>
    <w:p>
      <w:pPr>
        <w:overflowPunct w:val="0"/>
        <w:topLinePunct/>
        <w:spacing w:line="540" w:lineRule="exact"/>
        <w:ind w:firstLine="640" w:firstLineChars="200"/>
        <w:rPr>
          <w:rFonts w:ascii="仿宋_GB2312" w:hAnsi="仿宋" w:eastAsia="仿宋_GB2312" w:cs="黑体"/>
          <w:color w:val="313131"/>
          <w:kern w:val="0"/>
          <w:sz w:val="28"/>
          <w:szCs w:val="28"/>
          <w:shd w:val="clear" w:color="auto" w:fill="FFFFFF"/>
        </w:rPr>
      </w:pPr>
      <w:r>
        <w:rPr>
          <w:rFonts w:hint="eastAsia" w:ascii="仿宋_GB2312" w:hAnsi="宋体" w:eastAsia="仿宋_GB2312"/>
          <w:sz w:val="32"/>
          <w:szCs w:val="32"/>
        </w:rPr>
        <w:t>2.项目资金使用情况分析。</w:t>
      </w:r>
      <w:r>
        <w:rPr>
          <w:rFonts w:hint="eastAsia" w:ascii="仿宋_GB2312" w:hAnsi="仿宋_GB2312" w:eastAsia="仿宋_GB2312" w:cs="仿宋_GB2312"/>
          <w:color w:val="313131"/>
          <w:kern w:val="0"/>
          <w:sz w:val="32"/>
          <w:szCs w:val="32"/>
          <w:shd w:val="clear" w:color="auto" w:fill="FFFFFF"/>
        </w:rPr>
        <w:t>财政预算安排流动图书车运行经费5万元。全部用于流动图书车日常维护、保养、年检和送书下乡等各项支出。</w:t>
      </w:r>
    </w:p>
    <w:p>
      <w:pPr>
        <w:overflowPunct w:val="0"/>
        <w:topLinePunct/>
        <w:spacing w:line="540" w:lineRule="exact"/>
        <w:ind w:firstLine="640" w:firstLineChars="200"/>
        <w:rPr>
          <w:rFonts w:ascii="仿宋_GB2312" w:hAnsi="仿宋_GB2312" w:eastAsia="仿宋_GB2312" w:cs="仿宋_GB2312"/>
          <w:color w:val="414141"/>
          <w:kern w:val="0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3.项目资金管理情况分析。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认真按照上级部门的统一部署，统一思想认识，强化资金使用绩效，狠抓责任落实，保证项目建设资金按时到位，专款专用。</w:t>
      </w:r>
    </w:p>
    <w:p>
      <w:pPr>
        <w:spacing w:line="580" w:lineRule="exact"/>
        <w:ind w:firstLine="643" w:firstLineChars="200"/>
        <w:rPr>
          <w:rFonts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（二）项目实施情况分析</w:t>
      </w:r>
    </w:p>
    <w:p>
      <w:pPr>
        <w:overflowPunct w:val="0"/>
        <w:topLinePunct/>
        <w:spacing w:line="540" w:lineRule="exact"/>
        <w:ind w:firstLine="640" w:firstLineChars="200"/>
        <w:rPr>
          <w:rFonts w:ascii="仿宋_GB2312" w:hAnsi="仿宋_GB2312" w:eastAsia="仿宋_GB2312" w:cs="仿宋_GB2312"/>
          <w:color w:val="414141"/>
          <w:kern w:val="0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1.项目组织情况分析。</w:t>
      </w:r>
      <w:r>
        <w:rPr>
          <w:rFonts w:hint="eastAsia" w:ascii="仿宋_GB2312" w:hAnsi="仿宋_GB2312" w:eastAsia="仿宋_GB2312" w:cs="仿宋_GB2312"/>
          <w:color w:val="313131"/>
          <w:kern w:val="0"/>
          <w:sz w:val="32"/>
          <w:szCs w:val="32"/>
          <w:shd w:val="clear" w:color="auto" w:fill="FFFFFF"/>
        </w:rPr>
        <w:t>财政预算安排流动图书车运行经费5万元。全部用于流动图书车日常维护、保养、年检和送书下乡等各项支出。全年开展分馆图书配送52次，送书下乡活动1</w:t>
      </w:r>
      <w:r>
        <w:rPr>
          <w:rFonts w:hint="eastAsia" w:ascii="仿宋_GB2312" w:hAnsi="仿宋_GB2312" w:eastAsia="仿宋_GB2312" w:cs="仿宋_GB2312"/>
          <w:color w:val="313131"/>
          <w:kern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313131"/>
          <w:kern w:val="0"/>
          <w:sz w:val="32"/>
          <w:szCs w:val="32"/>
          <w:shd w:val="clear" w:color="auto" w:fill="FFFFFF"/>
        </w:rPr>
        <w:t>次。</w:t>
      </w:r>
    </w:p>
    <w:p>
      <w:pPr>
        <w:spacing w:line="58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2.项目管理情况分析。</w:t>
      </w:r>
    </w:p>
    <w:p>
      <w:pPr>
        <w:overflowPunct w:val="0"/>
        <w:topLinePunct/>
        <w:spacing w:line="540" w:lineRule="exact"/>
        <w:ind w:firstLine="640" w:firstLineChars="200"/>
        <w:rPr>
          <w:rFonts w:ascii="仿宋_GB2312" w:hAnsi="仿宋_GB2312" w:eastAsia="仿宋_GB2312" w:cs="仿宋_GB2312"/>
          <w:color w:val="414141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（1）全面推行信息公开、公告、公示制度，确保项目建设资金的使用公正透明，确保项目实施达到预期的经济效益、社会效益、生态效益。</w:t>
      </w:r>
    </w:p>
    <w:p>
      <w:pPr>
        <w:overflowPunct w:val="0"/>
        <w:topLinePunct/>
        <w:spacing w:line="540" w:lineRule="exact"/>
        <w:ind w:firstLine="640" w:firstLineChars="200"/>
        <w:rPr>
          <w:rFonts w:ascii="仿宋_GB2312" w:hAnsi="仿宋_GB2312" w:eastAsia="仿宋_GB2312" w:cs="仿宋_GB2312"/>
          <w:color w:val="414141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（2）项目资金支付形式，依据年初拟定用款计划，严格按照项目资金管理办法对资金进行计划申请、划拨、使用，及时、规范对收支进行账务处理和会计核算。</w:t>
      </w:r>
    </w:p>
    <w:p>
      <w:pPr>
        <w:spacing w:line="580" w:lineRule="exact"/>
        <w:ind w:firstLine="643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（三）项目绩效情况分析</w:t>
      </w:r>
    </w:p>
    <w:p>
      <w:pPr>
        <w:spacing w:line="58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1.项目的经济性分析。202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/>
          <w:sz w:val="32"/>
          <w:szCs w:val="32"/>
        </w:rPr>
        <w:t>年流动图书车运行经费专项资金财政预算5万元。所有专项资金专款专用，没有挪用和挤占。</w:t>
      </w:r>
    </w:p>
    <w:p>
      <w:pPr>
        <w:spacing w:line="58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2.项目的效率性分析。202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/>
          <w:sz w:val="32"/>
          <w:szCs w:val="32"/>
        </w:rPr>
        <w:t>年流动图书运行经费专项资金，严格按照绩效申报目标实施，</w:t>
      </w:r>
    </w:p>
    <w:p>
      <w:pPr>
        <w:spacing w:line="58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3.项目的效益性分析。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年开展送书下乡活动1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场次，分馆图书配送52场次。</w:t>
      </w:r>
    </w:p>
    <w:p>
      <w:pPr>
        <w:spacing w:line="5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三、项目后续工作计划</w:t>
      </w:r>
    </w:p>
    <w:p>
      <w:pPr>
        <w:spacing w:line="58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四、评价情况及评价结论</w:t>
      </w:r>
    </w:p>
    <w:p>
      <w:pPr>
        <w:overflowPunct w:val="0"/>
        <w:topLinePunct/>
        <w:spacing w:line="54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我馆流动图书车运行专项资金绩效评价指标得分为96分，评价为优。</w:t>
      </w:r>
    </w:p>
    <w:p>
      <w:pPr>
        <w:spacing w:line="58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五、主要经验做法、存在问题、改进措施和建议</w:t>
      </w:r>
    </w:p>
    <w:p>
      <w:pPr>
        <w:spacing w:line="580" w:lineRule="exact"/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六、其他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无</w:t>
      </w:r>
      <w:bookmarkStart w:id="0" w:name="_GoBack"/>
      <w:bookmarkEnd w:id="0"/>
    </w:p>
    <w:p>
      <w:pPr>
        <w:spacing w:line="58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                                溆浦县图书馆</w:t>
      </w:r>
    </w:p>
    <w:p>
      <w:pPr>
        <w:spacing w:line="580" w:lineRule="exact"/>
        <w:ind w:firstLine="640" w:firstLineChars="200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                             二O二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sz w:val="32"/>
          <w:szCs w:val="32"/>
        </w:rPr>
        <w:t>年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sz w:val="32"/>
          <w:szCs w:val="32"/>
        </w:rPr>
        <w:t>月</w:t>
      </w:r>
    </w:p>
    <w:p/>
    <w:sectPr>
      <w:headerReference r:id="rId4" w:type="first"/>
      <w:headerReference r:id="rId3" w:type="default"/>
      <w:footerReference r:id="rId5" w:type="default"/>
      <w:footerReference r:id="rId6" w:type="even"/>
      <w:pgSz w:w="11906" w:h="16838"/>
      <w:pgMar w:top="2155" w:right="1814" w:bottom="1701" w:left="1814" w:header="851" w:footer="1247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大标宋简体">
    <w:altName w:val="Arial Unicode MS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>
      <w:rPr>
        <w:rStyle w:val="6"/>
        <w:rFonts w:ascii="Times New Roman" w:hAnsi="Times New Roman"/>
        <w:sz w:val="24"/>
        <w:szCs w:val="24"/>
      </w:rPr>
      <w:instrText xml:space="preserve">PAGE  </w:instrText>
    </w:r>
    <w:r>
      <w:rPr>
        <w:rFonts w:ascii="Times New Roman" w:hAnsi="Times New Roman"/>
        <w:sz w:val="24"/>
        <w:szCs w:val="24"/>
      </w:rPr>
      <w:fldChar w:fldCharType="separate"/>
    </w:r>
    <w:r>
      <w:rPr>
        <w:rStyle w:val="6"/>
        <w:rFonts w:ascii="Times New Roman" w:hAnsi="Times New Roman"/>
        <w:sz w:val="24"/>
        <w:szCs w:val="24"/>
      </w:rPr>
      <w:t>3</w:t>
    </w:r>
    <w:r>
      <w:rPr>
        <w:rFonts w:ascii="Times New Roman" w:hAnsi="Times New Roman"/>
        <w:sz w:val="24"/>
        <w:szCs w:val="24"/>
      </w:rPr>
      <w:fldChar w:fldCharType="end"/>
    </w:r>
  </w:p>
  <w:p>
    <w:pPr>
      <w:pStyle w:val="2"/>
      <w:rPr>
        <w:sz w:val="24"/>
        <w:szCs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4</w:t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971F59"/>
    <w:multiLevelType w:val="multilevel"/>
    <w:tmpl w:val="1B971F59"/>
    <w:lvl w:ilvl="0" w:tentative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NiZTNmMDQ2MDMwZDBhNjAyYTdhZmM2YjVjMTExZjEifQ=="/>
  </w:docVars>
  <w:rsids>
    <w:rsidRoot w:val="00A5717D"/>
    <w:rsid w:val="00107F45"/>
    <w:rsid w:val="00257A3C"/>
    <w:rsid w:val="00283524"/>
    <w:rsid w:val="002C08C7"/>
    <w:rsid w:val="00324E0F"/>
    <w:rsid w:val="0039335D"/>
    <w:rsid w:val="003A7A79"/>
    <w:rsid w:val="005E7DF6"/>
    <w:rsid w:val="00642D70"/>
    <w:rsid w:val="0070511C"/>
    <w:rsid w:val="008F09A3"/>
    <w:rsid w:val="00A5717D"/>
    <w:rsid w:val="00C846BE"/>
    <w:rsid w:val="00CC698A"/>
    <w:rsid w:val="00E476EF"/>
    <w:rsid w:val="00F83DDF"/>
    <w:rsid w:val="0ED31C99"/>
    <w:rsid w:val="6FC87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uiPriority w:val="0"/>
  </w:style>
  <w:style w:type="character" w:customStyle="1" w:styleId="7">
    <w:name w:val="页脚 Char"/>
    <w:basedOn w:val="5"/>
    <w:link w:val="2"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8">
    <w:name w:val="页眉 Char"/>
    <w:basedOn w:val="5"/>
    <w:link w:val="3"/>
    <w:uiPriority w:val="0"/>
    <w:rPr>
      <w:rFonts w:ascii="Calibri" w:hAnsi="Calibri" w:eastAsia="宋体" w:cs="Times New Roman"/>
      <w:sz w:val="18"/>
      <w:szCs w:val="18"/>
    </w:rPr>
  </w:style>
  <w:style w:type="paragraph" w:customStyle="1" w:styleId="9">
    <w:name w:val="列出段落1"/>
    <w:basedOn w:val="1"/>
    <w:uiPriority w:val="0"/>
    <w:pPr>
      <w:ind w:firstLine="420" w:firstLineChars="200"/>
    </w:pPr>
    <w:rPr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1048</Words>
  <Characters>1092</Characters>
  <Lines>8</Lines>
  <Paragraphs>2</Paragraphs>
  <TotalTime>11</TotalTime>
  <ScaleCrop>false</ScaleCrop>
  <LinksUpToDate>false</LinksUpToDate>
  <CharactersWithSpaces>1153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2022-05-13T06:54:00Z</dcterms:created>
  <dc:creator>个人用户</dc:creator>
  <cp:lastModifiedBy>Administrator</cp:lastModifiedBy>
  <dcterms:modified xsi:type="dcterms:W3CDTF">2023-05-17T01:55:00Z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005F542FDC2345B9B0CB46D68F5D66C8</vt:lpwstr>
  </property>
</Properties>
</file>