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大标宋简体" w:eastAsia="方正大标宋简体" w:cs="宋体"/>
          <w:bCs/>
          <w:color w:val="000000"/>
          <w:kern w:val="0"/>
          <w:sz w:val="44"/>
          <w:szCs w:val="44"/>
        </w:rPr>
      </w:pPr>
      <w:r>
        <w:rPr>
          <w:rFonts w:hint="eastAsia" w:ascii="方正大标宋简体" w:eastAsia="方正大标宋简体" w:cs="宋体"/>
          <w:bCs/>
          <w:color w:val="000000"/>
          <w:kern w:val="0"/>
          <w:sz w:val="44"/>
          <w:szCs w:val="44"/>
        </w:rPr>
        <w:t>溆浦县图书馆2021年文化共享工程运行经费专项资金绩效评价报告</w:t>
      </w:r>
    </w:p>
    <w:p>
      <w:pPr>
        <w:overflowPunct w:val="0"/>
        <w:topLinePunct/>
        <w:spacing w:line="540" w:lineRule="exact"/>
        <w:ind w:firstLine="640" w:firstLineChars="200"/>
        <w:rPr>
          <w:rFonts w:ascii="仿宋_GB2312" w:hAnsi="仿宋_GB2312" w:eastAsia="仿宋_GB2312" w:cs="仿宋_GB2312"/>
          <w:color w:val="414141"/>
          <w:kern w:val="0"/>
          <w:sz w:val="32"/>
          <w:szCs w:val="32"/>
        </w:rPr>
      </w:pPr>
      <w:r>
        <w:rPr>
          <w:rFonts w:hint="eastAsia" w:ascii="仿宋_GB2312" w:hAnsi="仿宋_GB2312" w:eastAsia="仿宋_GB2312" w:cs="仿宋_GB2312"/>
          <w:color w:val="414141"/>
          <w:kern w:val="0"/>
          <w:sz w:val="32"/>
          <w:szCs w:val="32"/>
        </w:rPr>
        <w:t>为加强财政资金管理，强化支出责任，提高财政资金的使用效益，建立科学、合理的财政支出绩效评价管理体系，根据《溆浦县财政局关于开展专项资金支出绩效评价工作的通知》（溆财绩函【2022】11号）等有关文件精神，我馆于2022年4月，组织力量对本单位的项目建设支出进行了绩效评价，本次评价遵循了“科学规范、公正公开、分类管理、绩效相关”的原则，运用科学、合理的绩效评价方法，对本单位2021度文化共享工程运行经费专项资金绩效情况进行客观、公正的评价。现将情况报告如下：</w:t>
      </w:r>
    </w:p>
    <w:p>
      <w:pPr>
        <w:pStyle w:val="9"/>
        <w:numPr>
          <w:ilvl w:val="0"/>
          <w:numId w:val="1"/>
        </w:numPr>
        <w:spacing w:line="580" w:lineRule="exact"/>
        <w:ind w:firstLineChars="0"/>
        <w:rPr>
          <w:rFonts w:ascii="黑体" w:hAnsi="黑体" w:eastAsia="黑体" w:cs="黑体"/>
          <w:sz w:val="32"/>
          <w:szCs w:val="32"/>
        </w:rPr>
      </w:pPr>
      <w:r>
        <w:rPr>
          <w:rFonts w:hint="eastAsia" w:ascii="黑体" w:hAnsi="黑体" w:eastAsia="黑体" w:cs="黑体"/>
          <w:sz w:val="32"/>
          <w:szCs w:val="32"/>
        </w:rPr>
        <w:t>项目基本情况</w:t>
      </w:r>
    </w:p>
    <w:p>
      <w:pPr>
        <w:overflowPunct w:val="0"/>
        <w:topLinePunct/>
        <w:spacing w:line="540" w:lineRule="exact"/>
        <w:ind w:firstLine="640" w:firstLineChars="200"/>
        <w:rPr>
          <w:rFonts w:ascii="仿宋_GB2312" w:hAnsi="仿宋_GB2312" w:eastAsia="仿宋_GB2312" w:cs="仿宋_GB2312"/>
          <w:color w:val="000000" w:themeColor="text1"/>
          <w:sz w:val="32"/>
          <w:szCs w:val="32"/>
        </w:rPr>
      </w:pPr>
      <w:r>
        <w:rPr>
          <w:rFonts w:hint="eastAsia" w:ascii="仿宋_GB2312" w:hAnsi="宋体" w:eastAsia="仿宋_GB2312"/>
          <w:sz w:val="32"/>
          <w:szCs w:val="32"/>
        </w:rPr>
        <w:t>1.项目概况。</w:t>
      </w:r>
      <w:r>
        <w:rPr>
          <w:rFonts w:hint="eastAsia" w:ascii="仿宋_GB2312" w:hAnsi="仿宋_GB2312" w:eastAsia="仿宋_GB2312" w:cs="仿宋_GB2312"/>
          <w:color w:val="000000" w:themeColor="text1"/>
          <w:sz w:val="32"/>
          <w:szCs w:val="32"/>
        </w:rPr>
        <w:t>文化共享工程运行费5万元，用于文化共享工程县支中心正常运行维护和设备维修等。</w:t>
      </w:r>
    </w:p>
    <w:p>
      <w:pPr>
        <w:overflowPunct w:val="0"/>
        <w:topLinePunct/>
        <w:spacing w:line="540" w:lineRule="exact"/>
        <w:ind w:firstLine="640" w:firstLineChars="200"/>
        <w:rPr>
          <w:rFonts w:ascii="仿宋_GB2312" w:hAnsi="仿宋_GB2312" w:eastAsia="仿宋_GB2312" w:cs="仿宋_GB2312"/>
          <w:color w:val="000000" w:themeColor="text1"/>
          <w:sz w:val="32"/>
          <w:szCs w:val="32"/>
        </w:rPr>
      </w:pPr>
      <w:r>
        <w:rPr>
          <w:rFonts w:hint="eastAsia" w:ascii="仿宋_GB2312" w:hAnsi="宋体" w:eastAsia="仿宋_GB2312"/>
          <w:sz w:val="32"/>
          <w:szCs w:val="32"/>
        </w:rPr>
        <w:t>2.项目绩效目标。</w:t>
      </w:r>
      <w:r>
        <w:rPr>
          <w:rFonts w:hint="eastAsia" w:ascii="仿宋_GB2312" w:hAnsi="仿宋_GB2312" w:eastAsia="仿宋_GB2312" w:cs="仿宋_GB2312"/>
          <w:color w:val="000000" w:themeColor="text1"/>
          <w:sz w:val="32"/>
          <w:szCs w:val="32"/>
        </w:rPr>
        <w:t>确保文化信息资源共享工程县支中心和乡镇村级站点的日常维护和正常运行，公共电子阅览室免费开放，满足读者电子阅读需求，年接待读者5000人次；开展科技讲座、报告会8次，业务培训4次。</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二、绩效评价指标分析情况</w:t>
      </w:r>
    </w:p>
    <w:p>
      <w:pPr>
        <w:spacing w:line="58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（一）项目资金情况分析</w:t>
      </w:r>
    </w:p>
    <w:p>
      <w:pPr>
        <w:overflowPunct w:val="0"/>
        <w:topLinePunct/>
        <w:spacing w:line="540" w:lineRule="exact"/>
        <w:ind w:firstLine="640" w:firstLineChars="200"/>
        <w:rPr>
          <w:rFonts w:ascii="仿宋_GB2312" w:hAnsi="仿宋_GB2312" w:eastAsia="仿宋_GB2312" w:cs="仿宋_GB2312"/>
          <w:color w:val="414141"/>
          <w:kern w:val="0"/>
          <w:sz w:val="32"/>
          <w:szCs w:val="32"/>
        </w:rPr>
      </w:pPr>
      <w:r>
        <w:rPr>
          <w:rFonts w:hint="eastAsia" w:ascii="仿宋_GB2312" w:hAnsi="宋体" w:eastAsia="仿宋_GB2312"/>
          <w:sz w:val="32"/>
          <w:szCs w:val="32"/>
        </w:rPr>
        <w:t>1.项目资金到位情况分析。</w:t>
      </w:r>
      <w:r>
        <w:rPr>
          <w:rFonts w:hint="eastAsia" w:ascii="仿宋_GB2312" w:hAnsi="仿宋_GB2312" w:eastAsia="仿宋_GB2312" w:cs="仿宋_GB2312"/>
          <w:color w:val="000000" w:themeColor="text1"/>
          <w:sz w:val="32"/>
          <w:szCs w:val="32"/>
        </w:rPr>
        <w:t>2</w:t>
      </w:r>
      <w:r>
        <w:rPr>
          <w:rFonts w:hint="eastAsia" w:ascii="仿宋_GB2312" w:hAnsi="仿宋_GB2312" w:eastAsia="仿宋_GB2312" w:cs="仿宋_GB2312"/>
          <w:color w:val="313131"/>
          <w:kern w:val="0"/>
          <w:sz w:val="32"/>
          <w:szCs w:val="32"/>
          <w:shd w:val="clear" w:color="auto" w:fill="FFFFFF"/>
        </w:rPr>
        <w:t>021年县财政局安排我馆文化信息资源工程县支中心运行专项经费5万元。财政资金已全部拨付到我馆，拨付到位率100%。</w:t>
      </w:r>
    </w:p>
    <w:p>
      <w:pPr>
        <w:overflowPunct w:val="0"/>
        <w:topLinePunct/>
        <w:spacing w:line="540" w:lineRule="exact"/>
        <w:ind w:firstLine="640" w:firstLineChars="200"/>
        <w:rPr>
          <w:rFonts w:ascii="仿宋_GB2312" w:eastAsia="仿宋_GB2312"/>
          <w:sz w:val="32"/>
          <w:szCs w:val="32"/>
        </w:rPr>
      </w:pPr>
      <w:r>
        <w:rPr>
          <w:rFonts w:hint="eastAsia" w:ascii="仿宋_GB2312" w:hAnsi="宋体" w:eastAsia="仿宋_GB2312"/>
          <w:sz w:val="32"/>
          <w:szCs w:val="32"/>
        </w:rPr>
        <w:t>2.项目资金使用情况分析。</w:t>
      </w:r>
      <w:r>
        <w:rPr>
          <w:rFonts w:hint="eastAsia" w:ascii="仿宋_GB2312" w:hAnsi="仿宋_GB2312" w:eastAsia="仿宋_GB2312" w:cs="仿宋_GB2312"/>
          <w:color w:val="313131"/>
          <w:kern w:val="0"/>
          <w:sz w:val="32"/>
          <w:szCs w:val="32"/>
          <w:shd w:val="clear" w:color="auto" w:fill="FFFFFF"/>
        </w:rPr>
        <w:t>财政预算安排文化信息资源共享工程县支中心运行经费5万元。全部用于保证全县各级设备设施维护运行。</w:t>
      </w:r>
    </w:p>
    <w:p>
      <w:pPr>
        <w:overflowPunct w:val="0"/>
        <w:topLinePunct/>
        <w:spacing w:line="540" w:lineRule="exact"/>
        <w:ind w:firstLine="640" w:firstLineChars="200"/>
        <w:rPr>
          <w:rFonts w:ascii="仿宋_GB2312" w:eastAsia="仿宋_GB2312"/>
          <w:sz w:val="32"/>
          <w:szCs w:val="32"/>
        </w:rPr>
      </w:pPr>
      <w:r>
        <w:rPr>
          <w:rFonts w:hint="eastAsia" w:ascii="仿宋_GB2312" w:hAnsi="宋体" w:eastAsia="仿宋_GB2312"/>
          <w:sz w:val="32"/>
          <w:szCs w:val="32"/>
        </w:rPr>
        <w:t>3.项目资金管理情况分析。</w:t>
      </w:r>
      <w:r>
        <w:rPr>
          <w:rFonts w:hint="eastAsia" w:ascii="仿宋_GB2312" w:hAnsi="仿宋_GB2312" w:eastAsia="仿宋_GB2312" w:cs="仿宋_GB2312"/>
          <w:color w:val="000000"/>
          <w:kern w:val="0"/>
          <w:sz w:val="32"/>
          <w:szCs w:val="32"/>
        </w:rPr>
        <w:t>认真按照上级部门的统一部署，统一思想认识，强化资金使用绩效，狠抓责任落实，保证项目建设资金按时到位，专款专用。</w:t>
      </w:r>
    </w:p>
    <w:p>
      <w:pPr>
        <w:spacing w:line="58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（二）项目实施情况分析</w:t>
      </w:r>
    </w:p>
    <w:p>
      <w:pPr>
        <w:overflowPunct w:val="0"/>
        <w:topLinePunct/>
        <w:spacing w:line="540" w:lineRule="exact"/>
        <w:ind w:firstLine="640" w:firstLineChars="200"/>
        <w:rPr>
          <w:rFonts w:ascii="仿宋_GB2312" w:eastAsia="仿宋_GB2312"/>
          <w:sz w:val="32"/>
          <w:szCs w:val="32"/>
        </w:rPr>
      </w:pPr>
      <w:r>
        <w:rPr>
          <w:rFonts w:hint="eastAsia" w:ascii="仿宋_GB2312" w:hAnsi="宋体" w:eastAsia="仿宋_GB2312"/>
          <w:sz w:val="32"/>
          <w:szCs w:val="32"/>
        </w:rPr>
        <w:t>1.项目组织情况分析。</w:t>
      </w:r>
      <w:r>
        <w:rPr>
          <w:rFonts w:hint="eastAsia" w:ascii="仿宋_GB2312" w:hAnsi="仿宋_GB2312" w:eastAsia="仿宋_GB2312" w:cs="仿宋_GB2312"/>
          <w:color w:val="313131"/>
          <w:kern w:val="0"/>
          <w:sz w:val="32"/>
          <w:szCs w:val="32"/>
          <w:shd w:val="clear" w:color="auto" w:fill="FFFFFF"/>
        </w:rPr>
        <w:t>财政预算安排文化信息资源共享工程县支中心运行经费5万元。主要用于保证全县各级设备设施维护运行，实现县域内数字资源共建共享，提供电子阅览免费服务，开展报告会、科技讲座和阅读推广活动，为农村提供送科技送技术服务。电子阅览室接待读者8000多人次，开展报告会、科技讲座10场次，阅读推广活动15场次，送科技下乡活动12场次。</w:t>
      </w:r>
    </w:p>
    <w:p>
      <w:pPr>
        <w:spacing w:line="58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2.项目管理情况分析。</w:t>
      </w:r>
    </w:p>
    <w:p>
      <w:pPr>
        <w:overflowPunct w:val="0"/>
        <w:topLinePunct/>
        <w:spacing w:line="540" w:lineRule="exact"/>
        <w:ind w:firstLine="640" w:firstLineChars="200"/>
        <w:rPr>
          <w:rFonts w:ascii="仿宋_GB2312" w:hAnsi="仿宋_GB2312" w:eastAsia="仿宋_GB2312" w:cs="仿宋_GB2312"/>
          <w:color w:val="414141"/>
          <w:kern w:val="0"/>
          <w:sz w:val="32"/>
          <w:szCs w:val="32"/>
        </w:rPr>
      </w:pPr>
      <w:r>
        <w:rPr>
          <w:rFonts w:hint="eastAsia" w:ascii="仿宋_GB2312" w:hAnsi="仿宋_GB2312" w:eastAsia="仿宋_GB2312" w:cs="仿宋_GB2312"/>
          <w:color w:val="000000"/>
          <w:kern w:val="0"/>
          <w:sz w:val="32"/>
          <w:szCs w:val="32"/>
        </w:rPr>
        <w:t>（1）全面推行信息公开、公告、公示制度，确保项目建设资金的使用公正透明，确保项目实施达到预期的经济效益、社会效益、生态效益。</w:t>
      </w:r>
    </w:p>
    <w:p>
      <w:pPr>
        <w:spacing w:line="580" w:lineRule="exact"/>
        <w:ind w:firstLine="640" w:firstLineChars="200"/>
        <w:rPr>
          <w:rFonts w:ascii="仿宋_GB2312" w:eastAsia="仿宋_GB2312"/>
          <w:sz w:val="32"/>
          <w:szCs w:val="32"/>
        </w:rPr>
      </w:pPr>
      <w:r>
        <w:rPr>
          <w:rFonts w:hint="eastAsia" w:ascii="仿宋_GB2312" w:hAnsi="仿宋_GB2312" w:eastAsia="仿宋_GB2312" w:cs="仿宋_GB2312"/>
          <w:color w:val="000000"/>
          <w:kern w:val="0"/>
          <w:sz w:val="32"/>
          <w:szCs w:val="32"/>
        </w:rPr>
        <w:t>（2）项目资金支付形式，依据年初拟定用款计划，严格按照项目资金管理办法对资金进行计划申请、划拨、使用，及时、规范对收支进行账务处理和会计核算。</w:t>
      </w:r>
    </w:p>
    <w:p>
      <w:pPr>
        <w:spacing w:line="58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（三）项目绩效情况分析</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1.项目的经济性分析。2021年文化共享工程运行经费专项资金财政预算5万元。所有专项资金专款专用，没有挪用和挤占。</w:t>
      </w:r>
    </w:p>
    <w:p>
      <w:pPr>
        <w:spacing w:line="580" w:lineRule="exact"/>
        <w:ind w:firstLine="640" w:firstLineChars="200"/>
        <w:rPr>
          <w:rFonts w:ascii="仿宋_GB2312" w:eastAsia="仿宋_GB2312"/>
          <w:sz w:val="32"/>
          <w:szCs w:val="32"/>
        </w:rPr>
      </w:pPr>
      <w:r>
        <w:rPr>
          <w:rFonts w:hint="eastAsia" w:ascii="仿宋_GB2312" w:hAnsi="宋体" w:eastAsia="仿宋_GB2312"/>
          <w:sz w:val="32"/>
          <w:szCs w:val="32"/>
        </w:rPr>
        <w:t>2.项目的效率性分析。2021年文化共享工程运行经费专项资金，严格按照绩效申报目标实施，全年文化共享工程设备设施能够正常运行，出现故障能及时排除和维护。</w:t>
      </w:r>
    </w:p>
    <w:p>
      <w:pPr>
        <w:overflowPunct w:val="0"/>
        <w:topLinePunct/>
        <w:spacing w:line="540" w:lineRule="exact"/>
        <w:ind w:firstLine="640" w:firstLineChars="200"/>
        <w:rPr>
          <w:rFonts w:ascii="仿宋_GB2312" w:hAnsi="仿宋_GB2312" w:eastAsia="仿宋_GB2312" w:cs="仿宋_GB2312"/>
          <w:sz w:val="32"/>
          <w:szCs w:val="32"/>
        </w:rPr>
      </w:pPr>
      <w:r>
        <w:rPr>
          <w:rFonts w:hint="eastAsia" w:ascii="仿宋_GB2312" w:hAnsi="宋体" w:eastAsia="仿宋_GB2312"/>
          <w:sz w:val="32"/>
          <w:szCs w:val="32"/>
        </w:rPr>
        <w:t>3.项目的效益性分析。</w:t>
      </w:r>
      <w:r>
        <w:rPr>
          <w:rFonts w:hint="eastAsia" w:ascii="仿宋_GB2312" w:hAnsi="仿宋_GB2312" w:eastAsia="仿宋_GB2312" w:cs="仿宋_GB2312"/>
          <w:color w:val="000000"/>
          <w:sz w:val="32"/>
          <w:szCs w:val="32"/>
        </w:rPr>
        <w:t>电子阅览室2021年接待读者10000人次，进行读者辅导450人次。</w:t>
      </w:r>
      <w:r>
        <w:rPr>
          <w:rFonts w:hint="eastAsia" w:ascii="仿宋_GB2312" w:hAnsi="仿宋_GB2312" w:eastAsia="仿宋_GB2312" w:cs="仿宋_GB2312"/>
          <w:sz w:val="32"/>
          <w:szCs w:val="32"/>
        </w:rPr>
        <w:t>我馆全年今年共办理借书证1200多个，我馆现有办证读者8200多人，全年接待读者26万人次，外借书刊25万册次。开展书香湖南</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sz w:val="32"/>
          <w:szCs w:val="32"/>
        </w:rPr>
        <w:t>送书下乡等各类活动30场次，多媒体演示厅开展各类科技讲座、辅导报告25多场次。</w:t>
      </w:r>
    </w:p>
    <w:p>
      <w:pPr>
        <w:spacing w:line="580" w:lineRule="exact"/>
        <w:ind w:firstLine="640" w:firstLineChars="200"/>
        <w:rPr>
          <w:rFonts w:ascii="仿宋_GB2312" w:eastAsia="仿宋_GB2312"/>
          <w:sz w:val="32"/>
          <w:szCs w:val="32"/>
        </w:rPr>
      </w:pPr>
      <w:r>
        <w:rPr>
          <w:rFonts w:hint="eastAsia" w:ascii="黑体" w:hAnsi="黑体" w:eastAsia="黑体" w:cs="黑体"/>
          <w:sz w:val="32"/>
          <w:szCs w:val="32"/>
        </w:rPr>
        <w:t>三、项目后续工作计划。</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四、评价情况及评价结论。</w:t>
      </w:r>
      <w:r>
        <w:rPr>
          <w:rFonts w:hint="eastAsia" w:ascii="仿宋_GB2312" w:hAnsi="仿宋_GB2312" w:eastAsia="仿宋_GB2312" w:cs="仿宋_GB2312"/>
          <w:color w:val="000000"/>
          <w:kern w:val="0"/>
          <w:sz w:val="32"/>
          <w:szCs w:val="32"/>
        </w:rPr>
        <w:t>溆浦县图书馆2021年文化共享运行专项资金绩效评价指标得分为98分，评价为优。</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五、主要经验做法、存在问题、改进措施和建议。</w:t>
      </w:r>
    </w:p>
    <w:p>
      <w:pPr>
        <w:overflowPunct w:val="0"/>
        <w:topLinePunct/>
        <w:spacing w:line="540" w:lineRule="exact"/>
        <w:ind w:firstLine="562" w:firstLineChars="200"/>
        <w:rPr>
          <w:rFonts w:ascii="楷体_GB2312" w:hAnsi="楷体_GB2312" w:eastAsia="楷体_GB2312" w:cs="楷体_GB2312"/>
          <w:b/>
          <w:color w:val="313131"/>
          <w:kern w:val="0"/>
          <w:sz w:val="28"/>
          <w:szCs w:val="28"/>
          <w:shd w:val="clear" w:color="auto" w:fill="FFFFFF"/>
        </w:rPr>
      </w:pPr>
      <w:r>
        <w:rPr>
          <w:rFonts w:hint="eastAsia" w:ascii="楷体_GB2312" w:hAnsi="楷体_GB2312" w:eastAsia="楷体_GB2312" w:cs="楷体_GB2312"/>
          <w:b/>
          <w:color w:val="313131"/>
          <w:kern w:val="0"/>
          <w:sz w:val="28"/>
          <w:szCs w:val="28"/>
          <w:shd w:val="clear" w:color="auto" w:fill="FFFFFF"/>
        </w:rPr>
        <w:t>（一）存在问题</w:t>
      </w:r>
    </w:p>
    <w:p>
      <w:pPr>
        <w:spacing w:line="580" w:lineRule="exact"/>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文化共享工程设备设施由于建设时间已经12年了，设备设施老化严重，很多设备设施已不能正常使用。</w:t>
      </w:r>
    </w:p>
    <w:p>
      <w:pPr>
        <w:spacing w:line="580" w:lineRule="exact"/>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（二）改正措施及建议。</w:t>
      </w:r>
    </w:p>
    <w:p>
      <w:pPr>
        <w:spacing w:line="580" w:lineRule="exact"/>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增加财政投入，对一些老化陈旧的设施设备进行更新或者升级，才能满足读者的电子文献阅读需求和实现全县区域内信息资源共享。</w:t>
      </w:r>
    </w:p>
    <w:p>
      <w:pPr>
        <w:spacing w:line="580" w:lineRule="exact"/>
        <w:ind w:firstLine="640" w:firstLineChars="200"/>
        <w:rPr>
          <w:rFonts w:hint="default" w:ascii="黑体" w:hAnsi="黑体" w:eastAsia="黑体" w:cs="黑体"/>
          <w:lang w:val="en-US" w:eastAsia="zh-CN"/>
        </w:rPr>
      </w:pPr>
      <w:r>
        <w:rPr>
          <w:rFonts w:hint="eastAsia" w:ascii="黑体" w:hAnsi="黑体" w:eastAsia="黑体" w:cs="黑体"/>
          <w:sz w:val="32"/>
          <w:szCs w:val="32"/>
        </w:rPr>
        <w:t>六、其他</w:t>
      </w:r>
      <w:r>
        <w:rPr>
          <w:rFonts w:hint="eastAsia" w:ascii="黑体" w:hAnsi="黑体" w:eastAsia="黑体" w:cs="黑体"/>
          <w:sz w:val="32"/>
          <w:szCs w:val="32"/>
          <w:lang w:val="en-US" w:eastAsia="zh-CN"/>
        </w:rPr>
        <w:t xml:space="preserve">  无</w:t>
      </w:r>
      <w:bookmarkStart w:id="0" w:name="_GoBack"/>
      <w:bookmarkEnd w:id="0"/>
    </w:p>
    <w:p>
      <w:pPr>
        <w:rPr>
          <w:rFonts w:hint="eastAsia"/>
        </w:rPr>
      </w:pPr>
      <w:r>
        <w:rPr>
          <w:rFonts w:hint="eastAsia"/>
        </w:rPr>
        <w:t xml:space="preserve">                                         </w:t>
      </w:r>
    </w:p>
    <w:p>
      <w:pPr>
        <w:rPr>
          <w:rFonts w:hint="eastAsia" w:ascii="仿宋_GB2312" w:eastAsia="仿宋_GB2312"/>
          <w:sz w:val="32"/>
          <w:szCs w:val="32"/>
        </w:rPr>
      </w:pPr>
      <w:r>
        <w:rPr>
          <w:rFonts w:hint="eastAsia"/>
        </w:rPr>
        <w:t xml:space="preserve">                                                  </w:t>
      </w:r>
      <w:r>
        <w:rPr>
          <w:rFonts w:hint="eastAsia" w:ascii="仿宋_GB2312" w:eastAsia="仿宋_GB2312"/>
          <w:sz w:val="32"/>
          <w:szCs w:val="32"/>
        </w:rPr>
        <w:t>溆浦县图书馆</w:t>
      </w:r>
    </w:p>
    <w:p>
      <w:pPr>
        <w:ind w:left="5440" w:hanging="5440" w:hangingChars="1700"/>
        <w:rPr>
          <w:rFonts w:hint="eastAsia" w:ascii="仿宋_GB2312" w:eastAsia="仿宋_GB2312"/>
          <w:sz w:val="32"/>
          <w:szCs w:val="32"/>
        </w:rPr>
      </w:pPr>
      <w:r>
        <w:rPr>
          <w:rFonts w:hint="eastAsia" w:ascii="仿宋_GB2312" w:eastAsia="仿宋_GB2312"/>
          <w:sz w:val="32"/>
          <w:szCs w:val="32"/>
        </w:rPr>
        <w:t xml:space="preserve">                                 二O二</w:t>
      </w:r>
      <w:r>
        <w:rPr>
          <w:rFonts w:hint="eastAsia" w:ascii="仿宋_GB2312" w:eastAsia="仿宋_GB2312"/>
          <w:sz w:val="32"/>
          <w:szCs w:val="32"/>
          <w:lang w:eastAsia="zh-CN"/>
        </w:rPr>
        <w:t>三</w:t>
      </w:r>
      <w:r>
        <w:rPr>
          <w:rFonts w:hint="eastAsia" w:ascii="仿宋_GB2312" w:eastAsia="仿宋_GB2312"/>
          <w:sz w:val="32"/>
          <w:szCs w:val="32"/>
        </w:rPr>
        <w:t>年</w:t>
      </w:r>
      <w:r>
        <w:rPr>
          <w:rFonts w:hint="eastAsia" w:ascii="仿宋_GB2312" w:eastAsia="仿宋_GB2312"/>
          <w:sz w:val="32"/>
          <w:szCs w:val="32"/>
          <w:lang w:eastAsia="zh-CN"/>
        </w:rPr>
        <w:t>三</w:t>
      </w:r>
      <w:r>
        <w:rPr>
          <w:rFonts w:hint="eastAsia" w:ascii="仿宋_GB2312" w:eastAsia="仿宋_GB2312"/>
          <w:sz w:val="32"/>
          <w:szCs w:val="32"/>
        </w:rPr>
        <w:t>月</w:t>
      </w:r>
    </w:p>
    <w:sectPr>
      <w:headerReference r:id="rId4" w:type="first"/>
      <w:headerReference r:id="rId3" w:type="default"/>
      <w:footerReference r:id="rId5" w:type="default"/>
      <w:footerReference r:id="rId6" w:type="even"/>
      <w:pgSz w:w="11906" w:h="16838"/>
      <w:pgMar w:top="2155" w:right="1814" w:bottom="1701" w:left="1814" w:header="851" w:footer="1247"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Arial Unicode MS"/>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Times New Roman" w:hAnsi="Times New Roman"/>
        <w:sz w:val="24"/>
        <w:szCs w:val="24"/>
      </w:rPr>
    </w:pPr>
    <w:r>
      <w:rPr>
        <w:rFonts w:ascii="Times New Roman" w:hAnsi="Times New Roman"/>
        <w:sz w:val="24"/>
        <w:szCs w:val="24"/>
      </w:rPr>
      <w:fldChar w:fldCharType="begin"/>
    </w:r>
    <w:r>
      <w:rPr>
        <w:rStyle w:val="6"/>
        <w:rFonts w:ascii="Times New Roman" w:hAnsi="Times New Roman"/>
        <w:sz w:val="24"/>
        <w:szCs w:val="24"/>
      </w:rPr>
      <w:instrText xml:space="preserve">PAGE  </w:instrText>
    </w:r>
    <w:r>
      <w:rPr>
        <w:rFonts w:ascii="Times New Roman" w:hAnsi="Times New Roman"/>
        <w:sz w:val="24"/>
        <w:szCs w:val="24"/>
      </w:rPr>
      <w:fldChar w:fldCharType="separate"/>
    </w:r>
    <w:r>
      <w:rPr>
        <w:rStyle w:val="6"/>
        <w:rFonts w:ascii="Times New Roman" w:hAnsi="Times New Roman"/>
        <w:sz w:val="24"/>
        <w:szCs w:val="24"/>
      </w:rPr>
      <w:t>4</w:t>
    </w:r>
    <w:r>
      <w:rPr>
        <w:rFonts w:ascii="Times New Roman" w:hAnsi="Times New Roman"/>
        <w:sz w:val="24"/>
        <w:szCs w:val="24"/>
      </w:rPr>
      <w:fldChar w:fldCharType="end"/>
    </w:r>
  </w:p>
  <w:p>
    <w:pPr>
      <w:pStyle w:val="2"/>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971F59"/>
    <w:multiLevelType w:val="multilevel"/>
    <w:tmpl w:val="1B971F59"/>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NiZTNmMDQ2MDMwZDBhNjAyYTdhZmM2YjVjMTExZjEifQ=="/>
  </w:docVars>
  <w:rsids>
    <w:rsidRoot w:val="00A5717D"/>
    <w:rsid w:val="000A6E85"/>
    <w:rsid w:val="00107F45"/>
    <w:rsid w:val="00151BF4"/>
    <w:rsid w:val="00283524"/>
    <w:rsid w:val="002C08C7"/>
    <w:rsid w:val="003A7A79"/>
    <w:rsid w:val="00642D70"/>
    <w:rsid w:val="008D7421"/>
    <w:rsid w:val="009B34B7"/>
    <w:rsid w:val="00A5717D"/>
    <w:rsid w:val="00AD53BA"/>
    <w:rsid w:val="00AF3DF6"/>
    <w:rsid w:val="00C846BE"/>
    <w:rsid w:val="4DD8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脚 Char"/>
    <w:basedOn w:val="5"/>
    <w:link w:val="2"/>
    <w:uiPriority w:val="0"/>
    <w:rPr>
      <w:rFonts w:ascii="Calibri" w:hAnsi="Calibri" w:eastAsia="宋体" w:cs="Times New Roman"/>
      <w:sz w:val="18"/>
      <w:szCs w:val="18"/>
    </w:rPr>
  </w:style>
  <w:style w:type="character" w:customStyle="1" w:styleId="8">
    <w:name w:val="页眉 Char"/>
    <w:basedOn w:val="5"/>
    <w:link w:val="3"/>
    <w:uiPriority w:val="0"/>
    <w:rPr>
      <w:rFonts w:ascii="Calibri" w:hAnsi="Calibri" w:eastAsia="宋体" w:cs="Times New Roman"/>
      <w:sz w:val="18"/>
      <w:szCs w:val="18"/>
    </w:rPr>
  </w:style>
  <w:style w:type="paragraph" w:customStyle="1" w:styleId="9">
    <w:name w:val="列出段落1"/>
    <w:basedOn w:val="1"/>
    <w:uiPriority w:val="0"/>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1403</Words>
  <Characters>1471</Characters>
  <Lines>11</Lines>
  <Paragraphs>3</Paragraphs>
  <TotalTime>26</TotalTime>
  <ScaleCrop>false</ScaleCrop>
  <LinksUpToDate>false</LinksUpToDate>
  <CharactersWithSpaces>1615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2022-05-13T06:48:00Z</dcterms:created>
  <dc:creator>个人用户</dc:creator>
  <cp:lastModifiedBy>Administrator</cp:lastModifiedBy>
  <dcterms:modified xsi:type="dcterms:W3CDTF">2023-05-17T01:55:43Z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B3FC86BBCE764F30AA97AE4A2140F329_12</vt:lpwstr>
  </property>
</Properties>
</file>