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spacing w:before="0" w:after="0" w:line="240" w:lineRule="auto"/>
        <w:jc w:val="center"/>
        <w:outlineLvl w:val="0"/>
      </w:pPr>
      <w:r>
        <w:rPr>
          <w:b/>
          <w:sz w:val="44"/>
          <w:szCs w:val="44"/>
        </w:rPr>
        <w:t>溆浦县司法局</w:t>
      </w:r>
      <w:r>
        <w:rPr>
          <w:rFonts w:hint="eastAsia"/>
          <w:b/>
          <w:sz w:val="44"/>
          <w:szCs w:val="44"/>
          <w:lang w:val="en-US" w:eastAsia="zh-CN"/>
        </w:rPr>
        <w:t>2022年</w:t>
      </w:r>
      <w:r>
        <w:rPr>
          <w:b/>
          <w:sz w:val="44"/>
          <w:szCs w:val="44"/>
        </w:rPr>
        <w:t>人民调解“以奖代补”</w:t>
      </w:r>
    </w:p>
    <w:p>
      <w:pPr>
        <w:pStyle w:val="4"/>
        <w:numPr>
          <w:ilvl w:val="0"/>
          <w:numId w:val="0"/>
        </w:numPr>
        <w:spacing w:before="0" w:after="0" w:line="240" w:lineRule="auto"/>
        <w:jc w:val="center"/>
        <w:outlineLvl w:val="0"/>
      </w:pPr>
      <w:r>
        <w:rPr>
          <w:b/>
          <w:sz w:val="44"/>
          <w:szCs w:val="44"/>
        </w:rPr>
        <w:t>资金绩效自评报告</w:t>
      </w:r>
    </w:p>
    <w:p>
      <w:pPr>
        <w:pStyle w:val="4"/>
        <w:widowControl/>
        <w:spacing w:before="0" w:after="0" w:line="240" w:lineRule="auto"/>
        <w:ind w:firstLine="480"/>
        <w:rPr>
          <w:rFonts w:ascii="仿宋" w:hAnsi="仿宋" w:eastAsia="仿宋" w:cs="宋体"/>
          <w:color w:val="333333"/>
          <w:kern w:val="0"/>
          <w:sz w:val="32"/>
          <w:szCs w:val="32"/>
        </w:rPr>
      </w:pPr>
    </w:p>
    <w:p>
      <w:pPr>
        <w:pStyle w:val="4"/>
        <w:widowControl/>
        <w:numPr>
          <w:ilvl w:val="0"/>
          <w:numId w:val="0"/>
        </w:numPr>
        <w:spacing w:before="0" w:after="0" w:line="240" w:lineRule="auto"/>
        <w:ind w:firstLine="480"/>
        <w:outlineLvl w:val="0"/>
      </w:pPr>
      <w:r>
        <w:rPr>
          <w:rFonts w:cs="宋体" w:asciiTheme="minorEastAsia" w:hAnsiTheme="minorEastAsia"/>
          <w:b/>
          <w:color w:val="333333"/>
          <w:kern w:val="0"/>
          <w:sz w:val="32"/>
          <w:szCs w:val="32"/>
        </w:rPr>
        <w:t>一、项目基本情况</w:t>
      </w:r>
    </w:p>
    <w:p>
      <w:pPr>
        <w:pStyle w:val="4"/>
        <w:widowControl/>
        <w:numPr>
          <w:ilvl w:val="0"/>
          <w:numId w:val="0"/>
        </w:numPr>
        <w:spacing w:before="0" w:after="0" w:line="240" w:lineRule="auto"/>
        <w:ind w:firstLine="320"/>
        <w:outlineLvl w:val="1"/>
        <w:rPr>
          <w:b/>
          <w:bCs/>
        </w:rPr>
      </w:pPr>
      <w:r>
        <w:rPr>
          <w:rFonts w:ascii="仿宋" w:hAnsi="仿宋" w:eastAsia="仿宋" w:cs="宋体"/>
          <w:b/>
          <w:bCs/>
          <w:color w:val="333333"/>
          <w:kern w:val="0"/>
          <w:sz w:val="32"/>
          <w:szCs w:val="32"/>
        </w:rPr>
        <w:t>（一）项目概况</w:t>
      </w:r>
    </w:p>
    <w:p>
      <w:pPr>
        <w:pStyle w:val="4"/>
        <w:widowControl/>
        <w:spacing w:before="0" w:after="0" w:line="240" w:lineRule="auto"/>
        <w:ind w:firstLine="480"/>
      </w:pPr>
      <w:r>
        <w:rPr>
          <w:rFonts w:ascii="仿宋" w:hAnsi="仿宋" w:eastAsia="仿宋" w:cs="宋体"/>
          <w:color w:val="333333"/>
          <w:kern w:val="0"/>
          <w:sz w:val="32"/>
          <w:szCs w:val="32"/>
        </w:rPr>
        <w:t>根据湖南省司法厅、湖南省财政厅关于印发《湖南省人民调解案件“以奖代补”管理暂行办法》的通知、怀化市司法局、怀化市财政局关于印发《怀化市人民调解案件“以奖代补”实施细则》、溆浦县司法局、溆浦县财政局《关于印发〈溆浦县人民调解案件“以奖代补”实施办法〉的通知》，全县设立各级人民调解组织，由人民调解员负责人民调解工作。溆浦县财政对依法设立的人民调解委员会及人民调解员调解成功的矛盾纠纷案件，以奖励的形式给予适当的经费、补贴。</w:t>
      </w:r>
    </w:p>
    <w:p>
      <w:pPr>
        <w:pStyle w:val="4"/>
        <w:widowControl/>
        <w:numPr>
          <w:ilvl w:val="0"/>
          <w:numId w:val="0"/>
        </w:numPr>
        <w:spacing w:before="0" w:after="0" w:line="240" w:lineRule="auto"/>
        <w:ind w:firstLine="480"/>
        <w:outlineLvl w:val="1"/>
        <w:rPr>
          <w:b/>
          <w:bCs/>
        </w:rPr>
      </w:pPr>
      <w:r>
        <w:rPr>
          <w:rFonts w:ascii="仿宋" w:hAnsi="仿宋" w:eastAsia="仿宋" w:cs="宋体"/>
          <w:b/>
          <w:bCs/>
          <w:color w:val="333333"/>
          <w:kern w:val="0"/>
          <w:sz w:val="32"/>
          <w:szCs w:val="32"/>
        </w:rPr>
        <w:t>（二）项目绩效目标</w:t>
      </w:r>
    </w:p>
    <w:p>
      <w:pPr>
        <w:pStyle w:val="4"/>
        <w:widowControl/>
        <w:spacing w:before="0" w:after="0" w:line="240" w:lineRule="auto"/>
        <w:ind w:firstLine="480"/>
      </w:pPr>
      <w:r>
        <w:rPr>
          <w:rFonts w:ascii="仿宋" w:hAnsi="仿宋" w:eastAsia="仿宋" w:cs="宋体"/>
          <w:color w:val="333333"/>
          <w:kern w:val="0"/>
          <w:sz w:val="32"/>
          <w:szCs w:val="32"/>
        </w:rPr>
        <w:t>开展矛盾纠纷定期排查、集中排查、专项排查工作，及时汇总、报告报道纠纷信息和人民调解工作相关情况及统计数据；参与矛盾纠纷调处工作；调解民间纠纷，为当事人提供法律咨询、向当事人开展法制宣传教育；做好人民调解卷宗、档案管理等工作，充分发挥人民调解维护社会稳定第一道防线作用。全年调解案件数大于等于3000件。</w:t>
      </w:r>
    </w:p>
    <w:p>
      <w:pPr>
        <w:pStyle w:val="4"/>
        <w:widowControl/>
        <w:numPr>
          <w:ilvl w:val="0"/>
          <w:numId w:val="0"/>
        </w:numPr>
        <w:spacing w:before="0" w:after="0" w:line="240" w:lineRule="auto"/>
        <w:ind w:firstLine="803"/>
        <w:outlineLvl w:val="0"/>
      </w:pPr>
      <w:r>
        <w:rPr>
          <w:rFonts w:cs="宋体" w:asciiTheme="minorEastAsia" w:hAnsiTheme="minorEastAsia"/>
          <w:b/>
          <w:color w:val="333333"/>
          <w:kern w:val="0"/>
          <w:sz w:val="32"/>
          <w:szCs w:val="32"/>
        </w:rPr>
        <w:t>二、绩效评价指标分析情况</w:t>
      </w:r>
    </w:p>
    <w:p>
      <w:pPr>
        <w:pStyle w:val="4"/>
        <w:widowControl/>
        <w:numPr>
          <w:ilvl w:val="0"/>
          <w:numId w:val="0"/>
        </w:numPr>
        <w:spacing w:before="0" w:after="0" w:line="240" w:lineRule="auto"/>
        <w:ind w:firstLine="800"/>
        <w:outlineLvl w:val="1"/>
        <w:rPr>
          <w:b/>
          <w:bCs/>
        </w:rPr>
      </w:pPr>
      <w:r>
        <w:rPr>
          <w:rFonts w:ascii="仿宋" w:hAnsi="仿宋" w:eastAsia="仿宋" w:cs="宋体"/>
          <w:b/>
          <w:bCs/>
          <w:color w:val="333333"/>
          <w:kern w:val="0"/>
          <w:sz w:val="32"/>
          <w:szCs w:val="32"/>
        </w:rPr>
        <w:t>（一）项目资金情况分析</w:t>
      </w:r>
    </w:p>
    <w:p>
      <w:pPr>
        <w:pStyle w:val="4"/>
        <w:widowControl/>
        <w:numPr>
          <w:ilvl w:val="0"/>
          <w:numId w:val="0"/>
        </w:numPr>
        <w:bidi w:val="0"/>
        <w:spacing w:before="0" w:after="0" w:line="240" w:lineRule="auto"/>
        <w:ind w:firstLine="800"/>
        <w:outlineLvl w:val="2"/>
      </w:pPr>
      <w:r>
        <w:rPr>
          <w:rFonts w:ascii="仿宋" w:hAnsi="仿宋" w:eastAsia="仿宋" w:cs="宋体"/>
          <w:color w:val="333333"/>
          <w:kern w:val="0"/>
          <w:sz w:val="32"/>
          <w:szCs w:val="32"/>
        </w:rPr>
        <w:t>1、项目资金到位情况分析</w:t>
      </w:r>
    </w:p>
    <w:p>
      <w:pPr>
        <w:pStyle w:val="4"/>
        <w:spacing w:before="0" w:after="0" w:line="240" w:lineRule="auto"/>
        <w:ind w:firstLine="645"/>
      </w:pPr>
      <w:r>
        <w:rPr>
          <w:rFonts w:ascii="仿宋" w:hAnsi="仿宋" w:eastAsia="仿宋"/>
          <w:sz w:val="32"/>
          <w:szCs w:val="32"/>
        </w:rPr>
        <w:t>202</w:t>
      </w:r>
      <w:r>
        <w:rPr>
          <w:rFonts w:hint="eastAsia" w:ascii="仿宋" w:hAnsi="仿宋" w:eastAsia="仿宋"/>
          <w:sz w:val="32"/>
          <w:szCs w:val="32"/>
          <w:lang w:val="en-US" w:eastAsia="zh-CN"/>
        </w:rPr>
        <w:t>2</w:t>
      </w:r>
      <w:r>
        <w:rPr>
          <w:rFonts w:ascii="仿宋" w:hAnsi="仿宋" w:eastAsia="仿宋"/>
          <w:sz w:val="32"/>
          <w:szCs w:val="32"/>
        </w:rPr>
        <w:t>年</w:t>
      </w:r>
      <w:r>
        <w:rPr>
          <w:rFonts w:ascii="仿宋" w:hAnsi="仿宋" w:eastAsia="仿宋" w:cs="宋体"/>
          <w:color w:val="333333"/>
          <w:kern w:val="0"/>
          <w:sz w:val="32"/>
          <w:szCs w:val="32"/>
        </w:rPr>
        <w:t>本项目预算</w:t>
      </w:r>
      <w:r>
        <w:rPr>
          <w:rFonts w:hint="eastAsia" w:ascii="仿宋" w:hAnsi="仿宋" w:eastAsia="仿宋" w:cs="宋体"/>
          <w:color w:val="333333"/>
          <w:kern w:val="0"/>
          <w:sz w:val="32"/>
          <w:szCs w:val="32"/>
          <w:lang w:val="en-US" w:eastAsia="zh-CN"/>
        </w:rPr>
        <w:t>70</w:t>
      </w:r>
      <w:r>
        <w:rPr>
          <w:rFonts w:ascii="仿宋" w:hAnsi="仿宋" w:eastAsia="仿宋" w:cs="宋体"/>
          <w:color w:val="333333"/>
          <w:kern w:val="0"/>
          <w:sz w:val="32"/>
          <w:szCs w:val="32"/>
        </w:rPr>
        <w:t>万元</w:t>
      </w:r>
      <w:r>
        <w:rPr>
          <w:rFonts w:hint="eastAsia" w:ascii="仿宋" w:hAnsi="仿宋" w:eastAsia="仿宋"/>
          <w:sz w:val="32"/>
          <w:szCs w:val="32"/>
          <w:lang w:eastAsia="zh-CN"/>
        </w:rPr>
        <w:t>，</w:t>
      </w:r>
      <w:r>
        <w:rPr>
          <w:rFonts w:ascii="仿宋" w:hAnsi="仿宋" w:eastAsia="仿宋"/>
          <w:sz w:val="32"/>
          <w:szCs w:val="32"/>
        </w:rPr>
        <w:t>到位率100%。</w:t>
      </w:r>
      <w:r>
        <w:rPr>
          <w:rFonts w:hint="eastAsia" w:ascii="仿宋" w:hAnsi="仿宋" w:eastAsia="仿宋" w:cs="宋体"/>
          <w:color w:val="333333"/>
          <w:kern w:val="0"/>
          <w:sz w:val="32"/>
          <w:szCs w:val="32"/>
          <w:lang w:eastAsia="zh-CN"/>
        </w:rPr>
        <w:t>202</w:t>
      </w:r>
      <w:r>
        <w:rPr>
          <w:rFonts w:hint="eastAsia" w:ascii="仿宋" w:hAnsi="仿宋" w:eastAsia="仿宋" w:cs="宋体"/>
          <w:color w:val="333333"/>
          <w:kern w:val="0"/>
          <w:sz w:val="32"/>
          <w:szCs w:val="32"/>
          <w:lang w:val="en-US" w:eastAsia="zh-CN"/>
        </w:rPr>
        <w:t>2</w:t>
      </w:r>
      <w:r>
        <w:rPr>
          <w:rFonts w:ascii="仿宋" w:hAnsi="仿宋" w:eastAsia="仿宋" w:cs="宋体"/>
          <w:color w:val="333333"/>
          <w:kern w:val="0"/>
          <w:sz w:val="32"/>
          <w:szCs w:val="32"/>
        </w:rPr>
        <w:t>年度的人民调解“以奖代补”项目经费实行一案一补，按照“谁调解,奖励谁”的原则，多名调解员共同调解一件案件，按一件案件的补助标准计算。成功调解一般民间纠纷，每件奖补100元（其中口头调解纠纷每件奖补</w:t>
      </w:r>
      <w:r>
        <w:rPr>
          <w:rFonts w:hint="eastAsia" w:ascii="仿宋" w:hAnsi="仿宋" w:eastAsia="仿宋" w:cs="宋体"/>
          <w:color w:val="333333"/>
          <w:kern w:val="0"/>
          <w:sz w:val="32"/>
          <w:szCs w:val="32"/>
          <w:lang w:val="en-US" w:eastAsia="zh-CN"/>
        </w:rPr>
        <w:t>5</w:t>
      </w:r>
      <w:r>
        <w:rPr>
          <w:rFonts w:ascii="仿宋" w:hAnsi="仿宋" w:eastAsia="仿宋" w:cs="宋体"/>
          <w:color w:val="333333"/>
          <w:kern w:val="0"/>
          <w:sz w:val="32"/>
          <w:szCs w:val="32"/>
        </w:rPr>
        <w:t>0元）；成功调解复杂疑难矛盾纠纷，每件奖补200元；成功调解重大民间纠纷，每件奖补500元。</w:t>
      </w:r>
    </w:p>
    <w:p>
      <w:pPr>
        <w:pStyle w:val="4"/>
        <w:widowControl/>
        <w:numPr>
          <w:ilvl w:val="0"/>
          <w:numId w:val="0"/>
        </w:numPr>
        <w:spacing w:before="0" w:after="0" w:line="240" w:lineRule="auto"/>
        <w:ind w:firstLine="800"/>
        <w:outlineLvl w:val="2"/>
      </w:pPr>
      <w:r>
        <w:rPr>
          <w:rFonts w:ascii="仿宋" w:hAnsi="仿宋" w:eastAsia="仿宋" w:cs="宋体"/>
          <w:color w:val="333333"/>
          <w:kern w:val="0"/>
          <w:sz w:val="32"/>
          <w:szCs w:val="32"/>
        </w:rPr>
        <w:t>2、项目资金使用情况分析</w:t>
      </w:r>
    </w:p>
    <w:p>
      <w:pPr>
        <w:pStyle w:val="4"/>
        <w:spacing w:before="0" w:after="0" w:line="240" w:lineRule="auto"/>
        <w:ind w:firstLine="480"/>
      </w:pPr>
      <w:r>
        <w:rPr>
          <w:rFonts w:ascii="仿宋" w:hAnsi="仿宋" w:eastAsia="仿宋" w:cs="宋体"/>
          <w:color w:val="333333"/>
          <w:kern w:val="0"/>
          <w:sz w:val="32"/>
          <w:szCs w:val="32"/>
        </w:rPr>
        <w:t>人民调解“以奖代补”服务经费每月（或季）汇总后据实核拨。该项目资金使用严格按照审批程序办理，操作规范，会计核算结果真实、准确，同时严格按照合同规定由财政直接拨付给承办单位。</w:t>
      </w:r>
      <w:r>
        <w:rPr>
          <w:rFonts w:hint="eastAsia" w:ascii="仿宋" w:hAnsi="仿宋" w:eastAsia="仿宋" w:cs="宋体"/>
          <w:color w:val="333333"/>
          <w:kern w:val="0"/>
          <w:sz w:val="32"/>
          <w:szCs w:val="32"/>
          <w:lang w:eastAsia="zh-CN"/>
        </w:rPr>
        <w:t>202</w:t>
      </w:r>
      <w:r>
        <w:rPr>
          <w:rFonts w:hint="eastAsia" w:ascii="仿宋" w:hAnsi="仿宋" w:eastAsia="仿宋" w:cs="宋体"/>
          <w:color w:val="333333"/>
          <w:kern w:val="0"/>
          <w:sz w:val="32"/>
          <w:szCs w:val="32"/>
          <w:lang w:val="en-US" w:eastAsia="zh-CN"/>
        </w:rPr>
        <w:t>2</w:t>
      </w:r>
      <w:r>
        <w:rPr>
          <w:rFonts w:ascii="仿宋" w:hAnsi="仿宋" w:eastAsia="仿宋" w:cs="宋体"/>
          <w:color w:val="333333"/>
          <w:kern w:val="0"/>
          <w:sz w:val="32"/>
          <w:szCs w:val="32"/>
        </w:rPr>
        <w:t>年共办理人民调解案件</w:t>
      </w:r>
      <w:r>
        <w:rPr>
          <w:rFonts w:hint="eastAsia" w:ascii="仿宋" w:hAnsi="仿宋" w:eastAsia="仿宋" w:cs="宋体"/>
          <w:color w:val="333333"/>
          <w:kern w:val="0"/>
          <w:sz w:val="32"/>
          <w:szCs w:val="32"/>
          <w:lang w:val="en-US" w:eastAsia="zh-CN"/>
        </w:rPr>
        <w:t>4301</w:t>
      </w:r>
      <w:r>
        <w:rPr>
          <w:rFonts w:ascii="仿宋" w:hAnsi="仿宋" w:eastAsia="仿宋" w:cs="宋体"/>
          <w:color w:val="333333"/>
          <w:kern w:val="0"/>
          <w:sz w:val="32"/>
          <w:szCs w:val="32"/>
        </w:rPr>
        <w:t>件，</w:t>
      </w:r>
      <w:r>
        <w:rPr>
          <w:rFonts w:hint="eastAsia" w:ascii="仿宋" w:hAnsi="仿宋" w:eastAsia="仿宋" w:cs="宋体"/>
          <w:color w:val="333333"/>
          <w:kern w:val="0"/>
          <w:sz w:val="32"/>
          <w:szCs w:val="32"/>
          <w:lang w:eastAsia="zh-CN"/>
        </w:rPr>
        <w:t>成功调解</w:t>
      </w:r>
      <w:r>
        <w:rPr>
          <w:rFonts w:hint="eastAsia" w:ascii="仿宋" w:hAnsi="仿宋" w:eastAsia="仿宋" w:cs="宋体"/>
          <w:color w:val="333333"/>
          <w:kern w:val="0"/>
          <w:sz w:val="32"/>
          <w:szCs w:val="32"/>
          <w:lang w:val="en-US" w:eastAsia="zh-CN"/>
        </w:rPr>
        <w:t>4289件，</w:t>
      </w:r>
      <w:r>
        <w:rPr>
          <w:rFonts w:hint="eastAsia" w:ascii="仿宋" w:hAnsi="仿宋" w:eastAsia="仿宋" w:cs="宋体"/>
          <w:color w:val="333333"/>
          <w:kern w:val="0"/>
          <w:sz w:val="32"/>
          <w:szCs w:val="32"/>
          <w:lang w:eastAsia="zh-CN"/>
        </w:rPr>
        <w:t>产生的奖励金</w:t>
      </w:r>
      <w:r>
        <w:rPr>
          <w:rFonts w:ascii="仿宋" w:hAnsi="仿宋" w:eastAsia="仿宋" w:cs="宋体"/>
          <w:color w:val="333333"/>
          <w:kern w:val="0"/>
          <w:sz w:val="32"/>
          <w:szCs w:val="32"/>
        </w:rPr>
        <w:t>全部发放给人民调解员。</w:t>
      </w:r>
    </w:p>
    <w:p>
      <w:pPr>
        <w:pStyle w:val="4"/>
        <w:widowControl/>
        <w:numPr>
          <w:ilvl w:val="0"/>
          <w:numId w:val="0"/>
        </w:numPr>
        <w:spacing w:before="0" w:after="0" w:line="240" w:lineRule="auto"/>
        <w:ind w:firstLine="800"/>
        <w:outlineLvl w:val="2"/>
      </w:pPr>
      <w:r>
        <w:rPr>
          <w:rFonts w:ascii="仿宋" w:hAnsi="仿宋" w:eastAsia="仿宋" w:cs="宋体"/>
          <w:color w:val="333333"/>
          <w:kern w:val="0"/>
          <w:sz w:val="32"/>
          <w:szCs w:val="32"/>
        </w:rPr>
        <w:t>3、项目资金管理情况分析</w:t>
      </w:r>
    </w:p>
    <w:p>
      <w:pPr>
        <w:pStyle w:val="4"/>
        <w:widowControl/>
        <w:spacing w:before="0" w:after="0" w:line="240" w:lineRule="auto"/>
        <w:ind w:firstLine="800"/>
      </w:pPr>
      <w:r>
        <w:rPr>
          <w:rFonts w:ascii="仿宋" w:hAnsi="仿宋" w:eastAsia="仿宋" w:cs="宋体"/>
          <w:color w:val="333333"/>
          <w:kern w:val="0"/>
          <w:sz w:val="32"/>
          <w:szCs w:val="32"/>
        </w:rPr>
        <w:t>项目全部由本单位按照规定组织实施。实施过程中严格按照本单位制定的财务管理制度、内部控制制度执行，对承办单位承接的人民调解“以奖代补”项目，由财政部门严格审核，按标准发放。</w:t>
      </w:r>
    </w:p>
    <w:p>
      <w:pPr>
        <w:pStyle w:val="4"/>
        <w:widowControl/>
        <w:numPr>
          <w:ilvl w:val="0"/>
          <w:numId w:val="0"/>
        </w:numPr>
        <w:spacing w:before="0" w:after="0" w:line="240" w:lineRule="auto"/>
        <w:ind w:firstLine="800"/>
        <w:outlineLvl w:val="1"/>
        <w:rPr>
          <w:b/>
          <w:bCs/>
        </w:rPr>
      </w:pPr>
      <w:r>
        <w:rPr>
          <w:rFonts w:ascii="仿宋" w:hAnsi="仿宋" w:eastAsia="仿宋" w:cs="宋体"/>
          <w:b/>
          <w:bCs/>
          <w:color w:val="333333"/>
          <w:kern w:val="0"/>
          <w:sz w:val="32"/>
          <w:szCs w:val="32"/>
        </w:rPr>
        <w:t>（二）项目实施情况分析</w:t>
      </w:r>
    </w:p>
    <w:p>
      <w:pPr>
        <w:pStyle w:val="4"/>
        <w:widowControl/>
        <w:numPr>
          <w:ilvl w:val="0"/>
          <w:numId w:val="0"/>
        </w:numPr>
        <w:spacing w:before="0" w:after="0" w:line="240" w:lineRule="auto"/>
        <w:ind w:firstLine="800"/>
        <w:outlineLvl w:val="2"/>
      </w:pPr>
      <w:r>
        <w:rPr>
          <w:rFonts w:ascii="仿宋" w:hAnsi="仿宋" w:eastAsia="仿宋" w:cs="宋体"/>
          <w:color w:val="333333"/>
          <w:kern w:val="0"/>
          <w:sz w:val="32"/>
          <w:szCs w:val="32"/>
        </w:rPr>
        <w:t>1、项目组织情况分析</w:t>
      </w:r>
    </w:p>
    <w:p>
      <w:pPr>
        <w:pStyle w:val="4"/>
        <w:widowControl/>
        <w:spacing w:before="0" w:after="0" w:line="240" w:lineRule="auto"/>
        <w:ind w:firstLine="800"/>
      </w:pPr>
      <w:r>
        <w:rPr>
          <w:rFonts w:ascii="仿宋" w:hAnsi="仿宋" w:eastAsia="仿宋" w:cs="宋体"/>
          <w:color w:val="333333"/>
          <w:kern w:val="0"/>
          <w:sz w:val="32"/>
          <w:szCs w:val="32"/>
        </w:rPr>
        <w:t>全县设立各级人民调解</w:t>
      </w:r>
      <w:r>
        <w:rPr>
          <w:rFonts w:ascii="仿宋" w:hAnsi="仿宋" w:eastAsia="仿宋" w:cs="宋体"/>
          <w:kern w:val="0"/>
          <w:sz w:val="32"/>
          <w:szCs w:val="32"/>
        </w:rPr>
        <w:t>组织</w:t>
      </w:r>
      <w:r>
        <w:rPr>
          <w:rFonts w:hint="eastAsia" w:ascii="仿宋" w:hAnsi="仿宋" w:eastAsia="仿宋" w:cs="宋体"/>
          <w:kern w:val="0"/>
          <w:sz w:val="32"/>
          <w:szCs w:val="32"/>
          <w:lang w:val="en-US" w:eastAsia="zh-CN"/>
        </w:rPr>
        <w:t>443个</w:t>
      </w:r>
      <w:r>
        <w:rPr>
          <w:rFonts w:ascii="仿宋" w:hAnsi="仿宋" w:eastAsia="仿宋" w:cs="宋体"/>
          <w:kern w:val="0"/>
          <w:sz w:val="32"/>
          <w:szCs w:val="32"/>
        </w:rPr>
        <w:t>，人</w:t>
      </w:r>
      <w:r>
        <w:rPr>
          <w:rFonts w:ascii="仿宋" w:hAnsi="仿宋" w:eastAsia="仿宋" w:cs="宋体"/>
          <w:color w:val="333333"/>
          <w:kern w:val="0"/>
          <w:sz w:val="32"/>
          <w:szCs w:val="32"/>
        </w:rPr>
        <w:t>民调解员</w:t>
      </w:r>
      <w:r>
        <w:rPr>
          <w:rFonts w:hint="eastAsia" w:ascii="仿宋" w:hAnsi="仿宋" w:eastAsia="仿宋" w:cs="宋体"/>
          <w:color w:val="333333"/>
          <w:kern w:val="0"/>
          <w:sz w:val="32"/>
          <w:szCs w:val="32"/>
          <w:lang w:val="en-US" w:eastAsia="zh-CN"/>
        </w:rPr>
        <w:t>1851</w:t>
      </w:r>
      <w:r>
        <w:rPr>
          <w:rFonts w:ascii="仿宋" w:hAnsi="仿宋" w:eastAsia="仿宋" w:cs="宋体"/>
          <w:color w:val="333333"/>
          <w:kern w:val="0"/>
          <w:sz w:val="32"/>
          <w:szCs w:val="32"/>
        </w:rPr>
        <w:t>名，负责人民调解工作。</w:t>
      </w:r>
    </w:p>
    <w:p>
      <w:pPr>
        <w:pStyle w:val="4"/>
        <w:widowControl/>
        <w:numPr>
          <w:ilvl w:val="0"/>
          <w:numId w:val="0"/>
        </w:numPr>
        <w:spacing w:before="0" w:after="0" w:line="240" w:lineRule="auto"/>
        <w:ind w:firstLine="800"/>
        <w:outlineLvl w:val="2"/>
      </w:pPr>
      <w:r>
        <w:rPr>
          <w:rFonts w:ascii="仿宋" w:hAnsi="仿宋" w:eastAsia="仿宋" w:cs="宋体"/>
          <w:color w:val="333333"/>
          <w:kern w:val="0"/>
          <w:sz w:val="32"/>
          <w:szCs w:val="32"/>
        </w:rPr>
        <w:t>2、项目管理情况分析</w:t>
      </w:r>
    </w:p>
    <w:p>
      <w:pPr>
        <w:pStyle w:val="4"/>
        <w:widowControl/>
        <w:spacing w:before="0" w:after="0" w:line="240" w:lineRule="auto"/>
        <w:ind w:firstLine="800"/>
      </w:pPr>
      <w:r>
        <w:rPr>
          <w:rFonts w:ascii="仿宋" w:hAnsi="仿宋" w:eastAsia="仿宋" w:cs="宋体"/>
          <w:color w:val="333333"/>
          <w:kern w:val="0"/>
          <w:sz w:val="32"/>
          <w:szCs w:val="32"/>
        </w:rPr>
        <w:t>本项目由县司法局负责组织，并聘请人民调解员，专门进行人民调解工作。</w:t>
      </w:r>
    </w:p>
    <w:p>
      <w:pPr>
        <w:pStyle w:val="4"/>
        <w:widowControl/>
        <w:numPr>
          <w:ilvl w:val="0"/>
          <w:numId w:val="0"/>
        </w:numPr>
        <w:spacing w:before="0" w:after="0" w:line="240" w:lineRule="auto"/>
        <w:ind w:firstLine="800"/>
        <w:outlineLvl w:val="1"/>
        <w:rPr>
          <w:b/>
          <w:bCs/>
        </w:rPr>
      </w:pPr>
      <w:r>
        <w:rPr>
          <w:rFonts w:ascii="仿宋" w:hAnsi="仿宋" w:eastAsia="仿宋" w:cs="宋体"/>
          <w:b/>
          <w:bCs/>
          <w:color w:val="333333"/>
          <w:kern w:val="0"/>
          <w:sz w:val="32"/>
          <w:szCs w:val="32"/>
        </w:rPr>
        <w:t>（三）项目绩效情况分析</w:t>
      </w:r>
    </w:p>
    <w:p>
      <w:pPr>
        <w:pStyle w:val="4"/>
        <w:widowControl/>
        <w:numPr>
          <w:ilvl w:val="0"/>
          <w:numId w:val="0"/>
        </w:numPr>
        <w:spacing w:before="0" w:after="0" w:line="240" w:lineRule="auto"/>
        <w:ind w:firstLine="800"/>
        <w:outlineLvl w:val="2"/>
      </w:pPr>
      <w:r>
        <w:rPr>
          <w:rFonts w:ascii="仿宋" w:hAnsi="仿宋" w:eastAsia="仿宋" w:cs="宋体"/>
          <w:color w:val="333333"/>
          <w:kern w:val="0"/>
          <w:sz w:val="32"/>
          <w:szCs w:val="32"/>
        </w:rPr>
        <w:t>1、项目的经济性分析</w:t>
      </w:r>
    </w:p>
    <w:p>
      <w:pPr>
        <w:pStyle w:val="4"/>
        <w:widowControl/>
        <w:spacing w:before="0" w:after="0" w:line="240" w:lineRule="auto"/>
        <w:ind w:firstLine="640" w:firstLineChars="200"/>
      </w:pPr>
      <w:r>
        <w:rPr>
          <w:rFonts w:ascii="仿宋" w:hAnsi="仿宋" w:eastAsia="仿宋" w:cs="宋体"/>
          <w:color w:val="333333"/>
          <w:kern w:val="0"/>
          <w:sz w:val="32"/>
          <w:szCs w:val="32"/>
        </w:rPr>
        <w:t>项目成本（预算）控制情况</w:t>
      </w:r>
    </w:p>
    <w:p>
      <w:pPr>
        <w:pStyle w:val="4"/>
        <w:widowControl/>
        <w:spacing w:before="0" w:after="0" w:line="240" w:lineRule="auto"/>
        <w:ind w:firstLine="480"/>
      </w:pPr>
      <w:r>
        <w:rPr>
          <w:rFonts w:ascii="仿宋" w:hAnsi="仿宋" w:eastAsia="仿宋" w:cs="宋体"/>
          <w:color w:val="333333"/>
          <w:kern w:val="0"/>
          <w:sz w:val="32"/>
          <w:szCs w:val="32"/>
        </w:rPr>
        <w:t>人民调解员承办案件根据结案时间据实核报，故上年度受理的人民调解“以奖代补”案件在本年度结案的，在本年度预算内支出；本年度受理的人民调解案件在下年度结案的，只能在下年度预算经费中支出，但每年支出都没有超出年度预算经费。</w:t>
      </w:r>
    </w:p>
    <w:p>
      <w:pPr>
        <w:pStyle w:val="4"/>
        <w:widowControl/>
        <w:numPr>
          <w:ilvl w:val="0"/>
          <w:numId w:val="0"/>
        </w:numPr>
        <w:spacing w:before="0" w:after="0" w:line="240" w:lineRule="auto"/>
        <w:ind w:firstLine="800"/>
        <w:outlineLvl w:val="2"/>
      </w:pPr>
      <w:r>
        <w:rPr>
          <w:rFonts w:ascii="仿宋" w:hAnsi="仿宋" w:eastAsia="仿宋" w:cs="宋体"/>
          <w:color w:val="333333"/>
          <w:kern w:val="0"/>
          <w:sz w:val="32"/>
          <w:szCs w:val="32"/>
        </w:rPr>
        <w:t>2、项目的效率性分析</w:t>
      </w:r>
    </w:p>
    <w:p>
      <w:pPr>
        <w:pStyle w:val="4"/>
        <w:widowControl/>
        <w:spacing w:before="0" w:after="0" w:line="240" w:lineRule="auto"/>
        <w:ind w:firstLine="800"/>
      </w:pPr>
      <w:r>
        <w:rPr>
          <w:rFonts w:ascii="仿宋" w:hAnsi="仿宋" w:eastAsia="仿宋" w:cs="宋体"/>
          <w:color w:val="333333"/>
          <w:kern w:val="0"/>
          <w:sz w:val="32"/>
          <w:szCs w:val="32"/>
        </w:rPr>
        <w:t>本项目无不合格案卷，无群众投诉案件，法律咨询和案件办理的群众满意度为9</w:t>
      </w:r>
      <w:r>
        <w:rPr>
          <w:rFonts w:hint="eastAsia" w:ascii="仿宋" w:hAnsi="仿宋" w:eastAsia="仿宋" w:cs="宋体"/>
          <w:color w:val="333333"/>
          <w:kern w:val="0"/>
          <w:sz w:val="32"/>
          <w:szCs w:val="32"/>
          <w:lang w:val="en-US" w:eastAsia="zh-CN"/>
        </w:rPr>
        <w:t>7</w:t>
      </w:r>
      <w:r>
        <w:rPr>
          <w:rFonts w:ascii="仿宋" w:hAnsi="仿宋" w:eastAsia="仿宋" w:cs="宋体"/>
          <w:color w:val="333333"/>
          <w:kern w:val="0"/>
          <w:sz w:val="32"/>
          <w:szCs w:val="32"/>
        </w:rPr>
        <w:t>%。</w:t>
      </w:r>
    </w:p>
    <w:p>
      <w:pPr>
        <w:pStyle w:val="4"/>
        <w:widowControl/>
        <w:numPr>
          <w:ilvl w:val="0"/>
          <w:numId w:val="0"/>
        </w:numPr>
        <w:spacing w:before="0" w:after="0" w:line="240" w:lineRule="auto"/>
        <w:ind w:firstLine="800"/>
        <w:outlineLvl w:val="2"/>
      </w:pPr>
      <w:r>
        <w:rPr>
          <w:rFonts w:ascii="仿宋" w:hAnsi="仿宋" w:eastAsia="仿宋" w:cs="宋体"/>
          <w:color w:val="333333"/>
          <w:kern w:val="0"/>
          <w:sz w:val="32"/>
          <w:szCs w:val="32"/>
        </w:rPr>
        <w:t>3、项目的效益性分析</w:t>
      </w:r>
    </w:p>
    <w:p>
      <w:pPr>
        <w:pStyle w:val="4"/>
        <w:widowControl/>
        <w:spacing w:before="0" w:after="0" w:line="240" w:lineRule="auto"/>
        <w:ind w:firstLine="800"/>
      </w:pPr>
      <w:r>
        <w:rPr>
          <w:rFonts w:ascii="仿宋" w:hAnsi="仿宋" w:eastAsia="仿宋" w:cs="宋体"/>
          <w:color w:val="333333"/>
          <w:kern w:val="0"/>
          <w:sz w:val="32"/>
          <w:szCs w:val="32"/>
        </w:rPr>
        <w:t>我县的人民调解“以奖代补”法律服务维护了社会和谐稳定。</w:t>
      </w:r>
    </w:p>
    <w:p>
      <w:pPr>
        <w:pStyle w:val="4"/>
        <w:widowControl/>
        <w:numPr>
          <w:ilvl w:val="0"/>
          <w:numId w:val="0"/>
        </w:numPr>
        <w:spacing w:before="0" w:after="0" w:line="240" w:lineRule="auto"/>
        <w:ind w:firstLine="803"/>
        <w:outlineLvl w:val="0"/>
      </w:pPr>
      <w:r>
        <w:rPr>
          <w:rFonts w:cs="宋体" w:asciiTheme="minorEastAsia" w:hAnsiTheme="minorEastAsia"/>
          <w:b/>
          <w:color w:val="333333"/>
          <w:kern w:val="0"/>
          <w:sz w:val="32"/>
          <w:szCs w:val="32"/>
        </w:rPr>
        <w:t>三、项目后续工作计划</w:t>
      </w:r>
    </w:p>
    <w:p>
      <w:pPr>
        <w:pStyle w:val="4"/>
        <w:widowControl/>
        <w:spacing w:before="0" w:after="0" w:line="240" w:lineRule="auto"/>
        <w:ind w:firstLine="800"/>
      </w:pPr>
      <w:r>
        <w:rPr>
          <w:rFonts w:ascii="仿宋" w:hAnsi="仿宋" w:eastAsia="仿宋" w:cs="宋体"/>
          <w:color w:val="333333"/>
          <w:kern w:val="0"/>
          <w:sz w:val="32"/>
          <w:szCs w:val="32"/>
        </w:rPr>
        <w:t>在下年度开展人民调解“以奖代补”法律服务，调动人民调解员工作积极性，人民调解工作进一步规范，案件质量进一步提升，进一步扩大人民调解覆盖面和群众满意度，充分发挥人民调解作用。</w:t>
      </w:r>
    </w:p>
    <w:p>
      <w:pPr>
        <w:pStyle w:val="4"/>
        <w:widowControl/>
        <w:numPr>
          <w:ilvl w:val="0"/>
          <w:numId w:val="0"/>
        </w:numPr>
        <w:spacing w:before="0" w:after="0" w:line="240" w:lineRule="auto"/>
        <w:ind w:firstLine="803"/>
        <w:outlineLvl w:val="0"/>
      </w:pPr>
      <w:r>
        <w:rPr>
          <w:rFonts w:cs="宋体" w:asciiTheme="minorEastAsia" w:hAnsiTheme="minorEastAsia"/>
          <w:b/>
          <w:color w:val="333333"/>
          <w:kern w:val="0"/>
          <w:sz w:val="32"/>
          <w:szCs w:val="32"/>
        </w:rPr>
        <w:t>四、评价情况及评价结论</w:t>
      </w:r>
    </w:p>
    <w:p>
      <w:pPr>
        <w:pStyle w:val="4"/>
        <w:widowControl/>
        <w:spacing w:before="0" w:after="0" w:line="240" w:lineRule="auto"/>
        <w:ind w:firstLine="800"/>
      </w:pPr>
      <w:r>
        <w:rPr>
          <w:rFonts w:ascii="仿宋" w:hAnsi="仿宋" w:eastAsia="仿宋" w:cs="宋体"/>
          <w:color w:val="333333"/>
          <w:kern w:val="0"/>
          <w:sz w:val="32"/>
          <w:szCs w:val="32"/>
        </w:rPr>
        <w:t>项目评价自查得分为97分，达到了预期目标，社会反响良好。</w:t>
      </w:r>
    </w:p>
    <w:p>
      <w:pPr>
        <w:pStyle w:val="4"/>
        <w:widowControl/>
        <w:numPr>
          <w:ilvl w:val="0"/>
          <w:numId w:val="0"/>
        </w:numPr>
        <w:spacing w:before="0" w:after="0" w:line="240" w:lineRule="auto"/>
        <w:ind w:firstLine="803"/>
        <w:outlineLvl w:val="0"/>
      </w:pPr>
      <w:r>
        <w:rPr>
          <w:rFonts w:cs="宋体" w:asciiTheme="minorEastAsia" w:hAnsiTheme="minorEastAsia"/>
          <w:b/>
          <w:color w:val="333333"/>
          <w:kern w:val="0"/>
          <w:sz w:val="32"/>
          <w:szCs w:val="32"/>
        </w:rPr>
        <w:t>五、主要经验做法、存在问题、改进措施和建议</w:t>
      </w:r>
    </w:p>
    <w:p>
      <w:pPr>
        <w:pStyle w:val="4"/>
        <w:widowControl/>
        <w:spacing w:before="0" w:after="0" w:line="240" w:lineRule="auto"/>
        <w:ind w:firstLine="800"/>
        <w:rPr>
          <w:rFonts w:ascii="仿宋" w:hAnsi="仿宋" w:eastAsia="仿宋" w:cs="宋体"/>
          <w:color w:val="333333"/>
          <w:kern w:val="0"/>
          <w:sz w:val="32"/>
          <w:szCs w:val="32"/>
        </w:rPr>
      </w:pPr>
      <w:r>
        <w:rPr>
          <w:rFonts w:ascii="仿宋" w:hAnsi="仿宋" w:eastAsia="仿宋" w:cs="宋体"/>
          <w:color w:val="333333"/>
          <w:kern w:val="0"/>
          <w:sz w:val="32"/>
          <w:szCs w:val="32"/>
        </w:rPr>
        <w:t>主要做法是以乡镇为单位划分，实行专人负责制，落实工作责任制。我单位将及时报审人民调解 “以奖代补” 案巻，建议财政配套资金及时安排到位。</w:t>
      </w:r>
    </w:p>
    <w:p>
      <w:pPr>
        <w:pStyle w:val="4"/>
        <w:spacing w:before="0" w:after="0" w:line="240" w:lineRule="auto"/>
        <w:rPr>
          <w:sz w:val="44"/>
          <w:szCs w:val="44"/>
        </w:rPr>
      </w:pPr>
      <w:r>
        <w:rPr>
          <w:sz w:val="44"/>
          <w:szCs w:val="44"/>
        </w:rPr>
        <w:t xml:space="preserve">         </w:t>
      </w:r>
      <w:r>
        <w:rPr>
          <w:rFonts w:hint="eastAsia"/>
          <w:sz w:val="44"/>
          <w:szCs w:val="44"/>
          <w:lang w:val="en-US" w:eastAsia="zh-CN"/>
        </w:rPr>
        <w:t xml:space="preserve">                                        </w:t>
      </w:r>
      <w:r>
        <w:rPr>
          <w:sz w:val="44"/>
          <w:szCs w:val="44"/>
        </w:rPr>
        <w:t xml:space="preserve">            </w:t>
      </w:r>
    </w:p>
    <w:p>
      <w:pPr>
        <w:pStyle w:val="4"/>
        <w:spacing w:before="0" w:after="0" w:line="240" w:lineRule="auto"/>
        <w:rPr>
          <w:rFonts w:hint="eastAsia"/>
          <w:sz w:val="44"/>
          <w:szCs w:val="44"/>
          <w:lang w:val="en-US" w:eastAsia="zh-CN"/>
        </w:rPr>
      </w:pPr>
      <w:bookmarkStart w:id="0" w:name="_GoBack"/>
      <w:bookmarkEnd w:id="0"/>
    </w:p>
    <w:sectPr>
      <w:pgSz w:w="11906" w:h="16838"/>
      <w:pgMar w:top="1440" w:right="1740" w:bottom="1309" w:left="1797" w:header="0" w:footer="0" w:gutter="0"/>
      <w:pgNumType w:fmt="decimal"/>
      <w:cols w:space="720" w:num="1"/>
      <w:formProt w:val="0"/>
      <w:docGrid w:type="lines"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autoHyphenation/>
  <w:compat>
    <w:doNotExpandShiftReturn/>
    <w:useFELayout/>
    <w:compatSetting w:name="compatibilityMode" w:uri="http://schemas.microsoft.com/office/word" w:val="12"/>
  </w:compat>
  <w:docVars>
    <w:docVar w:name="commondata" w:val="eyJoZGlkIjoiNjc1MTJmYzUzYTc5MmNjNjIzMDI1ODE2Mzc2Yzc0NzgifQ=="/>
  </w:docVars>
  <w:rsids>
    <w:rsidRoot w:val="00000000"/>
    <w:rsid w:val="11FE3125"/>
    <w:rsid w:val="1C59393A"/>
    <w:rsid w:val="1DB7309F"/>
    <w:rsid w:val="1DC83B91"/>
    <w:rsid w:val="20441C0F"/>
    <w:rsid w:val="23DB4C69"/>
    <w:rsid w:val="6FFA5E4F"/>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1"/>
    <w:qFormat/>
    <w:uiPriority w:val="0"/>
    <w:pPr>
      <w:widowControl w:val="0"/>
      <w:suppressAutoHyphens w:val="0"/>
      <w:bidi w:val="0"/>
      <w:spacing w:before="0" w:after="0"/>
      <w:jc w:val="both"/>
    </w:pPr>
    <w:rPr>
      <w:rFonts w:asciiTheme="minorHAnsi" w:hAnsiTheme="minorHAnsi" w:eastAsiaTheme="minorEastAsia" w:cstheme="minorBidi"/>
      <w:color w:val="auto"/>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XPCX</Company>
  <Pages>4</Pages>
  <Words>1381</Words>
  <Characters>1424</Characters>
  <Paragraphs>38</Paragraphs>
  <TotalTime>15</TotalTime>
  <ScaleCrop>false</ScaleCrop>
  <LinksUpToDate>false</LinksUpToDate>
  <CharactersWithSpaces>1487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2020-04-27T03:28:00Z</dcterms:created>
  <dc:creator>Administrator</dc:creator>
  <cp:lastModifiedBy>Administrator</cp:lastModifiedBy>
  <cp:lastPrinted>2023-06-14T09:15:00Z</cp:lastPrinted>
  <dcterms:modified xsi:type="dcterms:W3CDTF">2023-09-12T00:56:21Z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C513D171A5884597990436966E97E039</vt:lpwstr>
  </property>
  <property fmtid="{D5CDD505-2E9C-101B-9397-08002B2CF9AE}" pid="3" name="KSOProductBuildVer">
    <vt:lpwstr>2052-11.1.0.14309</vt:lpwstr>
  </property>
</Properties>
</file>