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黑体" w:eastAsia="黑体"/>
          <w:sz w:val="44"/>
          <w:szCs w:val="44"/>
        </w:rPr>
      </w:pPr>
      <w:r>
        <w:rPr>
          <w:rFonts w:hint="eastAsia" w:ascii="黑体" w:hAnsi="黑体" w:eastAsia="黑体"/>
          <w:sz w:val="44"/>
          <w:szCs w:val="44"/>
        </w:rPr>
        <w:t>溆浦县辰河目连戏传承保护中心</w:t>
      </w:r>
    </w:p>
    <w:p>
      <w:pPr>
        <w:spacing w:line="640" w:lineRule="exact"/>
        <w:jc w:val="center"/>
        <w:rPr>
          <w:rFonts w:ascii="黑体" w:hAnsi="黑体" w:eastAsia="黑体"/>
          <w:sz w:val="44"/>
          <w:szCs w:val="44"/>
        </w:rPr>
      </w:pPr>
      <w:r>
        <w:rPr>
          <w:rFonts w:hint="eastAsia" w:ascii="黑体" w:hAnsi="黑体" w:eastAsia="黑体"/>
          <w:sz w:val="44"/>
          <w:szCs w:val="44"/>
        </w:rPr>
        <w:t>20</w:t>
      </w:r>
      <w:r>
        <w:rPr>
          <w:rFonts w:ascii="黑体" w:hAnsi="黑体" w:eastAsia="黑体"/>
          <w:sz w:val="44"/>
          <w:szCs w:val="44"/>
        </w:rPr>
        <w:t>22</w:t>
      </w:r>
      <w:r>
        <w:rPr>
          <w:rFonts w:hint="eastAsia" w:ascii="黑体" w:hAnsi="黑体" w:eastAsia="黑体"/>
          <w:sz w:val="44"/>
          <w:szCs w:val="44"/>
        </w:rPr>
        <w:t>年部门整体支出绩效</w:t>
      </w:r>
    </w:p>
    <w:p>
      <w:pPr>
        <w:spacing w:line="640" w:lineRule="exact"/>
        <w:jc w:val="center"/>
        <w:rPr>
          <w:rFonts w:ascii="黑体" w:hAnsi="黑体" w:eastAsia="黑体"/>
          <w:sz w:val="44"/>
          <w:szCs w:val="44"/>
        </w:rPr>
      </w:pPr>
      <w:r>
        <w:rPr>
          <w:rFonts w:hint="eastAsia" w:ascii="黑体" w:hAnsi="黑体" w:eastAsia="黑体"/>
          <w:sz w:val="44"/>
          <w:szCs w:val="44"/>
        </w:rPr>
        <w:t>自评报告</w:t>
      </w:r>
    </w:p>
    <w:p>
      <w:pPr>
        <w:spacing w:line="580" w:lineRule="exact"/>
        <w:ind w:firstLine="643" w:firstLineChars="200"/>
        <w:rPr>
          <w:sz w:val="32"/>
          <w:szCs w:val="32"/>
        </w:rPr>
      </w:pPr>
    </w:p>
    <w:p>
      <w:pPr>
        <w:spacing w:line="580" w:lineRule="exact"/>
        <w:ind w:firstLine="600" w:firstLineChars="200"/>
        <w:rPr>
          <w:rFonts w:ascii="黑体" w:hAnsi="黑体" w:eastAsia="黑体"/>
          <w:b w:val="0"/>
          <w:sz w:val="30"/>
          <w:szCs w:val="30"/>
        </w:rPr>
      </w:pPr>
      <w:r>
        <w:rPr>
          <w:rFonts w:hint="eastAsia" w:ascii="黑体" w:hAnsi="黑体" w:eastAsia="黑体"/>
          <w:b w:val="0"/>
          <w:sz w:val="30"/>
          <w:szCs w:val="30"/>
        </w:rPr>
        <w:t>一、部门概况</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（一）单位基本情况</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本单位是财政差额事业单位，核定编制20名，实有在职人员</w:t>
      </w:r>
      <w:r>
        <w:rPr>
          <w:rFonts w:ascii="仿宋" w:hAnsi="仿宋" w:eastAsia="仿宋"/>
          <w:b w:val="0"/>
          <w:sz w:val="30"/>
          <w:szCs w:val="30"/>
        </w:rPr>
        <w:t>9</w:t>
      </w:r>
      <w:r>
        <w:rPr>
          <w:rFonts w:hint="eastAsia" w:ascii="仿宋" w:hAnsi="仿宋" w:eastAsia="仿宋"/>
          <w:b w:val="0"/>
          <w:sz w:val="30"/>
          <w:szCs w:val="30"/>
        </w:rPr>
        <w:t>人，其中事业人员</w:t>
      </w:r>
      <w:r>
        <w:rPr>
          <w:rFonts w:ascii="仿宋" w:hAnsi="仿宋" w:eastAsia="仿宋"/>
          <w:b w:val="0"/>
          <w:sz w:val="30"/>
          <w:szCs w:val="30"/>
        </w:rPr>
        <w:t>9</w:t>
      </w:r>
      <w:r>
        <w:rPr>
          <w:rFonts w:hint="eastAsia" w:ascii="仿宋" w:hAnsi="仿宋" w:eastAsia="仿宋"/>
          <w:b w:val="0"/>
          <w:sz w:val="30"/>
          <w:szCs w:val="30"/>
        </w:rPr>
        <w:t>人，离退休人员1</w:t>
      </w:r>
      <w:r>
        <w:rPr>
          <w:rFonts w:ascii="仿宋" w:hAnsi="仿宋" w:eastAsia="仿宋"/>
          <w:b w:val="0"/>
          <w:sz w:val="30"/>
          <w:szCs w:val="30"/>
        </w:rPr>
        <w:t>5</w:t>
      </w:r>
      <w:r>
        <w:rPr>
          <w:rFonts w:hint="eastAsia" w:ascii="仿宋" w:hAnsi="仿宋" w:eastAsia="仿宋"/>
          <w:b w:val="0"/>
          <w:sz w:val="30"/>
          <w:szCs w:val="30"/>
        </w:rPr>
        <w:t>人。合同工2</w:t>
      </w:r>
      <w:r>
        <w:rPr>
          <w:rFonts w:ascii="仿宋" w:hAnsi="仿宋" w:eastAsia="仿宋"/>
          <w:b w:val="0"/>
          <w:sz w:val="30"/>
          <w:szCs w:val="30"/>
        </w:rPr>
        <w:t>7</w:t>
      </w:r>
      <w:r>
        <w:rPr>
          <w:rFonts w:hint="eastAsia" w:ascii="仿宋" w:hAnsi="仿宋" w:eastAsia="仿宋"/>
          <w:b w:val="0"/>
          <w:sz w:val="30"/>
          <w:szCs w:val="30"/>
        </w:rPr>
        <w:t>人。主要职责和业务范围是：开展溆浦县辰河目连戏传承保护工作，促进我县社会经济文化发展。辰河目连戏的传承、保护、研究、展演及对外交流与合作和其它相关工作。</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（二）单位整体支出</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辰河目连戏传承保护中心20</w:t>
      </w:r>
      <w:r>
        <w:rPr>
          <w:rFonts w:ascii="仿宋" w:hAnsi="仿宋" w:eastAsia="仿宋"/>
          <w:b w:val="0"/>
          <w:sz w:val="30"/>
          <w:szCs w:val="30"/>
        </w:rPr>
        <w:t>22</w:t>
      </w:r>
      <w:r>
        <w:rPr>
          <w:rFonts w:hint="eastAsia" w:ascii="仿宋" w:hAnsi="仿宋" w:eastAsia="仿宋"/>
          <w:b w:val="0"/>
          <w:sz w:val="30"/>
          <w:szCs w:val="30"/>
        </w:rPr>
        <w:t>年整体支出5</w:t>
      </w:r>
      <w:r>
        <w:rPr>
          <w:rFonts w:ascii="仿宋" w:hAnsi="仿宋" w:eastAsia="仿宋"/>
          <w:b w:val="0"/>
          <w:sz w:val="30"/>
          <w:szCs w:val="30"/>
        </w:rPr>
        <w:t>99.15</w:t>
      </w:r>
      <w:r>
        <w:rPr>
          <w:rFonts w:hint="eastAsia" w:ascii="仿宋" w:hAnsi="仿宋" w:eastAsia="仿宋"/>
          <w:b w:val="0"/>
          <w:sz w:val="30"/>
          <w:szCs w:val="30"/>
        </w:rPr>
        <w:t>万元，主要用于辰河目连戏的传承、保护、研究、展演等工作，包括职工工资发放、商品和服务支出、个人和家庭补助和其他费用等。</w:t>
      </w:r>
    </w:p>
    <w:p>
      <w:pPr>
        <w:spacing w:line="580" w:lineRule="exact"/>
        <w:ind w:firstLine="600" w:firstLineChars="200"/>
        <w:rPr>
          <w:rFonts w:ascii="黑体" w:hAnsi="黑体" w:eastAsia="黑体"/>
          <w:b w:val="0"/>
          <w:sz w:val="30"/>
          <w:szCs w:val="30"/>
        </w:rPr>
      </w:pPr>
      <w:r>
        <w:rPr>
          <w:rFonts w:hint="eastAsia" w:ascii="黑体" w:hAnsi="黑体" w:eastAsia="黑体"/>
          <w:b w:val="0"/>
          <w:sz w:val="30"/>
          <w:szCs w:val="30"/>
        </w:rPr>
        <w:t>二、部门整体支出管理及使用情况</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202</w:t>
      </w:r>
      <w:r>
        <w:rPr>
          <w:rFonts w:ascii="仿宋" w:hAnsi="仿宋" w:eastAsia="仿宋"/>
          <w:b w:val="0"/>
          <w:sz w:val="30"/>
          <w:szCs w:val="30"/>
        </w:rPr>
        <w:t>2</w:t>
      </w:r>
      <w:r>
        <w:rPr>
          <w:rFonts w:hint="eastAsia" w:ascii="仿宋" w:hAnsi="仿宋" w:eastAsia="仿宋"/>
          <w:b w:val="0"/>
          <w:sz w:val="30"/>
          <w:szCs w:val="30"/>
        </w:rPr>
        <w:t>年度资金使用情况：本年支出</w:t>
      </w:r>
      <w:r>
        <w:rPr>
          <w:rFonts w:ascii="仿宋" w:hAnsi="仿宋" w:eastAsia="仿宋"/>
          <w:b w:val="0"/>
          <w:sz w:val="30"/>
          <w:szCs w:val="30"/>
        </w:rPr>
        <w:t>599.15</w:t>
      </w:r>
      <w:r>
        <w:rPr>
          <w:rFonts w:hint="eastAsia" w:ascii="仿宋" w:hAnsi="仿宋" w:eastAsia="仿宋"/>
          <w:b w:val="0"/>
          <w:sz w:val="30"/>
          <w:szCs w:val="30"/>
        </w:rPr>
        <w:t>万元，其中：工资福利支出2</w:t>
      </w:r>
      <w:r>
        <w:rPr>
          <w:rFonts w:ascii="仿宋" w:hAnsi="仿宋" w:eastAsia="仿宋"/>
          <w:b w:val="0"/>
          <w:sz w:val="30"/>
          <w:szCs w:val="30"/>
        </w:rPr>
        <w:t>31.53</w:t>
      </w:r>
      <w:r>
        <w:rPr>
          <w:rFonts w:hint="eastAsia" w:ascii="仿宋" w:hAnsi="仿宋" w:eastAsia="仿宋"/>
          <w:b w:val="0"/>
          <w:sz w:val="30"/>
          <w:szCs w:val="30"/>
        </w:rPr>
        <w:t>万元，商品和服务支出3</w:t>
      </w:r>
      <w:r>
        <w:rPr>
          <w:rFonts w:ascii="仿宋" w:hAnsi="仿宋" w:eastAsia="仿宋"/>
          <w:b w:val="0"/>
          <w:sz w:val="30"/>
          <w:szCs w:val="30"/>
        </w:rPr>
        <w:t>14.13</w:t>
      </w:r>
      <w:r>
        <w:rPr>
          <w:rFonts w:hint="eastAsia" w:ascii="仿宋" w:hAnsi="仿宋" w:eastAsia="仿宋"/>
          <w:b w:val="0"/>
          <w:sz w:val="30"/>
          <w:szCs w:val="30"/>
        </w:rPr>
        <w:t>万元，对个人和家庭补助支出0万元,其他支出3</w:t>
      </w:r>
      <w:r>
        <w:rPr>
          <w:rFonts w:ascii="仿宋" w:hAnsi="仿宋" w:eastAsia="仿宋"/>
          <w:b w:val="0"/>
          <w:sz w:val="30"/>
          <w:szCs w:val="30"/>
        </w:rPr>
        <w:t>.49</w:t>
      </w:r>
      <w:r>
        <w:rPr>
          <w:rFonts w:hint="eastAsia" w:ascii="仿宋" w:hAnsi="仿宋" w:eastAsia="仿宋"/>
          <w:b w:val="0"/>
          <w:sz w:val="30"/>
          <w:szCs w:val="30"/>
        </w:rPr>
        <w:t>万元，项目支出5</w:t>
      </w:r>
      <w:r>
        <w:rPr>
          <w:rFonts w:ascii="仿宋" w:hAnsi="仿宋" w:eastAsia="仿宋"/>
          <w:b w:val="0"/>
          <w:sz w:val="30"/>
          <w:szCs w:val="30"/>
        </w:rPr>
        <w:t>0</w:t>
      </w:r>
      <w:r>
        <w:rPr>
          <w:rFonts w:hint="eastAsia" w:ascii="仿宋" w:hAnsi="仿宋" w:eastAsia="仿宋"/>
          <w:b w:val="0"/>
          <w:sz w:val="30"/>
          <w:szCs w:val="30"/>
        </w:rPr>
        <w:t>万元，年末结转0万元。</w:t>
      </w:r>
    </w:p>
    <w:p>
      <w:pPr>
        <w:spacing w:line="580" w:lineRule="exact"/>
        <w:ind w:firstLine="600" w:firstLineChars="200"/>
        <w:rPr>
          <w:rFonts w:ascii="仿宋" w:hAnsi="仿宋" w:eastAsia="仿宋"/>
          <w:b w:val="0"/>
          <w:sz w:val="30"/>
          <w:szCs w:val="30"/>
        </w:rPr>
      </w:pPr>
      <w:r>
        <w:rPr>
          <w:rFonts w:hint="eastAsia" w:ascii="仿宋" w:hAnsi="仿宋" w:eastAsia="仿宋"/>
          <w:b w:val="0"/>
          <w:sz w:val="30"/>
          <w:szCs w:val="30"/>
        </w:rPr>
        <w:t>本中心各项支出严格按照国家财经法规，和有关财务管理制度的规定资金实行统一管理，计划使用，逐级审批，对经费开支标准，审批程序，开支范围，结算方式，票据要求作出了明确规定。202</w:t>
      </w:r>
      <w:r>
        <w:rPr>
          <w:rFonts w:ascii="仿宋" w:hAnsi="仿宋" w:eastAsia="仿宋"/>
          <w:b w:val="0"/>
          <w:sz w:val="30"/>
          <w:szCs w:val="30"/>
        </w:rPr>
        <w:t>1</w:t>
      </w:r>
      <w:r>
        <w:rPr>
          <w:rFonts w:hint="eastAsia" w:ascii="仿宋" w:hAnsi="仿宋" w:eastAsia="仿宋"/>
          <w:b w:val="0"/>
          <w:sz w:val="30"/>
          <w:szCs w:val="30"/>
        </w:rPr>
        <w:t>年“三公”经费无支出。</w:t>
      </w:r>
    </w:p>
    <w:p>
      <w:pPr>
        <w:spacing w:line="580" w:lineRule="exact"/>
        <w:ind w:firstLine="600" w:firstLineChars="200"/>
        <w:rPr>
          <w:rFonts w:ascii="黑体" w:hAnsi="黑体" w:eastAsia="黑体"/>
          <w:b w:val="0"/>
          <w:sz w:val="30"/>
          <w:szCs w:val="30"/>
        </w:rPr>
      </w:pPr>
      <w:r>
        <w:rPr>
          <w:rFonts w:hint="eastAsia" w:ascii="黑体" w:hAnsi="黑体" w:eastAsia="黑体"/>
          <w:b w:val="0"/>
          <w:sz w:val="30"/>
          <w:szCs w:val="30"/>
        </w:rPr>
        <w:t>三、整体支出绩效情况</w:t>
      </w:r>
    </w:p>
    <w:p>
      <w:pPr>
        <w:ind w:firstLine="600" w:firstLineChars="200"/>
        <w:rPr>
          <w:rFonts w:ascii="仿宋" w:hAnsi="仿宋" w:eastAsia="仿宋"/>
          <w:b w:val="0"/>
          <w:bCs/>
          <w:sz w:val="30"/>
          <w:szCs w:val="30"/>
        </w:rPr>
      </w:pPr>
      <w:r>
        <w:rPr>
          <w:rFonts w:hint="eastAsia" w:ascii="仿宋" w:hAnsi="仿宋" w:eastAsia="仿宋"/>
          <w:b w:val="0"/>
          <w:bCs/>
          <w:sz w:val="30"/>
          <w:szCs w:val="30"/>
        </w:rPr>
        <w:t>1、主要业务的开展</w:t>
      </w:r>
    </w:p>
    <w:p>
      <w:pPr>
        <w:ind w:firstLine="600" w:firstLineChars="200"/>
        <w:rPr>
          <w:rFonts w:ascii="仿宋" w:hAnsi="仿宋" w:eastAsia="仿宋"/>
          <w:b w:val="0"/>
          <w:bCs/>
          <w:sz w:val="30"/>
          <w:szCs w:val="30"/>
        </w:rPr>
      </w:pPr>
      <w:r>
        <w:rPr>
          <w:rStyle w:val="9"/>
          <w:rFonts w:ascii="仿宋" w:hAnsi="仿宋" w:eastAsia="仿宋"/>
          <w:b w:val="0"/>
          <w:bCs/>
          <w:sz w:val="30"/>
          <w:szCs w:val="30"/>
        </w:rPr>
        <w:t xml:space="preserve">2022年，按照省、市、县各级主管部门的工作安排，结合我单位实际情况，我们开展了演艺惠民送戏下乡活动，恢复了梨园戏苑的演出，加强了党建、助力乡村振兴工作，参加了全市首届艺术节活动，狠抓非遗传承接班人的培养，强化了内部管理，使单位各项工作取得了较为明显的成绩。 </w:t>
      </w:r>
      <w:r>
        <w:rPr>
          <w:rStyle w:val="9"/>
          <w:rFonts w:ascii="仿宋" w:hAnsi="仿宋" w:eastAsia="仿宋" w:cs="Times New Roman"/>
          <w:b w:val="0"/>
          <w:bCs/>
          <w:sz w:val="30"/>
          <w:szCs w:val="30"/>
        </w:rPr>
        <w:t>1</w:t>
      </w:r>
      <w:r>
        <w:rPr>
          <w:rStyle w:val="9"/>
          <w:rFonts w:ascii="仿宋" w:hAnsi="仿宋" w:eastAsia="仿宋"/>
          <w:b w:val="0"/>
          <w:bCs/>
          <w:sz w:val="30"/>
          <w:szCs w:val="30"/>
        </w:rPr>
        <w:t>、送戏下乡演艺惠民 2022年，在主任郑丽萍的带领下，全体工作人员克服了疫情影响，开展了“送戏进思蒙、助力创</w:t>
      </w:r>
      <w:r>
        <w:rPr>
          <w:rStyle w:val="9"/>
          <w:rFonts w:ascii="仿宋" w:hAnsi="仿宋" w:eastAsia="仿宋" w:cs="Times New Roman"/>
          <w:b w:val="0"/>
          <w:bCs/>
          <w:sz w:val="30"/>
          <w:szCs w:val="30"/>
        </w:rPr>
        <w:t>4 A</w:t>
      </w:r>
      <w:r>
        <w:rPr>
          <w:rStyle w:val="9"/>
          <w:rFonts w:ascii="仿宋" w:hAnsi="仿宋" w:eastAsia="仿宋"/>
          <w:b w:val="0"/>
          <w:bCs/>
          <w:sz w:val="30"/>
          <w:szCs w:val="30"/>
        </w:rPr>
        <w:t>”、“永远跟党走——乡村振兴我助力文化遗产展新姿”等送戏下乡演艺惠民公益性演出活动，先后在龙庄湾、两丫坪、三江、观音阁、双井、思蒙、均坪、大江口等</w:t>
      </w:r>
      <w:r>
        <w:rPr>
          <w:rStyle w:val="9"/>
          <w:rFonts w:ascii="仿宋" w:hAnsi="仿宋" w:eastAsia="仿宋" w:cs="Times New Roman"/>
          <w:b w:val="0"/>
          <w:bCs/>
          <w:sz w:val="30"/>
          <w:szCs w:val="30"/>
        </w:rPr>
        <w:t>20</w:t>
      </w:r>
      <w:r>
        <w:rPr>
          <w:rStyle w:val="9"/>
          <w:rFonts w:ascii="仿宋" w:hAnsi="仿宋" w:eastAsia="仿宋"/>
          <w:b w:val="0"/>
          <w:bCs/>
          <w:sz w:val="30"/>
          <w:szCs w:val="30"/>
        </w:rPr>
        <w:t>多个乡（镇）村演出。演出辰河目连戏《天官赐福》、《孤凄埂》、《安儿叹更》和创作节目《梨园新萃》、《警予故乡换新貌》、《梦圆目连》等剧目，演员们夏唱三伏冬演三九，克服了许多难以想象的困难，共演出</w:t>
      </w:r>
      <w:r>
        <w:rPr>
          <w:rStyle w:val="9"/>
          <w:rFonts w:ascii="仿宋" w:hAnsi="仿宋" w:eastAsia="仿宋" w:cs="Times New Roman"/>
          <w:b w:val="0"/>
          <w:bCs/>
          <w:sz w:val="30"/>
          <w:szCs w:val="30"/>
        </w:rPr>
        <w:t>70</w:t>
      </w:r>
      <w:r>
        <w:rPr>
          <w:rStyle w:val="9"/>
          <w:rFonts w:ascii="仿宋" w:hAnsi="仿宋" w:eastAsia="仿宋"/>
          <w:b w:val="0"/>
          <w:bCs/>
          <w:sz w:val="30"/>
          <w:szCs w:val="30"/>
        </w:rPr>
        <w:t>场，观众达</w:t>
      </w:r>
      <w:r>
        <w:rPr>
          <w:rStyle w:val="9"/>
          <w:rFonts w:ascii="仿宋" w:hAnsi="仿宋" w:eastAsia="仿宋" w:cs="Times New Roman"/>
          <w:b w:val="0"/>
          <w:bCs/>
          <w:sz w:val="30"/>
          <w:szCs w:val="30"/>
        </w:rPr>
        <w:t>10</w:t>
      </w:r>
      <w:r>
        <w:rPr>
          <w:rStyle w:val="9"/>
          <w:rFonts w:ascii="仿宋" w:hAnsi="仿宋" w:eastAsia="仿宋"/>
          <w:b w:val="0"/>
          <w:bCs/>
          <w:sz w:val="30"/>
          <w:szCs w:val="30"/>
        </w:rPr>
        <w:t>万人次，圆满完成了演艺惠民送戏下乡任务。</w:t>
      </w:r>
    </w:p>
    <w:p>
      <w:pPr>
        <w:ind w:firstLine="600" w:firstLineChars="200"/>
        <w:rPr>
          <w:rFonts w:ascii="仿宋" w:hAnsi="仿宋" w:eastAsia="仿宋"/>
          <w:b w:val="0"/>
          <w:bCs/>
          <w:sz w:val="30"/>
          <w:szCs w:val="30"/>
        </w:rPr>
      </w:pPr>
    </w:p>
    <w:p>
      <w:pPr>
        <w:spacing w:line="560" w:lineRule="exact"/>
        <w:ind w:firstLine="588" w:firstLineChars="196"/>
        <w:jc w:val="left"/>
        <w:rPr>
          <w:rFonts w:ascii="仿宋" w:hAnsi="仿宋" w:eastAsia="仿宋" w:cs="仿宋"/>
          <w:b w:val="0"/>
          <w:bCs/>
          <w:sz w:val="30"/>
          <w:szCs w:val="30"/>
        </w:rPr>
      </w:pPr>
      <w:r>
        <w:rPr>
          <w:rFonts w:ascii="仿宋" w:hAnsi="仿宋" w:eastAsia="仿宋" w:cs="仿宋"/>
          <w:b w:val="0"/>
          <w:bCs/>
          <w:sz w:val="30"/>
          <w:szCs w:val="30"/>
        </w:rPr>
        <w:t>2</w:t>
      </w:r>
      <w:r>
        <w:rPr>
          <w:rFonts w:hint="eastAsia" w:ascii="仿宋" w:hAnsi="仿宋" w:eastAsia="仿宋" w:cs="仿宋"/>
          <w:b w:val="0"/>
          <w:bCs/>
          <w:sz w:val="30"/>
          <w:szCs w:val="30"/>
        </w:rPr>
        <w:t>、非遗学生全部安排工作</w:t>
      </w:r>
    </w:p>
    <w:p>
      <w:pPr>
        <w:spacing w:line="560" w:lineRule="exact"/>
        <w:ind w:firstLine="600" w:firstLineChars="200"/>
        <w:jc w:val="left"/>
        <w:rPr>
          <w:rFonts w:ascii="仿宋" w:hAnsi="仿宋" w:eastAsia="仿宋" w:cs="仿宋"/>
          <w:b w:val="0"/>
          <w:sz w:val="30"/>
          <w:szCs w:val="30"/>
        </w:rPr>
      </w:pPr>
      <w:r>
        <w:rPr>
          <w:rFonts w:hint="eastAsia" w:ascii="仿宋" w:hAnsi="仿宋" w:eastAsia="仿宋" w:cs="仿宋"/>
          <w:b w:val="0"/>
          <w:sz w:val="30"/>
          <w:szCs w:val="30"/>
        </w:rPr>
        <w:t>今年，我们全力解决好了非遗班学员的就业及工资待遇问题，确保2</w:t>
      </w:r>
      <w:r>
        <w:rPr>
          <w:rFonts w:ascii="仿宋" w:hAnsi="仿宋" w:eastAsia="仿宋" w:cs="仿宋"/>
          <w:b w:val="0"/>
          <w:sz w:val="30"/>
          <w:szCs w:val="30"/>
        </w:rPr>
        <w:t>9</w:t>
      </w:r>
      <w:r>
        <w:rPr>
          <w:rFonts w:hint="eastAsia" w:ascii="仿宋" w:hAnsi="仿宋" w:eastAsia="仿宋" w:cs="仿宋"/>
          <w:b w:val="0"/>
          <w:sz w:val="30"/>
          <w:szCs w:val="30"/>
        </w:rPr>
        <w:t>名非遗学员来本中心工作。县财政专项拨款1</w:t>
      </w:r>
      <w:r>
        <w:rPr>
          <w:rFonts w:ascii="仿宋" w:hAnsi="仿宋" w:eastAsia="仿宋" w:cs="仿宋"/>
          <w:b w:val="0"/>
          <w:sz w:val="30"/>
          <w:szCs w:val="30"/>
        </w:rPr>
        <w:t>20</w:t>
      </w:r>
      <w:r>
        <w:rPr>
          <w:rFonts w:hint="eastAsia" w:ascii="仿宋" w:hAnsi="仿宋" w:eastAsia="仿宋" w:cs="仿宋"/>
          <w:b w:val="0"/>
          <w:sz w:val="30"/>
          <w:szCs w:val="30"/>
        </w:rPr>
        <w:t xml:space="preserve">万元用于发放学员工资，使本中心得到了空前壮大。新学员利用周末和节假日成为送戏下乡的主力军。保护中心在有条不紊的进行中，除了基本功有了长足进步以外，先后学会了30多个曲牌，排练了《目连传》、《安儿送米》、《狮子楼》等剧目。 </w:t>
      </w:r>
      <w:r>
        <w:rPr>
          <w:rFonts w:ascii="仿宋" w:hAnsi="仿宋" w:eastAsia="仿宋" w:cs="仿宋"/>
          <w:b w:val="0"/>
          <w:sz w:val="30"/>
          <w:szCs w:val="30"/>
        </w:rPr>
        <w:t xml:space="preserve">                     </w:t>
      </w:r>
    </w:p>
    <w:p>
      <w:pPr>
        <w:spacing w:line="560" w:lineRule="exact"/>
        <w:ind w:firstLine="600" w:firstLineChars="200"/>
        <w:jc w:val="left"/>
        <w:rPr>
          <w:rFonts w:hint="eastAsia" w:ascii="仿宋" w:hAnsi="仿宋" w:eastAsia="仿宋" w:cs="仿宋"/>
          <w:b w:val="0"/>
          <w:sz w:val="30"/>
          <w:szCs w:val="30"/>
        </w:rPr>
      </w:pPr>
      <w:r>
        <w:rPr>
          <w:rFonts w:hint="eastAsia" w:ascii="仿宋" w:hAnsi="仿宋" w:eastAsia="仿宋" w:cs="仿宋"/>
          <w:b w:val="0"/>
          <w:sz w:val="30"/>
          <w:szCs w:val="30"/>
        </w:rPr>
        <w:t>3</w:t>
      </w:r>
      <w:r>
        <w:rPr>
          <w:rFonts w:ascii="仿宋" w:hAnsi="仿宋" w:eastAsia="仿宋" w:cs="仿宋"/>
          <w:b w:val="0"/>
          <w:sz w:val="30"/>
          <w:szCs w:val="30"/>
        </w:rPr>
        <w:t>.</w:t>
      </w:r>
      <w:r>
        <w:rPr>
          <w:rFonts w:hint="eastAsia" w:ascii="仿宋" w:hAnsi="仿宋" w:eastAsia="仿宋" w:cs="仿宋"/>
          <w:b w:val="0"/>
          <w:sz w:val="30"/>
          <w:szCs w:val="30"/>
        </w:rPr>
        <w:t>辰河目连戏在2</w:t>
      </w:r>
      <w:r>
        <w:rPr>
          <w:rFonts w:ascii="仿宋" w:hAnsi="仿宋" w:eastAsia="仿宋" w:cs="仿宋"/>
          <w:b w:val="0"/>
          <w:sz w:val="30"/>
          <w:szCs w:val="30"/>
        </w:rPr>
        <w:t>022</w:t>
      </w:r>
      <w:r>
        <w:rPr>
          <w:rFonts w:hint="eastAsia" w:ascii="仿宋" w:hAnsi="仿宋" w:eastAsia="仿宋" w:cs="仿宋"/>
          <w:b w:val="0"/>
          <w:sz w:val="30"/>
          <w:szCs w:val="30"/>
        </w:rPr>
        <w:t>年成功的上演了大型目连戏《孙学辰》广泛受到观众好评。</w:t>
      </w:r>
    </w:p>
    <w:p>
      <w:pPr>
        <w:spacing w:line="580" w:lineRule="exact"/>
        <w:ind w:firstLine="600" w:firstLineChars="200"/>
        <w:rPr>
          <w:rFonts w:ascii="黑体" w:hAnsi="黑体" w:eastAsia="黑体"/>
          <w:b w:val="0"/>
          <w:sz w:val="30"/>
          <w:szCs w:val="30"/>
        </w:rPr>
      </w:pPr>
      <w:r>
        <w:rPr>
          <w:rFonts w:hint="eastAsia" w:ascii="黑体" w:hAnsi="黑体" w:eastAsia="黑体"/>
          <w:b w:val="0"/>
          <w:sz w:val="30"/>
          <w:szCs w:val="30"/>
        </w:rPr>
        <w:t>四、存在的主要问题和改进措施</w:t>
      </w:r>
    </w:p>
    <w:p>
      <w:pPr>
        <w:spacing w:line="560" w:lineRule="exact"/>
        <w:ind w:firstLine="600" w:firstLineChars="200"/>
        <w:jc w:val="left"/>
        <w:rPr>
          <w:rFonts w:ascii="仿宋" w:hAnsi="仿宋" w:eastAsia="仿宋"/>
          <w:b w:val="0"/>
          <w:sz w:val="30"/>
          <w:szCs w:val="30"/>
        </w:rPr>
      </w:pPr>
      <w:r>
        <w:rPr>
          <w:rFonts w:hint="eastAsia" w:ascii="仿宋" w:hAnsi="仿宋" w:eastAsia="仿宋" w:cs="仿宋"/>
          <w:b w:val="0"/>
          <w:sz w:val="30"/>
          <w:szCs w:val="30"/>
        </w:rPr>
        <w:t>1、</w:t>
      </w:r>
      <w:r>
        <w:rPr>
          <w:rFonts w:hint="eastAsia" w:ascii="仿宋" w:hAnsi="仿宋" w:eastAsia="仿宋"/>
          <w:b w:val="0"/>
          <w:sz w:val="30"/>
          <w:szCs w:val="30"/>
        </w:rPr>
        <w:t>支出还不够细化，导致无法对其支出情况进行系统分析。</w:t>
      </w:r>
    </w:p>
    <w:p>
      <w:pPr>
        <w:spacing w:line="560" w:lineRule="exact"/>
        <w:ind w:firstLine="600" w:firstLineChars="200"/>
        <w:jc w:val="left"/>
        <w:rPr>
          <w:rFonts w:ascii="仿宋" w:hAnsi="仿宋" w:eastAsia="仿宋" w:cs="仿宋"/>
          <w:b w:val="0"/>
          <w:sz w:val="30"/>
          <w:szCs w:val="30"/>
        </w:rPr>
      </w:pPr>
      <w:r>
        <w:rPr>
          <w:rFonts w:hint="eastAsia" w:ascii="仿宋" w:hAnsi="仿宋" w:eastAsia="仿宋" w:cs="仿宋"/>
          <w:b w:val="0"/>
          <w:sz w:val="30"/>
          <w:szCs w:val="30"/>
        </w:rPr>
        <w:t>2、还存在单位对财务工作熟练掌握的程度不够，对财务业务管理水平不高等问题。</w:t>
      </w:r>
    </w:p>
    <w:p>
      <w:pPr>
        <w:spacing w:line="540" w:lineRule="exact"/>
        <w:ind w:firstLine="600" w:firstLineChars="200"/>
        <w:rPr>
          <w:rFonts w:ascii="黑体" w:hAnsi="黑体" w:eastAsia="黑体"/>
          <w:b w:val="0"/>
          <w:sz w:val="30"/>
          <w:szCs w:val="30"/>
        </w:rPr>
      </w:pPr>
      <w:r>
        <w:rPr>
          <w:rFonts w:hint="eastAsia" w:ascii="黑体" w:hAnsi="黑体" w:eastAsia="黑体"/>
          <w:b w:val="0"/>
          <w:sz w:val="30"/>
          <w:szCs w:val="30"/>
        </w:rPr>
        <w:t>五、改进措施</w:t>
      </w:r>
    </w:p>
    <w:p>
      <w:pPr>
        <w:spacing w:line="560" w:lineRule="exact"/>
        <w:ind w:firstLine="600" w:firstLineChars="200"/>
        <w:jc w:val="left"/>
        <w:rPr>
          <w:rFonts w:ascii="仿宋" w:hAnsi="仿宋" w:eastAsia="仿宋" w:cs="仿宋"/>
          <w:b w:val="0"/>
          <w:sz w:val="30"/>
          <w:szCs w:val="30"/>
        </w:rPr>
      </w:pPr>
      <w:r>
        <w:rPr>
          <w:rFonts w:hint="eastAsia" w:ascii="仿宋" w:hAnsi="仿宋" w:eastAsia="仿宋" w:cs="仿宋"/>
          <w:b w:val="0"/>
          <w:sz w:val="30"/>
          <w:szCs w:val="30"/>
        </w:rPr>
        <w:t>对中心之前存在的问题进行逐一整改，如党建工作、扶贫工作、业务工作、非遗教学、剧场出租、报账制度、请销假制度等。每项工作都通过了全体干部职工会议的方式取得一致的结果进行公示，做到公平公正公开。</w:t>
      </w:r>
    </w:p>
    <w:p>
      <w:pPr>
        <w:ind w:right="560"/>
        <w:rPr>
          <w:rFonts w:ascii="仿宋" w:hAnsi="仿宋" w:eastAsia="仿宋"/>
          <w:b w:val="0"/>
          <w:sz w:val="30"/>
          <w:szCs w:val="30"/>
        </w:rPr>
      </w:pPr>
    </w:p>
    <w:p>
      <w:pPr>
        <w:ind w:right="560"/>
        <w:rPr>
          <w:rFonts w:ascii="仿宋" w:hAnsi="仿宋" w:eastAsia="仿宋"/>
          <w:b w:val="0"/>
          <w:sz w:val="30"/>
          <w:szCs w:val="30"/>
        </w:rPr>
      </w:pPr>
    </w:p>
    <w:p>
      <w:pPr>
        <w:spacing w:line="580" w:lineRule="exact"/>
        <w:ind w:firstLine="600" w:firstLineChars="200"/>
        <w:jc w:val="center"/>
        <w:rPr>
          <w:rFonts w:ascii="仿宋" w:hAnsi="仿宋" w:eastAsia="仿宋"/>
          <w:b w:val="0"/>
          <w:sz w:val="30"/>
          <w:szCs w:val="30"/>
        </w:rPr>
      </w:pPr>
      <w:r>
        <w:rPr>
          <w:rFonts w:hint="eastAsia" w:ascii="仿宋" w:hAnsi="仿宋" w:eastAsia="仿宋"/>
          <w:b w:val="0"/>
          <w:sz w:val="30"/>
          <w:szCs w:val="30"/>
        </w:rPr>
        <w:t xml:space="preserve">                  </w:t>
      </w:r>
      <w:bookmarkStart w:id="0" w:name="_GoBack"/>
      <w:bookmarkEnd w:id="0"/>
    </w:p>
    <w:sectPr>
      <w:headerReference r:id="rId3" w:type="default"/>
      <w:footerReference r:id="rId4" w:type="default"/>
      <w:footerReference r:id="rId5" w:type="even"/>
      <w:pgSz w:w="11906" w:h="16838"/>
      <w:pgMar w:top="2155" w:right="1814" w:bottom="1701" w:left="181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5E360B"/>
    <w:rsid w:val="0002094C"/>
    <w:rsid w:val="00091931"/>
    <w:rsid w:val="000A0D12"/>
    <w:rsid w:val="000A1BD3"/>
    <w:rsid w:val="000D733D"/>
    <w:rsid w:val="000F08FC"/>
    <w:rsid w:val="001B02AE"/>
    <w:rsid w:val="001B6916"/>
    <w:rsid w:val="0023278F"/>
    <w:rsid w:val="0029369D"/>
    <w:rsid w:val="002A204D"/>
    <w:rsid w:val="003478CF"/>
    <w:rsid w:val="00350A65"/>
    <w:rsid w:val="00356616"/>
    <w:rsid w:val="00365449"/>
    <w:rsid w:val="003F7CF7"/>
    <w:rsid w:val="004324A7"/>
    <w:rsid w:val="00441FE2"/>
    <w:rsid w:val="00447678"/>
    <w:rsid w:val="004878AE"/>
    <w:rsid w:val="004A1AAA"/>
    <w:rsid w:val="004F1992"/>
    <w:rsid w:val="00544F6C"/>
    <w:rsid w:val="005558EE"/>
    <w:rsid w:val="005E360B"/>
    <w:rsid w:val="006611FA"/>
    <w:rsid w:val="006733CE"/>
    <w:rsid w:val="006E360B"/>
    <w:rsid w:val="006E398A"/>
    <w:rsid w:val="00710A33"/>
    <w:rsid w:val="00746D74"/>
    <w:rsid w:val="00813E1B"/>
    <w:rsid w:val="00862F8B"/>
    <w:rsid w:val="0088356D"/>
    <w:rsid w:val="008F1AB6"/>
    <w:rsid w:val="00915C51"/>
    <w:rsid w:val="00930056"/>
    <w:rsid w:val="00992125"/>
    <w:rsid w:val="009C3CE6"/>
    <w:rsid w:val="009E42EE"/>
    <w:rsid w:val="00A00475"/>
    <w:rsid w:val="00A32554"/>
    <w:rsid w:val="00A56DEE"/>
    <w:rsid w:val="00A63852"/>
    <w:rsid w:val="00AD5550"/>
    <w:rsid w:val="00B02FE3"/>
    <w:rsid w:val="00B469D5"/>
    <w:rsid w:val="00B741AE"/>
    <w:rsid w:val="00BB4064"/>
    <w:rsid w:val="00C623C9"/>
    <w:rsid w:val="00CF2C9B"/>
    <w:rsid w:val="00D367C0"/>
    <w:rsid w:val="00D47112"/>
    <w:rsid w:val="00D8615D"/>
    <w:rsid w:val="00D90715"/>
    <w:rsid w:val="00DA208A"/>
    <w:rsid w:val="00DC0D73"/>
    <w:rsid w:val="00DE4B58"/>
    <w:rsid w:val="00E06F97"/>
    <w:rsid w:val="00E222C9"/>
    <w:rsid w:val="00EE1D14"/>
    <w:rsid w:val="00F65A6B"/>
    <w:rsid w:val="00F812EA"/>
    <w:rsid w:val="00FB41D6"/>
    <w:rsid w:val="2C81267F"/>
    <w:rsid w:val="2CE36165"/>
    <w:rsid w:val="32D320C5"/>
    <w:rsid w:val="348F7A4B"/>
    <w:rsid w:val="63AB4771"/>
    <w:rsid w:val="64896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b/>
      <w:sz w:val="28"/>
      <w:szCs w:val="28"/>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0"/>
    <w:rPr>
      <w:rFonts w:ascii="宋体" w:hAnsi="宋体" w:eastAsia="宋体" w:cs="Times New Roman"/>
      <w:b/>
      <w:kern w:val="0"/>
      <w:sz w:val="18"/>
      <w:szCs w:val="18"/>
    </w:rPr>
  </w:style>
  <w:style w:type="character" w:customStyle="1" w:styleId="8">
    <w:name w:val="页脚 字符"/>
    <w:basedOn w:val="5"/>
    <w:link w:val="2"/>
    <w:qFormat/>
    <w:uiPriority w:val="0"/>
    <w:rPr>
      <w:rFonts w:ascii="宋体" w:hAnsi="宋体" w:eastAsia="宋体" w:cs="Times New Roman"/>
      <w:b/>
      <w:kern w:val="0"/>
      <w:sz w:val="18"/>
      <w:szCs w:val="18"/>
    </w:rPr>
  </w:style>
  <w:style w:type="character" w:customStyle="1" w:styleId="9">
    <w:name w:val="20"/>
    <w:basedOn w:val="5"/>
    <w:qFormat/>
    <w:uiPriority w:val="0"/>
    <w:rPr>
      <w:rFonts w:hint="default" w:ascii="Times New Roman" w:eastAsia="楷体_GB2312" w:cs="楷体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1245</Words>
  <Characters>1305</Characters>
  <Lines>9</Lines>
  <Paragraphs>2</Paragraphs>
  <TotalTime>7</TotalTime>
  <ScaleCrop>false</ScaleCrop>
  <LinksUpToDate>false</LinksUpToDate>
  <CharactersWithSpaces>1372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2021-04-15T07:45:00Z</dcterms:created>
  <dc:creator>Windows 用户</dc:creator>
  <cp:lastModifiedBy>Administrator</cp:lastModifiedBy>
  <cp:lastPrinted>2022-05-31T07:46:00Z</cp:lastPrinted>
  <dcterms:modified xsi:type="dcterms:W3CDTF">2023-08-18T03:08:48Z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007C1162FC58479BB515044A59B9DBA4</vt:lpwstr>
  </property>
</Properties>
</file>