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宋体" w:hAnsi="宋体" w:cs="宋体"/>
          <w:b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溆浦县自然资源局本级</w:t>
      </w:r>
      <w:r>
        <w:rPr>
          <w:rFonts w:hint="eastAsia" w:ascii="宋体" w:hAnsi="宋体" w:cs="宋体"/>
          <w:b/>
          <w:color w:val="000000"/>
          <w:kern w:val="0"/>
          <w:sz w:val="44"/>
          <w:szCs w:val="44"/>
        </w:rPr>
        <w:t>2022年度部门整体支出绩效自评报告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一、部门概况</w:t>
      </w:r>
    </w:p>
    <w:p>
      <w:pPr>
        <w:ind w:firstLine="640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（一）部门基本情况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我局属全额拨款的行政单位，核定行政编制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人，年末实有在职人员18人，核定事业编制328人，年末实有在职人员258人（乡镇国土资源基层管理所），离退休人员124人；共设15个行政股室，附属二级机构事业单位8个，主要负责全县土地、矿产、测绘等行业管理工作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（二）2022年部门收支决算总体情况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2022年收入决算总额为27280.31万元。其中：本年公共财政拨款5985.07万元，政府性基金拨款21195.54万元，其他收入拨款99.7万元。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2022年支出决算总额为27280.31万元，其中：基本支出4070.99万元，项目支出23209.32万元。</w:t>
      </w:r>
    </w:p>
    <w:p>
      <w:pPr>
        <w:ind w:firstLine="640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二、2022年整体支出及使用情况</w:t>
      </w:r>
    </w:p>
    <w:p>
      <w:pPr>
        <w:ind w:firstLine="640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（一）基本支出</w:t>
      </w:r>
    </w:p>
    <w:p>
      <w:pPr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2022年基本支出为4070.99万元，占本年支出14.92%。其中：工资福利支出3436.30万元，占基本支出84.41%;商品服务支出574.99万元，占基本支出14.12%，（其中：办公费、印刷费96.71万元，会议费、培训费0.78万元）；对个人和家庭补助支出57.61万元，占基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支出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.42%；其他资本性支出2.09万元，占基本支出0.05%。2022年“三公”经费0.59万元，全部为公务接待费，数额在厉行节约控制指标内。</w:t>
      </w:r>
    </w:p>
    <w:p>
      <w:pPr>
        <w:ind w:firstLine="640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（二）项目支出</w:t>
      </w:r>
    </w:p>
    <w:p>
      <w:pPr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2022年项目支出为23209.32万元，占本年支出85.08%。其中：商品服务支出1756.67万元，占项目支出7.57%；其他对个人和家庭补助支出136万元，占项目支出0.59%；其他资本性资本性支出21316.65万元，占项目支出91.84%。项目支出主要用于国土各项专项业务工作经费，新增建设用地项目各项报批费用及成本支出，以及国土整治，地灾防治等项目的专项支出，所有项目资金我局严格按照各项专项资产管理制度执行。</w:t>
      </w:r>
    </w:p>
    <w:p>
      <w:pPr>
        <w:ind w:firstLine="640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三、部门专项组织实施情况</w:t>
      </w:r>
    </w:p>
    <w:p>
      <w:pPr>
        <w:ind w:firstLine="640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（一）专项组织情况分析</w:t>
      </w:r>
    </w:p>
    <w:p>
      <w:pPr>
        <w:spacing w:line="60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项目实施严格遵循公开、公正、公平的原则实行政府采购或公开招标。严格执行预算和合同，合同经签订不得随意更改，确需要更改的，须经审批后方可变更，项目完成后及时组织竣工验收和财务决算。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（二）专项管理情况分析</w:t>
      </w:r>
    </w:p>
    <w:p>
      <w:pPr>
        <w:ind w:firstLine="640" w:firstLineChars="200"/>
        <w:rPr>
          <w:rFonts w:ascii="仿宋_GB2312" w:hAnsi="仿宋" w:eastAsia="仿宋_GB2312" w:cs="仿宋"/>
          <w:sz w:val="32"/>
          <w:szCs w:val="32"/>
        </w:rPr>
      </w:pPr>
      <w:bookmarkStart w:id="1" w:name="_GoBack"/>
      <w:bookmarkEnd w:id="1"/>
      <w:r>
        <w:rPr>
          <w:rFonts w:hint="eastAsia" w:ascii="仿宋_GB2312" w:hAnsi="仿宋" w:eastAsia="仿宋_GB2312"/>
          <w:sz w:val="32"/>
          <w:szCs w:val="32"/>
        </w:rPr>
        <w:t>项目资金专项用于项目的组织、实施和管理，专款专用。任何单位和个人不得截留、挪用或挤占、建立完善各项专项资金制度、完善监督机制、对项目进度、质量、资金使用、廉政建设等情况、进行定期或不定期的监督检查。</w:t>
      </w:r>
    </w:p>
    <w:p>
      <w:pPr>
        <w:ind w:firstLine="640" w:firstLineChars="200"/>
        <w:rPr>
          <w:rFonts w:hint="eastAsia" w:ascii="黑体" w:hAnsi="黑体" w:eastAsia="黑体" w:cs="黑体"/>
          <w:b/>
          <w:bCs/>
          <w:sz w:val="32"/>
          <w:szCs w:val="32"/>
          <w:lang w:val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zh-CN"/>
        </w:rPr>
        <w:t>四、资产管理情况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仿宋"/>
          <w:sz w:val="32"/>
          <w:szCs w:val="32"/>
          <w:lang w:val="zh-CN"/>
        </w:rPr>
      </w:pPr>
      <w:r>
        <w:rPr>
          <w:rFonts w:hint="eastAsia" w:ascii="仿宋_GB2312" w:hAnsi="仿宋" w:eastAsia="仿宋_GB2312" w:cs="仿宋"/>
          <w:sz w:val="32"/>
          <w:szCs w:val="32"/>
          <w:lang w:val="zh-CN"/>
        </w:rPr>
        <w:t>一是完善国有资产的管理制度</w:t>
      </w:r>
      <w:r>
        <w:rPr>
          <w:rFonts w:hint="eastAsia" w:ascii="仿宋_GB2312" w:hAnsi="仿宋" w:eastAsia="仿宋_GB2312" w:cs="仿宋"/>
          <w:sz w:val="32"/>
          <w:szCs w:val="32"/>
        </w:rPr>
        <w:t>.</w:t>
      </w:r>
      <w:r>
        <w:rPr>
          <w:rFonts w:hint="eastAsia" w:ascii="仿宋_GB2312" w:hAnsi="仿宋" w:eastAsia="仿宋_GB2312" w:cs="仿宋"/>
          <w:sz w:val="32"/>
          <w:szCs w:val="32"/>
          <w:lang w:val="zh-CN"/>
        </w:rPr>
        <w:t xml:space="preserve">按照《行政单位国有资产管理暂行办法》、《事业单位国有资产管理暂行办法》的相关规定，制定符合本单位情况的国有资产管理使用细则，做到有章可依，有制可循，明确责任，规范运行。二是实行资产的动态管理。主管部门对国有资产的使用情况进行监督检查，尤其是在单位撤并、人员调整时，重点对管理使用的国有资产进行盘点，并监督做好交接工作。三是处置和出租实行审批和报备。管理使用单位在资产处置和出租时，必须报主管部门同意并向资产管理部门上报备案，避免处置的随意性，确保资产的处置和出租收益足额完整上缴国库。 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五、部门整体支出绩效情况</w:t>
      </w:r>
    </w:p>
    <w:p>
      <w:pPr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sz w:val="32"/>
          <w:szCs w:val="32"/>
        </w:rPr>
        <w:t>1.</w:t>
      </w:r>
      <w:r>
        <w:rPr>
          <w:rFonts w:hint="eastAsia" w:ascii="楷体_GB2312" w:hAnsi="宋体" w:eastAsia="楷体_GB2312" w:cs="楷体_GB2312"/>
          <w:b/>
          <w:bCs/>
          <w:sz w:val="32"/>
          <w:szCs w:val="32"/>
        </w:rPr>
        <w:t>履行政治领导责任，意识形态持续加强。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认真贯彻落实中央、省委、市委、县委关于意识形态工作的决策部署，组织全体党员干部研讨学习“中国共产党简史、中华人民共和国简史、社会主义简史”，党组中心组理论学习12次，完成党支部书记、委员补选工作，</w:t>
      </w:r>
      <w:r>
        <w:rPr>
          <w:rFonts w:hint="eastAsia" w:ascii="仿宋_GB2312" w:hAnsi="Calibri" w:eastAsia="仿宋_GB2312" w:cs="Times New Roman"/>
          <w:sz w:val="32"/>
          <w:szCs w:val="32"/>
        </w:rPr>
        <w:t>办理行政应诉案4起，复议案1起，回复信访件129件，累计发表各类新闻报道40余篇，意识形态工作持续加强。</w:t>
      </w:r>
    </w:p>
    <w:p>
      <w:pPr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楷体_GB2312" w:hAnsi="宋体" w:eastAsia="楷体_GB2312" w:cs="楷体_GB2312"/>
          <w:b/>
          <w:bCs/>
          <w:sz w:val="32"/>
          <w:szCs w:val="32"/>
        </w:rPr>
        <w:t>2.坚持全面从严治党，积极创建清廉机关。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强化党风廉政制度建设和清廉机关创建，积极营造“清廉机关”创建浓厚氛围，集中开展违规借贷谋利问题专项治理及“严惩庸懒散、推动闯创干”自查自纠行动。</w:t>
      </w:r>
      <w:r>
        <w:rPr>
          <w:rFonts w:hint="eastAsia" w:ascii="仿宋_GB2312" w:hAnsi="宋体" w:eastAsia="仿宋_GB2312" w:cs="Times New Roman"/>
          <w:sz w:val="32"/>
          <w:szCs w:val="32"/>
        </w:rPr>
        <w:t>制作“清廉单元”宣传专栏4个、“清廉文化”标牌10块、廉政警示2处，</w:t>
      </w:r>
      <w:r>
        <w:rPr>
          <w:rFonts w:hint="eastAsia" w:ascii="仿宋_GB2312" w:hAnsi="宋体" w:eastAsia="仿宋_GB2312" w:cs="Times New Roman"/>
          <w:color w:val="000000"/>
          <w:spacing w:val="10"/>
          <w:sz w:val="32"/>
          <w:szCs w:val="32"/>
        </w:rPr>
        <w:t>签订《清廉家庭承诺书》294份，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印发《工作通报》4期，</w:t>
      </w:r>
      <w:r>
        <w:rPr>
          <w:rFonts w:hint="eastAsia" w:ascii="仿宋_GB2312" w:hAnsi="宋体" w:eastAsia="仿宋_GB2312" w:cs="Times New Roman"/>
          <w:sz w:val="32"/>
          <w:szCs w:val="32"/>
        </w:rPr>
        <w:t>批评教育、通报批评、诫勉等组织处理干部职工13人，行政警告、党内严重警告、行政撤职处分干部职工4人。</w:t>
      </w:r>
    </w:p>
    <w:p>
      <w:pPr>
        <w:ind w:firstLine="640" w:firstLineChars="20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</w:rPr>
        <w:t>3.持续干部队伍建设，提升干事创业激情。</w:t>
      </w:r>
      <w:r>
        <w:rPr>
          <w:rFonts w:hint="eastAsia" w:ascii="仿宋_GB2312" w:hAnsi="宋体" w:eastAsia="仿宋_GB2312" w:cs="Times New Roman"/>
          <w:sz w:val="32"/>
          <w:szCs w:val="32"/>
        </w:rPr>
        <w:t>坚持“筑巢引凤”引人才、“关口前移”育人才、“有序流动”聚人才、“搭建舞台”激人才，打破论资排辈现象，加大干部轮岗交流力度。选派1人到省厅、4人到市局相关业务处室跟班学习，引进1名硕士研究生以上的土建测绘类专技人员，组织干部职工参加各类培训1243人次。职级晋升49人，内部交流干部23人，提拔11人，免职5人，</w:t>
      </w:r>
      <w:r>
        <w:rPr>
          <w:rFonts w:hint="eastAsia" w:ascii="仿宋_GB2312" w:hAnsi="黑体" w:eastAsia="仿宋_GB2312" w:cs="Times New Roman"/>
          <w:sz w:val="32"/>
          <w:szCs w:val="32"/>
        </w:rPr>
        <w:t>把一批忠诚干净、表现优秀、敢于担当的干部选拔到重要岗位</w:t>
      </w:r>
      <w:r>
        <w:rPr>
          <w:rFonts w:hint="eastAsia" w:ascii="仿宋_GB2312" w:hAnsi="宋体" w:eastAsia="仿宋_GB2312" w:cs="Times New Roman"/>
          <w:sz w:val="32"/>
          <w:szCs w:val="32"/>
        </w:rPr>
        <w:t>，实现思想作风“破冰提能”，干事创业激情明显提升。</w:t>
      </w:r>
    </w:p>
    <w:p>
      <w:pPr>
        <w:spacing w:line="61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Calibri" w:eastAsia="楷体_GB2312" w:cs="Times New Roman"/>
          <w:b/>
          <w:sz w:val="32"/>
          <w:szCs w:val="32"/>
        </w:rPr>
        <w:t>4.坚持</w:t>
      </w:r>
      <w:r>
        <w:rPr>
          <w:rFonts w:hint="eastAsia" w:ascii="楷体_GB2312" w:hAnsi="楷体" w:eastAsia="楷体_GB2312" w:cs="楷体"/>
          <w:b/>
          <w:sz w:val="32"/>
          <w:szCs w:val="32"/>
        </w:rPr>
        <w:t>以人民为中心，全力做好疫情防控。</w:t>
      </w:r>
      <w:r>
        <w:rPr>
          <w:rFonts w:hint="eastAsia" w:ascii="仿宋_GB2312" w:hAnsi="仿宋" w:eastAsia="仿宋_GB2312" w:cs="仿宋"/>
          <w:sz w:val="32"/>
          <w:szCs w:val="32"/>
        </w:rPr>
        <w:t>坚持人民至上，积极组织参与疫情防控“阻击战”。充分发挥基层党组织战斗堡垒作用，积极</w:t>
      </w:r>
      <w:r>
        <w:rPr>
          <w:rFonts w:ascii="仿宋_GB2312" w:hAnsi="仿宋" w:eastAsia="仿宋_GB2312" w:cs="仿宋"/>
          <w:sz w:val="32"/>
          <w:szCs w:val="32"/>
        </w:rPr>
        <w:t>开展敲门行动，上门宣传疫情防控知识和开展排查，做到不漏一户不漏一人。</w:t>
      </w:r>
      <w:r>
        <w:rPr>
          <w:rFonts w:hint="eastAsia" w:ascii="仿宋_GB2312" w:hAnsi="仿宋" w:eastAsia="仿宋_GB2312" w:cs="仿宋"/>
          <w:sz w:val="32"/>
          <w:szCs w:val="32"/>
        </w:rPr>
        <w:t>2次抽调8人到鹤城区支援疫情防控工作，25人参加卢峰镇5个社区疫情防控核酸采样工作，</w:t>
      </w:r>
      <w:r>
        <w:rPr>
          <w:rFonts w:hint="eastAsia" w:ascii="仿宋_GB2312" w:hAnsi="仿宋" w:eastAsia="仿宋_GB2312" w:cs="Times New Roman"/>
          <w:sz w:val="32"/>
          <w:szCs w:val="32"/>
        </w:rPr>
        <w:t>全局未出现一例确诊或疑似病例。</w:t>
      </w:r>
    </w:p>
    <w:p>
      <w:pPr>
        <w:adjustRightInd w:val="0"/>
        <w:snapToGrid w:val="0"/>
        <w:spacing w:line="560" w:lineRule="exact"/>
        <w:ind w:firstLine="627" w:firstLineChars="196"/>
        <w:textAlignment w:val="baseline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Calibri" w:eastAsia="楷体_GB2312" w:cs="Times New Roman"/>
          <w:b/>
          <w:sz w:val="32"/>
          <w:szCs w:val="32"/>
        </w:rPr>
        <w:t>5.精准把握资源政策，要素保障更加有力。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山背花瑶梯田景区观光索道一期、S249溆浦县桥江至思蒙公路（一期）项目等31宗建设用地项目获省、市政府批准，获批面积</w:t>
      </w:r>
      <w:r>
        <w:rPr>
          <w:rFonts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1657.2405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亩。</w:t>
      </w:r>
      <w:bookmarkStart w:id="0" w:name="OLE_LINK1"/>
      <w:r>
        <w:rPr>
          <w:rFonts w:hint="eastAsia" w:ascii="仿宋_GB2312" w:hAnsi="Calibri" w:eastAsia="仿宋_GB2312" w:cs="Times New Roman"/>
          <w:sz w:val="32"/>
          <w:szCs w:val="32"/>
        </w:rPr>
        <w:t>供应土地196宗、面积4262.32亩，其中划拨供应土地40宗、面积3658.06亩；出让156宗、面积604.26亩，实现土地成交价款4.2824亿元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  <w:r>
        <w:rPr>
          <w:rFonts w:hint="eastAsia" w:ascii="仿宋_GB2312" w:hAnsi="仿宋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交易耕地占补平衡节余指标450亩,收益6000万元；交易增减挂钩指标195亩，创收2070万元，服务县域经济高质量发展持续有力。</w:t>
      </w:r>
    </w:p>
    <w:bookmarkEnd w:id="0"/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楷体_GB2312" w:hAnsi="Calibri" w:eastAsia="楷体_GB2312" w:cs="Times New Roman"/>
          <w:b/>
          <w:sz w:val="32"/>
          <w:szCs w:val="32"/>
        </w:rPr>
        <w:t>6.严守耕地保护红线，夯实粮食安全根基。</w:t>
      </w:r>
      <w:r>
        <w:rPr>
          <w:rFonts w:hint="eastAsia" w:ascii="仿宋_GB2312" w:hAnsi="Calibri" w:eastAsia="仿宋_GB2312" w:cs="Times New Roman"/>
          <w:sz w:val="32"/>
          <w:szCs w:val="32"/>
        </w:rPr>
        <w:t>投入</w:t>
      </w:r>
      <w:r>
        <w:rPr>
          <w:rFonts w:hint="eastAsia" w:ascii="仿宋_GB2312" w:eastAsia="仿宋_GB2312" w:hAnsiTheme="minorEastAsia" w:cstheme="minorEastAsia"/>
          <w:sz w:val="32"/>
          <w:szCs w:val="32"/>
        </w:rPr>
        <w:t>800万元用于全县耕地保护工作，</w:t>
      </w:r>
      <w:r>
        <w:rPr>
          <w:rFonts w:hint="eastAsia" w:ascii="仿宋_GB2312" w:hAnsi="仿宋" w:eastAsia="仿宋_GB2312" w:cs="Times New Roman"/>
          <w:sz w:val="32"/>
          <w:szCs w:val="32"/>
        </w:rPr>
        <w:t>制定《溆浦县“田长制”工作实施方案》</w:t>
      </w:r>
      <w:r>
        <w:rPr>
          <w:rFonts w:hint="eastAsia" w:ascii="仿宋_GB2312" w:hAnsi="Calibri" w:eastAsia="仿宋_GB2312" w:cs="Times New Roman"/>
          <w:sz w:val="32"/>
          <w:szCs w:val="32"/>
        </w:rPr>
        <w:t>，</w:t>
      </w:r>
      <w:r>
        <w:rPr>
          <w:rFonts w:ascii="仿宋_GB2312" w:hAnsi="仿宋" w:eastAsia="仿宋_GB2312" w:cs="Times New Roman"/>
          <w:sz w:val="32"/>
          <w:szCs w:val="32"/>
        </w:rPr>
        <w:t>对耕地和永久基本农田定位、定量、定人管理，做到一田一牌、一牌一人和网格化巡</w:t>
      </w:r>
      <w:r>
        <w:rPr>
          <w:rFonts w:hint="eastAsia" w:ascii="仿宋_GB2312" w:hAnsi="仿宋" w:eastAsia="仿宋_GB2312" w:cs="Times New Roman"/>
          <w:sz w:val="32"/>
          <w:szCs w:val="32"/>
        </w:rPr>
        <w:t>查</w:t>
      </w:r>
      <w:r>
        <w:rPr>
          <w:rFonts w:ascii="仿宋_GB2312" w:hAnsi="仿宋" w:eastAsia="仿宋_GB2312" w:cs="Times New Roman"/>
          <w:sz w:val="32"/>
          <w:szCs w:val="32"/>
        </w:rPr>
        <w:t>监管。</w:t>
      </w:r>
      <w:r>
        <w:rPr>
          <w:rFonts w:hint="eastAsia" w:ascii="仿宋_GB2312" w:hAnsi="仿宋" w:eastAsia="仿宋_GB2312" w:cs="Times New Roman"/>
          <w:sz w:val="32"/>
          <w:szCs w:val="32"/>
        </w:rPr>
        <w:t>设立乡镇级田长50个、村级田长412个、网格田长1660个，制作田长制公示牌437块，全面建成县、乡、村三级田长及网格田长责任体系，划定永久基本农田面积59.22万亩，连续17年实现耕地占补平衡和基本农田不减少。</w:t>
      </w:r>
    </w:p>
    <w:p>
      <w:pPr>
        <w:ind w:firstLine="640" w:firstLineChars="200"/>
        <w:rPr>
          <w:rFonts w:ascii="仿宋_GB2312" w:hAnsi="宋体" w:eastAsia="仿宋_GB2312" w:cstheme="minorBidi"/>
          <w:sz w:val="32"/>
          <w:szCs w:val="32"/>
        </w:rPr>
      </w:pPr>
      <w:r>
        <w:rPr>
          <w:rFonts w:hint="eastAsia" w:ascii="楷体_GB2312" w:hAnsi="宋体" w:eastAsia="楷体_GB2312" w:cs="Times New Roman"/>
          <w:b/>
          <w:sz w:val="32"/>
          <w:szCs w:val="32"/>
        </w:rPr>
        <w:t>7.紧扣发展第一要务，构建城乡规划新格局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持续推进国土空间总体规划编制、三线划定和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耕地保护“一张图”工作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，召开县规委会7次、技术评审会10次，完成13个专题专项，调整土地利用总体规划5次，正在编制专题专项11个，启动“三区三线”划定成果，完成227个村庄规划编制，</w:t>
      </w:r>
      <w:r>
        <w:rPr>
          <w:rFonts w:hint="eastAsia" w:ascii="仿宋_GB2312" w:hAnsi="宋体" w:eastAsia="仿宋_GB2312" w:cstheme="minorBidi"/>
          <w:sz w:val="32"/>
          <w:szCs w:val="32"/>
        </w:rPr>
        <w:t>超额完成省市任务57个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" w:eastAsia="仿宋_GB2312" w:cs="Times New Roman"/>
          <w:sz w:val="32"/>
          <w:szCs w:val="32"/>
        </w:rPr>
        <w:t>城镇开发边界规模3204.96公顷，远高于市局下达的增量指标。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狠抓行业安全生产，筑牢生命安全屏障。</w:t>
      </w:r>
      <w:r>
        <w:rPr>
          <w:rFonts w:hint="eastAsia" w:ascii="仿宋_GB2312" w:hAnsi="仿宋_GB2312" w:eastAsia="仿宋_GB2312" w:cs="仿宋_GB2312"/>
          <w:sz w:val="32"/>
          <w:szCs w:val="24"/>
        </w:rPr>
        <w:t>坚持把人民群众生命安全放在首位不动摇，</w:t>
      </w:r>
      <w:r>
        <w:rPr>
          <w:rFonts w:hint="eastAsia" w:ascii="仿宋_GB2312" w:hAnsi="楷体_GB2312" w:eastAsia="仿宋_GB2312" w:cs="楷体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完成“十四五”地质灾害防治规划编制，</w:t>
      </w:r>
      <w:r>
        <w:rPr>
          <w:rFonts w:hint="eastAsia" w:ascii="仿宋_GB2312" w:eastAsia="仿宋_GB2312" w:cs="Times New Roman"/>
          <w:sz w:val="32"/>
          <w:szCs w:val="32"/>
        </w:rPr>
        <w:t>扎实开展汛前排除、汛中巡查、汛后复查，</w:t>
      </w:r>
      <w:r>
        <w:rPr>
          <w:rFonts w:hint="eastAsia" w:ascii="仿宋_GB2312" w:hAnsi="仿宋_GB2312" w:eastAsia="仿宋_GB2312" w:cs="仿宋_GB2312"/>
          <w:sz w:val="32"/>
          <w:szCs w:val="32"/>
        </w:rPr>
        <w:t>摸排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临坡切坡建房2789户、</w:t>
      </w:r>
      <w:r>
        <w:rPr>
          <w:rFonts w:hint="eastAsia" w:ascii="仿宋_GB2312" w:hAnsi="仿宋_GB2312" w:eastAsia="仿宋_GB2312" w:cs="仿宋_GB2312"/>
          <w:sz w:val="32"/>
          <w:szCs w:val="32"/>
        </w:rPr>
        <w:t>地灾隐患点302处，验收地质灾害应急工程28处，处置灾险情35次，紧急避险转移群众30317人次，</w:t>
      </w:r>
      <w:r>
        <w:rPr>
          <w:rFonts w:hint="eastAsia" w:ascii="仿宋_GB2312" w:hAnsi="仿宋" w:eastAsia="仿宋_GB2312" w:cs="Times New Roman"/>
          <w:sz w:val="32"/>
          <w:szCs w:val="32"/>
        </w:rPr>
        <w:t>连续多年实现地质灾害“零伤亡”。</w:t>
      </w:r>
      <w:r>
        <w:rPr>
          <w:rFonts w:hint="eastAsia" w:ascii="仿宋_GB2312" w:hAnsi="仿宋_GB2312" w:eastAsia="仿宋_GB2312" w:cs="仿宋_GB2312"/>
          <w:sz w:val="32"/>
          <w:szCs w:val="24"/>
        </w:rPr>
        <w:t>抽调55人参与全县自建房安全专项整治及百日攻坚行动，配合相关部门排查</w:t>
      </w:r>
      <w:r>
        <w:rPr>
          <w:rFonts w:hint="eastAsia" w:ascii="仿宋_GB2312" w:hAnsi="Calibri" w:eastAsia="仿宋_GB2312" w:cs="Times New Roman"/>
          <w:sz w:val="32"/>
          <w:szCs w:val="24"/>
        </w:rPr>
        <w:t>自建房213602栋，</w:t>
      </w:r>
      <w:r>
        <w:rPr>
          <w:rFonts w:hint="eastAsia" w:ascii="仿宋_GB2312" w:hAnsi="仿宋" w:eastAsia="仿宋_GB2312" w:cs="仿宋"/>
          <w:sz w:val="32"/>
          <w:szCs w:val="32"/>
        </w:rPr>
        <w:t>鉴定经营性自建房6842栋，整改房屋1475栋</w:t>
      </w:r>
      <w:r>
        <w:rPr>
          <w:rFonts w:hint="eastAsia" w:ascii="仿宋_GB2312" w:hAnsi="仿宋" w:eastAsia="仿宋_GB2312" w:cs="Times New Roman"/>
          <w:sz w:val="32"/>
          <w:szCs w:val="32"/>
        </w:rPr>
        <w:t>，确保群众生命安全。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楷体_GB2312" w:hAnsi="黑体" w:eastAsia="楷体_GB2312" w:cs="Times New Roman"/>
          <w:b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9.</w:t>
      </w:r>
      <w:r>
        <w:rPr>
          <w:rFonts w:hint="eastAsia" w:ascii="楷体_GB2312" w:hAnsi="黑体" w:eastAsia="楷体_GB2312" w:cs="Times New Roman"/>
          <w:b/>
          <w:sz w:val="32"/>
          <w:szCs w:val="32"/>
        </w:rPr>
        <w:t>纵深推进生态修复，奋力守护绿水青山</w:t>
      </w:r>
      <w:r>
        <w:rPr>
          <w:rFonts w:hint="eastAsia" w:ascii="楷体_GB2312" w:hAnsi="楷体_GB2312" w:eastAsia="楷体_GB2312" w:cs="楷体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Calibri" w:eastAsia="仿宋_GB2312" w:cs="Times New Roman"/>
          <w:sz w:val="32"/>
          <w:szCs w:val="32"/>
        </w:rPr>
        <w:t>砂石土矿规划已获省厅批复，正在编制第四轮矿规，</w:t>
      </w:r>
      <w:r>
        <w:rPr>
          <w:rFonts w:hint="eastAsia" w:ascii="仿宋_GB2312" w:hAnsi="仿宋_GB2312" w:eastAsia="仿宋_GB2312" w:cs="仿宋_GB2312"/>
          <w:sz w:val="32"/>
          <w:szCs w:val="32"/>
        </w:rPr>
        <w:t>新设砂石土矿6个、保留1个、关闭注销34个，封堵废弃矿洞617个，封闭非法开采点14个</w:t>
      </w:r>
      <w:r>
        <w:rPr>
          <w:rFonts w:hint="eastAsia" w:ascii="仿宋_GB2312" w:hAnsi="Calibri" w:eastAsia="仿宋_GB2312" w:cs="Times New Roman"/>
          <w:sz w:val="32"/>
          <w:szCs w:val="32"/>
        </w:rPr>
        <w:t>封闭，扣留挖机14台，遣散作业人员140人。</w:t>
      </w:r>
      <w:r>
        <w:rPr>
          <w:rFonts w:hint="eastAsia" w:ascii="仿宋_GB2312" w:hAnsi="仿宋_GB2312" w:eastAsia="仿宋_GB2312" w:cs="仿宋_GB2312"/>
          <w:sz w:val="32"/>
          <w:szCs w:val="32"/>
        </w:rPr>
        <w:t>抓实历史遗留矿山生态修复提质改造工作，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完成11家绿色矿山建设，超额完成4家。</w:t>
      </w:r>
      <w:r>
        <w:rPr>
          <w:rFonts w:hint="eastAsia" w:ascii="仿宋_GB2312" w:hAnsi="仿宋_GB2312" w:eastAsia="仿宋_GB2312" w:cs="仿宋_GB2312"/>
          <w:sz w:val="32"/>
          <w:szCs w:val="32"/>
        </w:rPr>
        <w:t>办结中央、省生态环境保护督察交办件17件，“夏季攻势”砂石土矿专项整治和深子湖硅砂矿生态环境问题整改顺利销号。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10.坚持高压打击态势，维护自然管理秩序</w:t>
      </w:r>
      <w:r>
        <w:rPr>
          <w:rFonts w:hint="eastAsia" w:ascii="楷体_GB2312" w:hAnsi="Calibri" w:eastAsia="楷体_GB2312" w:cs="Times New Roman"/>
          <w:b/>
          <w:sz w:val="32"/>
          <w:szCs w:val="32"/>
        </w:rPr>
        <w:t>。</w:t>
      </w:r>
      <w:r>
        <w:rPr>
          <w:rFonts w:hint="eastAsia" w:ascii="仿宋_GB2312" w:hAnsi="Calibri" w:eastAsia="仿宋_GB2312" w:cs="Times New Roman"/>
          <w:sz w:val="32"/>
          <w:szCs w:val="32"/>
        </w:rPr>
        <w:t>印发《关于加强自然资源执法工作的通知》，立案</w:t>
      </w:r>
      <w:r>
        <w:rPr>
          <w:rFonts w:hint="eastAsia" w:ascii="仿宋_GB2312" w:hAnsi="仿宋" w:eastAsia="仿宋_GB2312" w:cs="Times New Roman"/>
          <w:color w:val="000000"/>
          <w:sz w:val="32"/>
          <w:szCs w:val="32"/>
        </w:rPr>
        <w:t>查处违法案件43件，处理12336平台举报违法线索4起、农村乱占耕地建房线索17户，拆除违建项目8处，移送纪委4件、财政7件、公安1件、相关部门处理 15件，收缴罚没款400余万元，2022年违法用地实现“零”增长。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11.</w:t>
      </w:r>
      <w:r>
        <w:rPr>
          <w:rFonts w:hint="eastAsia" w:ascii="楷体_GB2312" w:hAnsi="楷体_GB2312" w:eastAsia="楷体_GB2312" w:cs="楷体_GB2312"/>
          <w:b/>
          <w:sz w:val="32"/>
          <w:szCs w:val="32"/>
        </w:rPr>
        <w:t>用心办好民生实事，</w:t>
      </w:r>
      <w:r>
        <w:rPr>
          <w:rFonts w:hint="eastAsia" w:ascii="楷体_GB2312" w:hAnsi="Calibri" w:eastAsia="楷体_GB2312" w:cs="Times New Roman"/>
          <w:b/>
          <w:sz w:val="32"/>
          <w:szCs w:val="32"/>
        </w:rPr>
        <w:t>营商环境更加优化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。</w:t>
      </w:r>
      <w:r>
        <w:rPr>
          <w:rFonts w:hint="eastAsia" w:ascii="仿宋_GB2312" w:hAnsi="Calibri" w:eastAsia="仿宋_GB2312" w:cs="Times New Roman"/>
          <w:sz w:val="32"/>
          <w:szCs w:val="32"/>
        </w:rPr>
        <w:t>37个“多测合一”项目全部线上办理，税务、住保中心等部门入驻不动产登记专区，</w:t>
      </w:r>
      <w:r>
        <w:rPr>
          <w:rFonts w:hint="eastAsia" w:ascii="仿宋" w:hAnsi="仿宋" w:eastAsia="仿宋" w:cs="仿宋"/>
          <w:sz w:val="32"/>
          <w:szCs w:val="32"/>
        </w:rPr>
        <w:t>赋权</w:t>
      </w:r>
      <w:r>
        <w:rPr>
          <w:rFonts w:hint="eastAsia" w:ascii="仿宋_GB2312" w:hAnsi="Calibri" w:eastAsia="仿宋_GB2312" w:cs="Times New Roman"/>
          <w:sz w:val="32"/>
          <w:szCs w:val="32"/>
        </w:rPr>
        <w:t>长沙银行等金融机构独立开展抵押登记业务，设置了多测合一、维修基金、税费收缴等办事窗口，在今典小苑、大盛郡府2个楼盘开展“交房即交证”，真正实现专区内一站式办结、“一网通办”和新建商品房开发项目“交房即交证”。</w:t>
      </w:r>
      <w:r>
        <w:rPr>
          <w:rFonts w:hint="eastAsia" w:ascii="仿宋_GB2312" w:eastAsia="仿宋_GB2312" w:cs="Times New Roman"/>
          <w:sz w:val="32"/>
          <w:szCs w:val="32"/>
        </w:rPr>
        <w:t>办理不动产权证书14933本、证明5337份。协助征收契税3140.4万元、维修基金1608.3万元，协助发放不动产抵押贷款20.2亿元。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楷体_GB2312" w:hAnsi="Calibri" w:eastAsia="楷体_GB2312" w:cs="Times New Roman"/>
          <w:b/>
          <w:sz w:val="32"/>
          <w:szCs w:val="32"/>
        </w:rPr>
        <w:t>12.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编制住宅标准图集，</w:t>
      </w:r>
      <w:r>
        <w:rPr>
          <w:rFonts w:hint="eastAsia" w:ascii="楷体_GB2312" w:hAnsi="楷体_GB2312" w:eastAsia="楷体_GB2312" w:cs="楷体_GB2312"/>
          <w:b/>
          <w:sz w:val="32"/>
          <w:szCs w:val="32"/>
        </w:rPr>
        <w:t>全力助推乡村振兴。</w:t>
      </w:r>
      <w:r>
        <w:rPr>
          <w:rFonts w:hint="eastAsia" w:ascii="仿宋_GB2312" w:eastAsia="仿宋_GB2312" w:cs="Times New Roman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</w:rPr>
        <w:t>北斗溪镇坪溪村等4个村派驻工作队12人, 派出结对帮扶和结对联系责任人88人，结对帮扶32户、结对联系338户,拨付北斗溪坪溪村、茅坡村和龙潭镇芙蓉村、栗山村等村乡村振兴工作经费共计12万元，为受灾的</w:t>
      </w:r>
      <w:r>
        <w:rPr>
          <w:rFonts w:hint="eastAsia" w:ascii="仿宋_GB2312" w:hAnsi="微软雅黑" w:eastAsia="仿宋_GB2312" w:cs="Times New Roman"/>
          <w:color w:val="333333"/>
          <w:sz w:val="32"/>
          <w:szCs w:val="32"/>
        </w:rPr>
        <w:t>舒溶溪乡龙角桥村捐款捐物2.72万元，</w:t>
      </w:r>
      <w:r>
        <w:rPr>
          <w:rFonts w:hint="eastAsia" w:ascii="仿宋_GB2312" w:hAnsi="Calibri" w:eastAsia="仿宋_GB2312" w:cs="Times New Roman"/>
          <w:spacing w:val="11"/>
          <w:sz w:val="32"/>
          <w:szCs w:val="32"/>
        </w:rPr>
        <w:t>想办法、出措施帮助群众解决“急难愁盼”问题。编制</w:t>
      </w:r>
      <w:r>
        <w:rPr>
          <w:rFonts w:hint="eastAsia" w:ascii="仿宋_GB2312" w:eastAsia="仿宋_GB2312" w:cs="Times New Roman"/>
          <w:sz w:val="32"/>
          <w:szCs w:val="32"/>
        </w:rPr>
        <w:t>印发《溆浦县新时代农村住宅设计标准图集》至各乡镇，推进村庄净化、绿化、亮化、美化，进一步改善农村人居环境</w:t>
      </w:r>
      <w:r>
        <w:rPr>
          <w:rFonts w:hint="eastAsia" w:ascii="仿宋_GB2312" w:hAnsi="Calibri" w:eastAsia="仿宋_GB2312" w:cs="Times New Roman"/>
          <w:spacing w:val="11"/>
          <w:sz w:val="32"/>
          <w:szCs w:val="32"/>
        </w:rPr>
        <w:t>。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ind w:firstLine="640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六、存在的主要问题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（一）预算不够精细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财政资金拨付不及时</w:t>
      </w:r>
    </w:p>
    <w:p>
      <w:pPr>
        <w:spacing w:line="60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（三）项目实施年度过长</w:t>
      </w:r>
    </w:p>
    <w:p>
      <w:pPr>
        <w:ind w:firstLine="640" w:firstLineChars="20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七、改进措施及有关建议</w:t>
      </w:r>
    </w:p>
    <w:p>
      <w:pPr>
        <w:adjustRightInd w:val="0"/>
        <w:snapToGrid w:val="0"/>
        <w:spacing w:line="600" w:lineRule="exact"/>
        <w:ind w:firstLine="660"/>
        <w:rPr>
          <w:rFonts w:ascii="仿宋_GB2312" w:hAnsi="仿宋_GB2312" w:eastAsia="仿宋_GB2312" w:cs="楷体_GB2312"/>
          <w:w w:val="96"/>
          <w:sz w:val="32"/>
          <w:szCs w:val="32"/>
        </w:rPr>
      </w:pPr>
      <w:r>
        <w:rPr>
          <w:rFonts w:hint="eastAsia" w:ascii="仿宋_GB2312" w:hAnsi="仿宋_GB2312" w:eastAsia="仿宋_GB2312" w:cs="楷体_GB2312"/>
          <w:w w:val="96"/>
          <w:sz w:val="32"/>
          <w:szCs w:val="32"/>
        </w:rPr>
        <w:t>（一）建议及时拨付预内经费</w:t>
      </w:r>
    </w:p>
    <w:p>
      <w:pPr>
        <w:adjustRightInd w:val="0"/>
        <w:snapToGrid w:val="0"/>
        <w:spacing w:line="600" w:lineRule="exact"/>
        <w:ind w:firstLine="660"/>
        <w:rPr>
          <w:rFonts w:ascii="宋体" w:cs="Times New Roman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楷体_GB2312"/>
          <w:w w:val="96"/>
          <w:sz w:val="32"/>
          <w:szCs w:val="32"/>
        </w:rPr>
        <w:t>（二）由于乡镇人员较多，无收费项目，建议加大乡镇</w:t>
      </w:r>
      <w:r>
        <w:rPr>
          <w:rFonts w:hint="eastAsia" w:ascii="楷体_GB2312" w:eastAsia="楷体_GB2312" w:cs="楷体_GB2312"/>
          <w:bCs/>
          <w:sz w:val="32"/>
          <w:szCs w:val="32"/>
        </w:rPr>
        <w:t>所</w:t>
      </w:r>
      <w:r>
        <w:rPr>
          <w:rFonts w:hint="eastAsia" w:ascii="仿宋_GB2312" w:hAnsi="仿宋_GB2312" w:eastAsia="仿宋_GB2312" w:cs="楷体_GB2312"/>
          <w:w w:val="96"/>
          <w:sz w:val="32"/>
          <w:szCs w:val="32"/>
        </w:rPr>
        <w:t>公用经费安排力度。</w:t>
      </w:r>
    </w:p>
    <w:p/>
    <w:sectPr>
      <w:pgSz w:w="11906" w:h="16838"/>
      <w:pgMar w:top="1440" w:right="1803" w:bottom="1440" w:left="1803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kZTBmNTE0NzM2OTM0ZjNkYzM1Mjc3NGU0ZWI0OTQifQ=="/>
  </w:docVars>
  <w:rsids>
    <w:rsidRoot w:val="6027045E"/>
    <w:rsid w:val="000F41B4"/>
    <w:rsid w:val="002D7B74"/>
    <w:rsid w:val="0032003B"/>
    <w:rsid w:val="004B498C"/>
    <w:rsid w:val="006E0733"/>
    <w:rsid w:val="00705278"/>
    <w:rsid w:val="0078005C"/>
    <w:rsid w:val="007D6EC4"/>
    <w:rsid w:val="008B02E0"/>
    <w:rsid w:val="00AF1EDF"/>
    <w:rsid w:val="00B4798A"/>
    <w:rsid w:val="00D511EA"/>
    <w:rsid w:val="00DF2CA9"/>
    <w:rsid w:val="00E13AD9"/>
    <w:rsid w:val="00EA0DC6"/>
    <w:rsid w:val="21F53E79"/>
    <w:rsid w:val="2CF32D2B"/>
    <w:rsid w:val="3C00097C"/>
    <w:rsid w:val="4AAF6A1F"/>
    <w:rsid w:val="5F6A0FB7"/>
    <w:rsid w:val="6027045E"/>
    <w:rsid w:val="6971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unhideWhenUsed/>
    <w:qFormat/>
    <w:uiPriority w:val="99"/>
    <w:rPr>
      <w:color w:val="0563C1"/>
      <w:u w:val="single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宋体" w:cs="Calibri"/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ascii="Times New Roman" w:hAnsi="Times New Roman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3417</Words>
  <Characters>3771</Characters>
  <Lines>27</Lines>
  <Paragraphs>7</Paragraphs>
  <TotalTime>178</TotalTime>
  <ScaleCrop>false</ScaleCrop>
  <LinksUpToDate>false</LinksUpToDate>
  <CharactersWithSpaces>3775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2022-09-01T03:12:00Z</dcterms:created>
  <dc:creator>sx</dc:creator>
  <cp:lastModifiedBy>土渣子</cp:lastModifiedBy>
  <dcterms:modified xsi:type="dcterms:W3CDTF">2023-08-10T02:49:17Z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22E9EDFA47F04CFDB3102DE78AFE3B17</vt:lpwstr>
  </property>
</Properties>
</file>