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40" w:lineRule="exact"/>
        <w:jc w:val="center"/>
        <w:rPr>
          <w:rFonts w:ascii="方正大标宋简体" w:hAnsi="方正大标宋简体" w:eastAsia="方正大标宋简体" w:cs="方正大标宋简体"/>
          <w:bCs/>
          <w:color w:val="010101"/>
          <w:kern w:val="0"/>
          <w:sz w:val="44"/>
          <w:szCs w:val="44"/>
        </w:rPr>
      </w:pPr>
      <w:r>
        <w:rPr>
          <w:rFonts w:hint="eastAsia" w:ascii="方正大标宋简体" w:hAnsi="方正大标宋简体" w:eastAsia="方正大标宋简体" w:cs="方正大标宋简体"/>
          <w:bCs/>
          <w:color w:val="010101"/>
          <w:kern w:val="0"/>
          <w:sz w:val="44"/>
          <w:szCs w:val="44"/>
        </w:rPr>
        <w:t>溆浦县社会救助事务中心              2022年度部门整体支出绩效自评报告</w:t>
      </w:r>
    </w:p>
    <w:p>
      <w:pPr>
        <w:widowControl/>
        <w:spacing w:line="610" w:lineRule="exact"/>
        <w:ind w:firstLine="640" w:firstLineChars="200"/>
        <w:rPr>
          <w:rFonts w:ascii="仿宋_GB2312" w:hAnsi="仿宋_GB2312" w:eastAsia="仿宋_GB2312" w:cs="仿宋_GB2312"/>
          <w:color w:val="010101"/>
          <w:kern w:val="0"/>
          <w:sz w:val="32"/>
          <w:szCs w:val="32"/>
        </w:rPr>
      </w:pPr>
    </w:p>
    <w:p>
      <w:pPr>
        <w:widowControl/>
        <w:spacing w:line="610" w:lineRule="exact"/>
        <w:ind w:firstLine="640" w:firstLineChars="200"/>
        <w:rPr>
          <w:rFonts w:ascii="仿宋_GB2312" w:hAnsi="仿宋_GB2312" w:eastAsia="仿宋_GB2312" w:cs="仿宋_GB2312"/>
          <w:color w:val="010101"/>
          <w:kern w:val="0"/>
          <w:sz w:val="32"/>
          <w:szCs w:val="32"/>
        </w:rPr>
      </w:pPr>
      <w:r>
        <w:rPr>
          <w:rFonts w:hint="eastAsia" w:ascii="仿宋_GB2312" w:hAnsi="仿宋_GB2312" w:eastAsia="仿宋_GB2312" w:cs="仿宋_GB2312"/>
          <w:color w:val="010101"/>
          <w:kern w:val="0"/>
          <w:sz w:val="32"/>
          <w:szCs w:val="32"/>
        </w:rPr>
        <w:t>根据溆财绩函〔2023〕5号文件精神，现将县社会救助事务中心2022年度部门整体支出绩效评价情况报告如下： </w:t>
      </w:r>
    </w:p>
    <w:p>
      <w:pPr>
        <w:widowControl/>
        <w:spacing w:line="610" w:lineRule="exact"/>
        <w:ind w:firstLine="640" w:firstLineChars="200"/>
        <w:rPr>
          <w:rFonts w:ascii="黑体" w:hAnsi="黑体" w:eastAsia="黑体" w:cs="黑体"/>
          <w:color w:val="010101"/>
          <w:kern w:val="0"/>
          <w:sz w:val="32"/>
          <w:szCs w:val="32"/>
        </w:rPr>
      </w:pPr>
      <w:r>
        <w:rPr>
          <w:rFonts w:hint="eastAsia" w:ascii="黑体" w:hAnsi="黑体" w:eastAsia="黑体" w:cs="黑体"/>
          <w:color w:val="010101"/>
          <w:kern w:val="0"/>
          <w:sz w:val="32"/>
          <w:szCs w:val="32"/>
        </w:rPr>
        <w:t>一、部门概况 </w:t>
      </w:r>
    </w:p>
    <w:p>
      <w:pPr>
        <w:widowControl/>
        <w:spacing w:line="610" w:lineRule="exact"/>
        <w:ind w:firstLine="643" w:firstLineChars="200"/>
        <w:rPr>
          <w:rFonts w:ascii="仿宋_GB2312" w:hAnsi="仿宋_GB2312" w:eastAsia="仿宋_GB2312" w:cs="仿宋_GB2312"/>
          <w:color w:val="010101"/>
          <w:kern w:val="0"/>
          <w:sz w:val="32"/>
          <w:szCs w:val="32"/>
        </w:rPr>
      </w:pPr>
      <w:r>
        <w:rPr>
          <w:rFonts w:hint="eastAsia" w:ascii="仿宋_GB2312" w:hAnsi="仿宋_GB2312" w:eastAsia="仿宋_GB2312" w:cs="仿宋_GB2312"/>
          <w:b/>
          <w:kern w:val="0"/>
          <w:sz w:val="32"/>
          <w:szCs w:val="32"/>
        </w:rPr>
        <w:t>（一）</w:t>
      </w:r>
      <w:r>
        <w:rPr>
          <w:rFonts w:hint="eastAsia" w:ascii="仿宋_GB2312" w:hAnsi="仿宋_GB2312" w:eastAsia="仿宋_GB2312" w:cs="仿宋_GB2312"/>
          <w:b/>
          <w:bCs/>
          <w:color w:val="010101"/>
          <w:kern w:val="0"/>
          <w:sz w:val="32"/>
          <w:szCs w:val="32"/>
        </w:rPr>
        <w:t>部门基本情况</w:t>
      </w:r>
      <w:r>
        <w:rPr>
          <w:rFonts w:hint="eastAsia" w:ascii="仿宋_GB2312" w:hAnsi="仿宋_GB2312" w:eastAsia="仿宋_GB2312" w:cs="仿宋_GB2312"/>
          <w:color w:val="010101"/>
          <w:kern w:val="0"/>
          <w:sz w:val="32"/>
          <w:szCs w:val="32"/>
        </w:rPr>
        <w:t> </w:t>
      </w:r>
    </w:p>
    <w:p>
      <w:pPr>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溆浦县社会救助事务中心是全额拨款事业单位，核定编制 20 名，实有在职人员14人，其中事业人员 14人；离退休人员8人。主要负责流浪乞讨人员救助、精神病人救助及未成年人关爱保护工作。</w:t>
      </w:r>
    </w:p>
    <w:p>
      <w:pPr>
        <w:spacing w:line="610" w:lineRule="exact"/>
        <w:ind w:firstLine="640" w:firstLineChars="200"/>
        <w:rPr>
          <w:rFonts w:ascii="仿宋_GB2312" w:hAnsi="仿宋_GB2312" w:eastAsia="仿宋_GB2312" w:cs="仿宋_GB2312"/>
          <w:b/>
          <w:bCs/>
          <w:color w:val="010101"/>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bCs/>
          <w:color w:val="010101"/>
          <w:kern w:val="0"/>
          <w:sz w:val="32"/>
          <w:szCs w:val="32"/>
        </w:rPr>
        <w:t>主要工作任务 </w:t>
      </w:r>
    </w:p>
    <w:p>
      <w:pPr>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1、加强内部管理，建立健全各项规章制度。</w:t>
      </w:r>
      <w:r>
        <w:rPr>
          <w:rFonts w:hint="eastAsia" w:ascii="仿宋_GB2312" w:hAnsi="仿宋_GB2312" w:eastAsia="仿宋_GB2312" w:cs="仿宋_GB2312"/>
          <w:sz w:val="32"/>
          <w:szCs w:val="32"/>
        </w:rPr>
        <w:t>建立了目标管理责任制，制定了安全排查、消防、酷暑、寒冬和春运期间救助工作方案及应急预案，与县中医院、县精神病医院签订了受助人员住院治疗协议书，与火车站签订了流浪受助人员返乡购票换票协议书</w:t>
      </w:r>
      <w:r>
        <w:rPr>
          <w:rFonts w:hint="eastAsia" w:ascii="仿宋_GB2312" w:hAnsi="仿宋_GB2312" w:eastAsia="仿宋_GB2312" w:cs="仿宋_GB2312"/>
          <w:kern w:val="0"/>
          <w:sz w:val="32"/>
          <w:szCs w:val="32"/>
        </w:rPr>
        <w:t>；</w:t>
      </w:r>
    </w:p>
    <w:p>
      <w:pPr>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2、加强宣传，方便求助。</w:t>
      </w:r>
      <w:r>
        <w:rPr>
          <w:rFonts w:hint="eastAsia" w:ascii="仿宋_GB2312" w:hAnsi="仿宋_GB2312" w:eastAsia="仿宋_GB2312" w:cs="仿宋_GB2312"/>
          <w:sz w:val="32"/>
          <w:szCs w:val="32"/>
        </w:rPr>
        <w:t>印发了《流浪乞讨人员救助服务指南》宣传册，</w:t>
      </w:r>
      <w:r>
        <w:rPr>
          <w:rFonts w:hint="eastAsia" w:ascii="仿宋_GB2312" w:hAnsi="仿宋_GB2312" w:eastAsia="仿宋_GB2312" w:cs="仿宋_GB2312"/>
          <w:kern w:val="0"/>
          <w:sz w:val="32"/>
          <w:szCs w:val="32"/>
        </w:rPr>
        <w:t>在城区主要路口、汽车站、火车站设置了流浪乞讨人员求助引导牌；</w:t>
      </w:r>
    </w:p>
    <w:p>
      <w:pPr>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hint="eastAsia" w:ascii="仿宋_GB2312" w:eastAsia="仿宋_GB2312"/>
          <w:sz w:val="32"/>
          <w:szCs w:val="32"/>
        </w:rPr>
        <w:t>民政为民、民政爱民</w:t>
      </w:r>
      <w:r>
        <w:rPr>
          <w:rFonts w:hint="eastAsia" w:ascii="仿宋_GB2312" w:hAnsi="仿宋_GB2312" w:eastAsia="仿宋_GB2312" w:cs="仿宋_GB2312"/>
          <w:kern w:val="0"/>
          <w:sz w:val="32"/>
          <w:szCs w:val="32"/>
        </w:rPr>
        <w:t>。站内窗口接待救助实行24小时工作制，</w:t>
      </w:r>
      <w:r>
        <w:rPr>
          <w:rFonts w:hint="eastAsia" w:ascii="仿宋_GB2312" w:hAnsi="仿宋_GB2312" w:eastAsia="仿宋_GB2312" w:cs="仿宋_GB2312"/>
          <w:sz w:val="32"/>
          <w:szCs w:val="32"/>
        </w:rPr>
        <w:t>对有自行返乡能力</w:t>
      </w:r>
      <w:r>
        <w:rPr>
          <w:rFonts w:hint="eastAsia" w:ascii="仿宋_GB2312" w:hAnsi="仿宋_GB2312" w:eastAsia="仿宋_GB2312" w:cs="仿宋_GB2312"/>
          <w:color w:val="000000"/>
          <w:sz w:val="32"/>
          <w:szCs w:val="32"/>
        </w:rPr>
        <w:t>的对象做到当日救助当日离站，对限制民事行为能力的对象派专人护送</w:t>
      </w:r>
      <w:r>
        <w:rPr>
          <w:rFonts w:hint="eastAsia" w:ascii="仿宋_GB2312" w:hAnsi="仿宋_GB2312" w:eastAsia="仿宋_GB2312" w:cs="仿宋_GB2312"/>
          <w:sz w:val="32"/>
          <w:szCs w:val="32"/>
        </w:rPr>
        <w:t>返乡，对患病对象及时送医治疗</w:t>
      </w:r>
      <w:r>
        <w:rPr>
          <w:rFonts w:hint="eastAsia" w:ascii="仿宋_GB2312" w:hAnsi="仿宋_GB2312" w:eastAsia="仿宋_GB2312" w:cs="仿宋_GB2312"/>
          <w:kern w:val="0"/>
          <w:sz w:val="32"/>
          <w:szCs w:val="32"/>
        </w:rPr>
        <w:t>；</w:t>
      </w:r>
    </w:p>
    <w:p>
      <w:pPr>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4、开展站外主动救助。酷暑和寒冬时期派专车携带食品和衣物进行上街巡查救助，</w:t>
      </w:r>
      <w:r>
        <w:rPr>
          <w:rFonts w:hint="eastAsia" w:ascii="仿宋_GB2312" w:hAnsi="仿宋_GB2312" w:eastAsia="仿宋_GB2312" w:cs="仿宋_GB2312"/>
          <w:sz w:val="32"/>
          <w:szCs w:val="32"/>
        </w:rPr>
        <w:t>发现露宿街头、商业广场、车站、码头、桥梁、涵洞和菜市场的流浪乞讨人员及时给予现场救助，对流浪精神病人和其他患病人员直接送医治疗</w:t>
      </w:r>
      <w:r>
        <w:rPr>
          <w:rFonts w:hint="eastAsia" w:ascii="仿宋_GB2312" w:hAnsi="仿宋_GB2312" w:eastAsia="仿宋_GB2312" w:cs="仿宋_GB2312"/>
          <w:kern w:val="0"/>
          <w:sz w:val="32"/>
          <w:szCs w:val="32"/>
        </w:rPr>
        <w:t>；</w:t>
      </w:r>
    </w:p>
    <w:p>
      <w:pPr>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sz w:val="32"/>
          <w:szCs w:val="32"/>
        </w:rPr>
        <w:t>强化责任意识，确保安全工作万无一失</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对所有住站的流浪乞讨人员进行安全检查，给住站人员提供符合国家食品卫生标准的食物，在接送流浪精神病患人员时提前给其注射安定药物，防止其在途中自残、跳车和伤害工作人员。到目前为止，我站从未发生过一起安全责任事故。</w:t>
      </w:r>
    </w:p>
    <w:p>
      <w:pPr>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按照“党委领导、政府主导、民政牵头、部门联动、家庭主责、全民参与”的工作机制，围绕“关爱留守儿童，保障困境儿童”的工作要求，建立健全留守儿童关爱保护机制，着力加强关爱保护阵地打造，为留守儿童健康成长撑起了一片希望的蓝天。</w:t>
      </w:r>
    </w:p>
    <w:p>
      <w:pPr>
        <w:widowControl/>
        <w:spacing w:line="610" w:lineRule="exact"/>
        <w:ind w:firstLine="640" w:firstLineChars="200"/>
        <w:rPr>
          <w:rFonts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b/>
          <w:bCs/>
          <w:kern w:val="0"/>
          <w:sz w:val="32"/>
          <w:szCs w:val="32"/>
        </w:rPr>
        <w:t>部门整体支出情况及使用情况</w:t>
      </w:r>
    </w:p>
    <w:p>
      <w:pPr>
        <w:widowControl/>
        <w:spacing w:line="610" w:lineRule="exac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(一)基本支出 </w:t>
      </w:r>
    </w:p>
    <w:p>
      <w:pPr>
        <w:widowControl/>
        <w:spacing w:line="61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年收入总计463.19万元。其中本年收入463.19万元。全年支出总计463.19万元，其中基本支出463.19万元，占全年总支出的100%。基本支出中：1、工资福利支出187.83万元，占全年基本支出的40.6%，2、商品和服务支出12.64万元，占全年基本支出的2.7%。3、对个人和家庭补助支出262.12万元，占全年基本支出的56.6%。4、资本性支出0.6万元，占全年基本支出的0.1%。</w:t>
      </w:r>
    </w:p>
    <w:p>
      <w:pPr>
        <w:widowControl/>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2022年我中心认真贯彻落实厉行节约，严控“三公”经费、降低一般运行经费。完善了本单位公务接待、车辆管理办法，实行“三公”经费预算和公示制度，有效地控制了“三公”经费支出。实际支出没有超出预算规模、范围和标准，所有“三公”经费支出合法、合规。</w:t>
      </w:r>
    </w:p>
    <w:p>
      <w:pPr>
        <w:tabs>
          <w:tab w:val="left" w:pos="0"/>
        </w:tabs>
        <w:spacing w:line="61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（二）专项支出</w:t>
      </w:r>
    </w:p>
    <w:p>
      <w:pPr>
        <w:tabs>
          <w:tab w:val="left" w:pos="0"/>
        </w:tabs>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w:t>
      </w:r>
      <w:r>
        <w:rPr>
          <w:rFonts w:hint="eastAsia" w:ascii="仿宋_GB2312" w:hAnsi="仿宋_GB2312" w:eastAsia="仿宋_GB2312" w:cs="仿宋_GB2312"/>
          <w:sz w:val="32"/>
          <w:szCs w:val="32"/>
          <w:lang w:eastAsia="zh-CN"/>
        </w:rPr>
        <w:t>专项支出</w:t>
      </w:r>
      <w:r>
        <w:rPr>
          <w:rFonts w:hint="eastAsia" w:ascii="仿宋_GB2312" w:hAnsi="仿宋_GB2312" w:eastAsia="仿宋_GB2312" w:cs="仿宋_GB2312"/>
          <w:sz w:val="32"/>
          <w:szCs w:val="32"/>
        </w:rPr>
        <w:t>28.5万元。其中：1、工资福利支出14.5万元，占全年项目支出的51%，2、商品和服务支出12万元，占全年项目支出的42%,3、对个人和家庭的补助支出2万元，占全年项目支出的7%。</w:t>
      </w:r>
    </w:p>
    <w:p>
      <w:pPr>
        <w:tabs>
          <w:tab w:val="left" w:pos="0"/>
        </w:tabs>
        <w:spacing w:line="61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三、部门专项组织实施情况 </w:t>
      </w:r>
    </w:p>
    <w:p>
      <w:pPr>
        <w:widowControl/>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项目支出是用于城市生活无着流浪乞讨人员生活、医疗、返乡、教育矫治、临时安置等救助支出和救助站建设项目支出。严</w:t>
      </w:r>
      <w:r>
        <w:rPr>
          <w:rFonts w:hint="eastAsia" w:ascii="仿宋_GB2312" w:hAnsi="仿宋_GB2312" w:eastAsia="仿宋_GB2312" w:cs="仿宋_GB2312"/>
          <w:sz w:val="32"/>
          <w:szCs w:val="32"/>
        </w:rPr>
        <w:t>格按照《中央财政流浪乞讨人员救助补助资金管理办法》的要求，做到专款专用，确保救助资金的安全、规范运行。</w:t>
      </w:r>
    </w:p>
    <w:p>
      <w:pPr>
        <w:widowControl/>
        <w:spacing w:line="61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sz w:val="32"/>
          <w:szCs w:val="32"/>
        </w:rPr>
        <w:t>四、资产管理情况</w:t>
      </w:r>
    </w:p>
    <w:p>
      <w:pPr>
        <w:widowControl/>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固定资产统一进行管理和配置，并立章建制，做</w:t>
      </w:r>
      <w:bookmarkStart w:id="0" w:name="_GoBack"/>
      <w:bookmarkEnd w:id="0"/>
      <w:r>
        <w:rPr>
          <w:rFonts w:hint="eastAsia" w:ascii="仿宋_GB2312" w:hAnsi="仿宋_GB2312" w:eastAsia="仿宋_GB2312" w:cs="仿宋_GB2312"/>
          <w:kern w:val="0"/>
          <w:sz w:val="32"/>
          <w:szCs w:val="32"/>
        </w:rPr>
        <w:t>到帐帐、帐证、帐实相符，基本无闲置浪费现象。</w:t>
      </w:r>
    </w:p>
    <w:p>
      <w:pPr>
        <w:widowControl/>
        <w:spacing w:line="61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五、部门整体支出绩效情况</w:t>
      </w:r>
    </w:p>
    <w:p>
      <w:pPr>
        <w:widowControl/>
        <w:spacing w:line="61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2022年，我单位积极履职，强化管理，较好地完成了年度工作目标。通过加强预算收支管理，不断建立健全内部管理制度，梳理内部管理流程，部门整体支出管理水平得到提升。根据部门整体支部绩效评价指标体系，我单位2022年度评价得分为90.8分，部门整体支出绩效情况如下：</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1. 预算配置控制较好得</w:t>
      </w:r>
      <w:r>
        <w:rPr>
          <w:rFonts w:hint="eastAsia" w:ascii="仿宋_GB2312" w:hAnsi="仿宋_GB2312" w:eastAsia="仿宋_GB2312" w:cs="仿宋_GB2312"/>
          <w:kern w:val="0"/>
          <w:sz w:val="32"/>
          <w:szCs w:val="32"/>
        </w:rPr>
        <w:t>12</w:t>
      </w:r>
      <w:r>
        <w:rPr>
          <w:rFonts w:ascii="仿宋_GB2312" w:hAnsi="仿宋_GB2312" w:eastAsia="仿宋_GB2312" w:cs="仿宋_GB2312"/>
          <w:kern w:val="0"/>
          <w:sz w:val="32"/>
          <w:szCs w:val="32"/>
        </w:rPr>
        <w:t>分。其中：在职人员控制率：在职</w:t>
      </w:r>
      <w:r>
        <w:rPr>
          <w:rFonts w:hint="eastAsia" w:ascii="仿宋_GB2312" w:hAnsi="仿宋_GB2312" w:eastAsia="仿宋_GB2312" w:cs="仿宋_GB2312"/>
          <w:kern w:val="0"/>
          <w:sz w:val="32"/>
          <w:szCs w:val="32"/>
        </w:rPr>
        <w:t>17</w:t>
      </w:r>
      <w:r>
        <w:rPr>
          <w:rFonts w:ascii="仿宋_GB2312" w:hAnsi="仿宋_GB2312" w:eastAsia="仿宋_GB2312" w:cs="仿宋_GB2312"/>
          <w:kern w:val="0"/>
          <w:sz w:val="32"/>
          <w:szCs w:val="32"/>
        </w:rPr>
        <w:t>人/编制</w:t>
      </w:r>
      <w:r>
        <w:rPr>
          <w:rFonts w:hint="eastAsia" w:ascii="仿宋_GB2312" w:hAnsi="仿宋_GB2312" w:eastAsia="仿宋_GB2312" w:cs="仿宋_GB2312"/>
          <w:kern w:val="0"/>
          <w:sz w:val="32"/>
          <w:szCs w:val="32"/>
        </w:rPr>
        <w:t>20</w:t>
      </w:r>
      <w:r>
        <w:rPr>
          <w:rFonts w:ascii="仿宋_GB2312" w:hAnsi="仿宋_GB2312" w:eastAsia="仿宋_GB2312" w:cs="仿宋_GB2312"/>
          <w:kern w:val="0"/>
          <w:sz w:val="32"/>
          <w:szCs w:val="32"/>
        </w:rPr>
        <w:t>人*100%=</w:t>
      </w:r>
      <w:r>
        <w:rPr>
          <w:rFonts w:hint="eastAsia" w:ascii="仿宋_GB2312" w:hAnsi="仿宋_GB2312" w:eastAsia="仿宋_GB2312" w:cs="仿宋_GB2312"/>
          <w:kern w:val="0"/>
          <w:sz w:val="32"/>
          <w:szCs w:val="32"/>
        </w:rPr>
        <w:t>85</w:t>
      </w:r>
      <w:r>
        <w:rPr>
          <w:rFonts w:ascii="仿宋_GB2312" w:hAnsi="仿宋_GB2312" w:eastAsia="仿宋_GB2312" w:cs="仿宋_GB2312"/>
          <w:kern w:val="0"/>
          <w:sz w:val="32"/>
          <w:szCs w:val="32"/>
        </w:rPr>
        <w:t>%，得</w:t>
      </w:r>
      <w:r>
        <w:rPr>
          <w:rFonts w:hint="eastAsia" w:ascii="仿宋_GB2312" w:hAnsi="仿宋_GB2312" w:eastAsia="仿宋_GB2312" w:cs="仿宋_GB2312"/>
          <w:kern w:val="0"/>
          <w:sz w:val="32"/>
          <w:szCs w:val="32"/>
        </w:rPr>
        <w:t>5</w:t>
      </w:r>
      <w:r>
        <w:rPr>
          <w:rFonts w:ascii="仿宋_GB2312" w:hAnsi="仿宋_GB2312" w:eastAsia="仿宋_GB2312" w:cs="仿宋_GB2312"/>
          <w:kern w:val="0"/>
          <w:sz w:val="32"/>
          <w:szCs w:val="32"/>
        </w:rPr>
        <w:t>分；“三公”经费预算数</w:t>
      </w:r>
      <w:r>
        <w:rPr>
          <w:rFonts w:hint="eastAsia" w:ascii="仿宋_GB2312" w:hAnsi="仿宋_GB2312" w:eastAsia="仿宋_GB2312" w:cs="仿宋_GB2312"/>
          <w:kern w:val="0"/>
          <w:sz w:val="32"/>
          <w:szCs w:val="32"/>
        </w:rPr>
        <w:t>有</w:t>
      </w:r>
      <w:r>
        <w:rPr>
          <w:rFonts w:ascii="仿宋_GB2312" w:hAnsi="仿宋_GB2312" w:eastAsia="仿宋_GB2312" w:cs="仿宋_GB2312"/>
          <w:kern w:val="0"/>
          <w:sz w:val="32"/>
          <w:szCs w:val="32"/>
        </w:rPr>
        <w:t>变动，变动率</w:t>
      </w:r>
      <w:r>
        <w:rPr>
          <w:rFonts w:hint="eastAsia" w:ascii="仿宋_GB2312" w:hAnsi="仿宋_GB2312" w:eastAsia="仿宋_GB2312" w:cs="仿宋_GB2312"/>
          <w:kern w:val="0"/>
          <w:sz w:val="32"/>
          <w:szCs w:val="32"/>
        </w:rPr>
        <w:t>小于</w:t>
      </w:r>
      <w:r>
        <w:rPr>
          <w:rFonts w:ascii="仿宋_GB2312" w:hAnsi="仿宋_GB2312" w:eastAsia="仿宋_GB2312" w:cs="仿宋_GB2312"/>
          <w:kern w:val="0"/>
          <w:sz w:val="32"/>
          <w:szCs w:val="32"/>
        </w:rPr>
        <w:t>0，得</w:t>
      </w:r>
      <w:r>
        <w:rPr>
          <w:rFonts w:hint="eastAsia" w:ascii="仿宋_GB2312" w:hAnsi="仿宋_GB2312" w:eastAsia="仿宋_GB2312" w:cs="仿宋_GB2312"/>
          <w:kern w:val="0"/>
          <w:sz w:val="32"/>
          <w:szCs w:val="32"/>
        </w:rPr>
        <w:t>7</w:t>
      </w:r>
      <w:r>
        <w:rPr>
          <w:rFonts w:ascii="仿宋_GB2312" w:hAnsi="仿宋_GB2312" w:eastAsia="仿宋_GB2312" w:cs="仿宋_GB2312"/>
          <w:kern w:val="0"/>
          <w:sz w:val="32"/>
          <w:szCs w:val="32"/>
        </w:rPr>
        <w:t>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 预算执行比较到位得</w:t>
      </w:r>
      <w:r>
        <w:rPr>
          <w:rFonts w:hint="eastAsia" w:ascii="仿宋_GB2312" w:hAnsi="仿宋_GB2312" w:eastAsia="仿宋_GB2312" w:cs="仿宋_GB2312"/>
          <w:kern w:val="0"/>
          <w:sz w:val="32"/>
          <w:szCs w:val="32"/>
        </w:rPr>
        <w:t>28.8</w:t>
      </w:r>
      <w:r>
        <w:rPr>
          <w:rFonts w:ascii="仿宋_GB2312" w:hAnsi="仿宋_GB2312" w:eastAsia="仿宋_GB2312" w:cs="仿宋_GB2312"/>
          <w:kern w:val="0"/>
          <w:sz w:val="32"/>
          <w:szCs w:val="32"/>
        </w:rPr>
        <w:t>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（1）预算完成率=（上年结转</w:t>
      </w:r>
      <w:r>
        <w:rPr>
          <w:rFonts w:hint="eastAsia" w:ascii="仿宋_GB2312" w:hAnsi="仿宋_GB2312" w:eastAsia="仿宋_GB2312" w:cs="仿宋_GB2312"/>
          <w:kern w:val="0"/>
          <w:sz w:val="32"/>
          <w:szCs w:val="32"/>
        </w:rPr>
        <w:t>4.68</w:t>
      </w:r>
      <w:r>
        <w:rPr>
          <w:rFonts w:ascii="仿宋_GB2312" w:hAnsi="仿宋_GB2312" w:eastAsia="仿宋_GB2312" w:cs="仿宋_GB2312"/>
          <w:kern w:val="0"/>
          <w:sz w:val="32"/>
          <w:szCs w:val="32"/>
        </w:rPr>
        <w:t>万元+年初预算数</w:t>
      </w:r>
      <w:r>
        <w:rPr>
          <w:rFonts w:hint="eastAsia" w:ascii="仿宋_GB2312" w:hAnsi="仿宋_GB2312" w:eastAsia="仿宋_GB2312" w:cs="仿宋_GB2312"/>
          <w:kern w:val="0"/>
          <w:sz w:val="32"/>
          <w:szCs w:val="32"/>
        </w:rPr>
        <w:t>196.76</w:t>
      </w:r>
      <w:r>
        <w:rPr>
          <w:rFonts w:ascii="仿宋_GB2312" w:hAnsi="仿宋_GB2312" w:eastAsia="仿宋_GB2312" w:cs="仿宋_GB2312"/>
          <w:kern w:val="0"/>
          <w:sz w:val="32"/>
          <w:szCs w:val="32"/>
        </w:rPr>
        <w:t>万元-年末结余</w:t>
      </w:r>
      <w:r>
        <w:rPr>
          <w:rFonts w:hint="eastAsia" w:ascii="仿宋_GB2312" w:hAnsi="仿宋_GB2312" w:eastAsia="仿宋_GB2312" w:cs="仿宋_GB2312"/>
          <w:kern w:val="0"/>
          <w:sz w:val="32"/>
          <w:szCs w:val="32"/>
        </w:rPr>
        <w:t>4.68</w:t>
      </w:r>
      <w:r>
        <w:rPr>
          <w:rFonts w:ascii="仿宋_GB2312" w:hAnsi="仿宋_GB2312" w:eastAsia="仿宋_GB2312" w:cs="仿宋_GB2312"/>
          <w:kern w:val="0"/>
          <w:sz w:val="32"/>
          <w:szCs w:val="32"/>
        </w:rPr>
        <w:t>万元）/(上年结转</w:t>
      </w:r>
      <w:r>
        <w:rPr>
          <w:rFonts w:hint="eastAsia" w:ascii="仿宋_GB2312" w:hAnsi="仿宋_GB2312" w:eastAsia="仿宋_GB2312" w:cs="仿宋_GB2312"/>
          <w:kern w:val="0"/>
          <w:sz w:val="32"/>
          <w:szCs w:val="32"/>
        </w:rPr>
        <w:t>4.68</w:t>
      </w:r>
      <w:r>
        <w:rPr>
          <w:rFonts w:ascii="仿宋_GB2312" w:hAnsi="仿宋_GB2312" w:eastAsia="仿宋_GB2312" w:cs="仿宋_GB2312"/>
          <w:kern w:val="0"/>
          <w:sz w:val="32"/>
          <w:szCs w:val="32"/>
        </w:rPr>
        <w:t>万元+年初预算数</w:t>
      </w:r>
      <w:r>
        <w:rPr>
          <w:rFonts w:hint="eastAsia" w:ascii="仿宋_GB2312" w:hAnsi="仿宋_GB2312" w:eastAsia="仿宋_GB2312" w:cs="仿宋_GB2312"/>
          <w:kern w:val="0"/>
          <w:sz w:val="32"/>
          <w:szCs w:val="32"/>
        </w:rPr>
        <w:t>196.76</w:t>
      </w:r>
      <w:r>
        <w:rPr>
          <w:rFonts w:ascii="仿宋_GB2312" w:hAnsi="仿宋_GB2312" w:eastAsia="仿宋_GB2312" w:cs="仿宋_GB2312"/>
          <w:kern w:val="0"/>
          <w:sz w:val="32"/>
          <w:szCs w:val="32"/>
        </w:rPr>
        <w:t>万元)*100%=</w:t>
      </w:r>
      <w:r>
        <w:rPr>
          <w:rFonts w:hint="eastAsia" w:ascii="仿宋_GB2312" w:hAnsi="仿宋_GB2312" w:eastAsia="仿宋_GB2312" w:cs="仿宋_GB2312"/>
          <w:kern w:val="0"/>
          <w:sz w:val="32"/>
          <w:szCs w:val="32"/>
        </w:rPr>
        <w:t>98</w:t>
      </w:r>
      <w:r>
        <w:rPr>
          <w:rFonts w:ascii="仿宋_GB2312" w:hAnsi="仿宋_GB2312" w:eastAsia="仿宋_GB2312" w:cs="仿宋_GB2312"/>
          <w:kern w:val="0"/>
          <w:sz w:val="32"/>
          <w:szCs w:val="32"/>
        </w:rPr>
        <w:t>%，得</w:t>
      </w:r>
      <w:r>
        <w:rPr>
          <w:rFonts w:hint="eastAsia" w:ascii="仿宋_GB2312" w:hAnsi="仿宋_GB2312" w:eastAsia="仿宋_GB2312" w:cs="仿宋_GB2312"/>
          <w:kern w:val="0"/>
          <w:sz w:val="32"/>
          <w:szCs w:val="32"/>
        </w:rPr>
        <w:t>1.9</w:t>
      </w:r>
      <w:r>
        <w:rPr>
          <w:rFonts w:ascii="仿宋_GB2312" w:hAnsi="仿宋_GB2312" w:eastAsia="仿宋_GB2312" w:cs="仿宋_GB2312"/>
          <w:kern w:val="0"/>
          <w:sz w:val="32"/>
          <w:szCs w:val="32"/>
        </w:rPr>
        <w:t>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（2）预算控制率=（本年追加预算0万元/年初预算数</w:t>
      </w:r>
      <w:r>
        <w:rPr>
          <w:rFonts w:hint="eastAsia" w:ascii="仿宋_GB2312" w:hAnsi="仿宋_GB2312" w:eastAsia="仿宋_GB2312" w:cs="仿宋_GB2312"/>
          <w:kern w:val="0"/>
          <w:sz w:val="32"/>
          <w:szCs w:val="32"/>
        </w:rPr>
        <w:t>196.76</w:t>
      </w:r>
      <w:r>
        <w:rPr>
          <w:rFonts w:ascii="仿宋_GB2312" w:hAnsi="仿宋_GB2312" w:eastAsia="仿宋_GB2312" w:cs="仿宋_GB2312"/>
          <w:kern w:val="0"/>
          <w:sz w:val="32"/>
          <w:szCs w:val="32"/>
        </w:rPr>
        <w:t>万元）*100%，</w:t>
      </w:r>
      <w:r>
        <w:rPr>
          <w:rFonts w:hint="eastAsia" w:ascii="仿宋_GB2312" w:hAnsi="仿宋_GB2312" w:eastAsia="仿宋_GB2312" w:cs="仿宋_GB2312"/>
          <w:kern w:val="0"/>
          <w:sz w:val="32"/>
          <w:szCs w:val="32"/>
        </w:rPr>
        <w:t>等于0</w:t>
      </w:r>
      <w:r>
        <w:rPr>
          <w:rFonts w:ascii="仿宋_GB2312" w:hAnsi="仿宋_GB2312" w:eastAsia="仿宋_GB2312" w:cs="仿宋_GB2312"/>
          <w:kern w:val="0"/>
          <w:sz w:val="32"/>
          <w:szCs w:val="32"/>
        </w:rPr>
        <w:t>，得</w:t>
      </w: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结转结余率=（结转结余总额4.68万元/支出预算数196.76万元）*100%，等于2.3%，结转结余率在0-5%之间的得分=（50%-结转结余率2.3%）/50%*该指标分值3，等于2.9，得分2.9分。</w:t>
      </w:r>
    </w:p>
    <w:p>
      <w:pPr>
        <w:widowControl/>
        <w:shd w:val="clear" w:color="auto" w:fill="FFFFFF"/>
        <w:spacing w:line="480" w:lineRule="auto"/>
        <w:ind w:firstLine="48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（4）公用经费控制率=（实际支出公用经费总额1.76万元/预算安排公用经费总额10.29万元）*100%，等于171%，100%以下（含）计满分，得分8分。</w:t>
      </w:r>
    </w:p>
    <w:p>
      <w:pPr>
        <w:widowControl/>
        <w:shd w:val="clear" w:color="auto" w:fill="FFFFFF"/>
        <w:spacing w:line="480" w:lineRule="auto"/>
        <w:ind w:firstLine="48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（5）“三公经费控制率”=（“三公经费”实际支出数0.7万元/“三公经费”控制数6.237万元）*100%，等于11%，100%以下（含）计满分，得分8分。</w:t>
      </w:r>
    </w:p>
    <w:p>
      <w:pPr>
        <w:widowControl/>
        <w:shd w:val="clear" w:color="auto" w:fill="FFFFFF"/>
        <w:spacing w:line="480" w:lineRule="auto"/>
        <w:ind w:firstLine="48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（6）我单位无非税收入，所以非税收入管理和非税收入完成率为0分。</w:t>
      </w:r>
    </w:p>
    <w:p>
      <w:pPr>
        <w:widowControl/>
        <w:shd w:val="clear" w:color="auto" w:fill="FFFFFF"/>
        <w:spacing w:line="480" w:lineRule="auto"/>
        <w:ind w:firstLine="48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（7）政府采购执行率=（实际政府采购金额0万元/应实行政府采购金额0万元）*100%，100%以下（含）计满分，得分6分。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3. 预算管理较理想，制度执行总体较为有效。得</w:t>
      </w: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2分。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（1）管理制度健全性得</w:t>
      </w:r>
      <w:r>
        <w:rPr>
          <w:rFonts w:hint="eastAsia" w:ascii="仿宋_GB2312" w:hAnsi="仿宋_GB2312" w:eastAsia="仿宋_GB2312" w:cs="仿宋_GB2312"/>
          <w:kern w:val="0"/>
          <w:sz w:val="32"/>
          <w:szCs w:val="32"/>
        </w:rPr>
        <w:t>9</w:t>
      </w:r>
      <w:r>
        <w:rPr>
          <w:rFonts w:ascii="仿宋_GB2312" w:hAnsi="仿宋_GB2312" w:eastAsia="仿宋_GB2312" w:cs="仿宋_GB2312"/>
          <w:kern w:val="0"/>
          <w:sz w:val="32"/>
          <w:szCs w:val="32"/>
        </w:rPr>
        <w:t>分：①有内部财务管理制度、内部控制制度、会计核算制度等管理制度，2分；②</w:t>
      </w:r>
      <w:r>
        <w:rPr>
          <w:rFonts w:hint="eastAsia" w:ascii="仿宋_GB2312" w:hAnsi="仿宋_GB2312" w:eastAsia="仿宋_GB2312" w:cs="仿宋_GB2312"/>
          <w:kern w:val="0"/>
          <w:sz w:val="32"/>
          <w:szCs w:val="32"/>
        </w:rPr>
        <w:t>会计人员持证上岗，1分；③</w:t>
      </w:r>
      <w:r>
        <w:rPr>
          <w:rFonts w:ascii="仿宋_GB2312" w:hAnsi="仿宋_GB2312" w:eastAsia="仿宋_GB2312" w:cs="仿宋_GB2312"/>
          <w:kern w:val="0"/>
          <w:sz w:val="32"/>
          <w:szCs w:val="32"/>
        </w:rPr>
        <w:t>有本部门厉行节约制度，2分；④相关管理制度合法、合规、完整，2分；⑤管理制度得到有效执行，并有考核制度，2分。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资金使用合规性得6分：本年度支出的所有资金均由县财政局国库支付，支出符合国家财经法规和财务管理制度规定以及有关专项资金管理办法的规定；资金拨付有完整的审批程序和手续；项目支出按规定经过评估论证；支出符合部门预算批复的用途；资金使用无截留、挤占、挪用、虚列支出等情况。</w:t>
      </w:r>
    </w:p>
    <w:p>
      <w:pPr>
        <w:widowControl/>
        <w:shd w:val="clear" w:color="auto" w:fill="FFFFFF"/>
        <w:spacing w:line="480" w:lineRule="auto"/>
        <w:ind w:firstLine="48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（3）会计资料报送的及时性得2分：按县财政相关要求，及时报送预算报表、部门预算，绩效目标、自评报告及其他资料，2分。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4</w:t>
      </w:r>
      <w:r>
        <w:rPr>
          <w:rFonts w:ascii="仿宋_GB2312" w:hAnsi="仿宋_GB2312" w:eastAsia="仿宋_GB2312" w:cs="仿宋_GB2312"/>
          <w:kern w:val="0"/>
          <w:sz w:val="32"/>
          <w:szCs w:val="32"/>
        </w:rPr>
        <w:t>）预决算信息公开性得5分：一是按规定在县政府门户网站公开信息；二是基础数据信息和会计信息资料真实、完整、准确。</w:t>
      </w:r>
    </w:p>
    <w:p>
      <w:pPr>
        <w:widowControl/>
        <w:shd w:val="clear" w:color="auto" w:fill="FFFFFF"/>
        <w:spacing w:line="480" w:lineRule="auto"/>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4.资产管理得8分</w:t>
      </w:r>
    </w:p>
    <w:p>
      <w:pPr>
        <w:ind w:firstLine="480" w:firstLineChars="15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资产管理完整性得4分：1.资产保存完整；是否有专人保管2.资产账务管理是否合规，帐实相符；3.通用办公设备和办公家具等资产实物量是否超标：4.资产有偿使用及处置收入及时足额上缴；固定资产报废是否有完善的制度。报废处置是否合规。5.单位资产管理制度是否健全、完整、合法。6、单位房产等重大资产是否违规或低价对外出租，房屋等重大资产处置收入是否按照要求收支两条线管理和使用。根据符合情况打分。一项不符扣1分。</w:t>
      </w:r>
    </w:p>
    <w:p>
      <w:pPr>
        <w:ind w:firstLine="480" w:firstLineChars="15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固定资产登记率通过抽查盘点得2分：确定我单位账面固定资产总额与实际固定资产总额的比率，用以反映和评价我单位固定资产登记管理情况。固定资产登记率=（实际固定资产总额/账面固定资产总额）×100%</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固定资产利用率得2分：通过抽查盘点，确定我单位实际在用固定资产总额与实际固定资产总额的比率，用以反映和评价我单位固定资产使用效率。固定资产利用率=（实际在用固定资产总额/实际固定资产总额）×100%。</w:t>
      </w:r>
    </w:p>
    <w:p>
      <w:pPr>
        <w:widowControl/>
        <w:shd w:val="clear" w:color="auto" w:fill="FFFFFF"/>
        <w:spacing w:line="480" w:lineRule="auto"/>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r>
        <w:rPr>
          <w:rFonts w:ascii="仿宋_GB2312" w:hAnsi="仿宋_GB2312" w:eastAsia="仿宋_GB2312" w:cs="仿宋_GB2312"/>
          <w:kern w:val="0"/>
          <w:sz w:val="32"/>
          <w:szCs w:val="32"/>
        </w:rPr>
        <w:t>.职责履行得8分：20</w:t>
      </w:r>
      <w:r>
        <w:rPr>
          <w:rFonts w:hint="eastAsia" w:ascii="仿宋_GB2312" w:hAnsi="仿宋_GB2312" w:eastAsia="仿宋_GB2312" w:cs="仿宋_GB2312"/>
          <w:kern w:val="0"/>
          <w:sz w:val="32"/>
          <w:szCs w:val="32"/>
        </w:rPr>
        <w:t>22</w:t>
      </w:r>
      <w:r>
        <w:rPr>
          <w:rFonts w:ascii="仿宋_GB2312" w:hAnsi="仿宋_GB2312" w:eastAsia="仿宋_GB2312" w:cs="仿宋_GB2312"/>
          <w:kern w:val="0"/>
          <w:sz w:val="32"/>
          <w:szCs w:val="32"/>
        </w:rPr>
        <w:t>年我单位在全体干部职工的共同努力下圆满出色完成了各项工作目标和任务。</w:t>
      </w:r>
    </w:p>
    <w:p>
      <w:pPr>
        <w:widowControl/>
        <w:shd w:val="clear" w:color="auto" w:fill="FFFFFF"/>
        <w:spacing w:line="480" w:lineRule="auto"/>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w:t>
      </w:r>
      <w:r>
        <w:rPr>
          <w:rFonts w:ascii="仿宋_GB2312" w:hAnsi="仿宋_GB2312" w:eastAsia="仿宋_GB2312" w:cs="仿宋_GB2312"/>
          <w:kern w:val="0"/>
          <w:sz w:val="32"/>
          <w:szCs w:val="32"/>
        </w:rPr>
        <w:t>.履职效益得</w:t>
      </w:r>
      <w:r>
        <w:rPr>
          <w:rFonts w:hint="eastAsia" w:ascii="仿宋_GB2312" w:hAnsi="仿宋_GB2312" w:eastAsia="仿宋_GB2312" w:cs="仿宋_GB2312"/>
          <w:kern w:val="0"/>
          <w:sz w:val="32"/>
          <w:szCs w:val="32"/>
        </w:rPr>
        <w:t>12</w:t>
      </w:r>
      <w:r>
        <w:rPr>
          <w:rFonts w:ascii="仿宋_GB2312" w:hAnsi="仿宋_GB2312" w:eastAsia="仿宋_GB2312" w:cs="仿宋_GB2312"/>
          <w:kern w:val="0"/>
          <w:sz w:val="32"/>
          <w:szCs w:val="32"/>
        </w:rPr>
        <w:t>分。</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（1）社会效益得分</w:t>
      </w:r>
      <w:r>
        <w:rPr>
          <w:rFonts w:hint="eastAsia" w:ascii="仿宋_GB2312" w:hAnsi="仿宋_GB2312" w:eastAsia="仿宋_GB2312" w:cs="仿宋_GB2312"/>
          <w:kern w:val="0"/>
          <w:sz w:val="32"/>
          <w:szCs w:val="32"/>
        </w:rPr>
        <w:t>2分</w:t>
      </w:r>
      <w:r>
        <w:rPr>
          <w:rFonts w:ascii="仿宋_GB2312" w:hAnsi="仿宋_GB2312" w:eastAsia="仿宋_GB2312" w:cs="仿宋_GB2312"/>
          <w:kern w:val="0"/>
          <w:sz w:val="32"/>
          <w:szCs w:val="32"/>
        </w:rPr>
        <w:t>：我单位的各方面工作都得到社会大众的肯定和好评。</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（2）行政效能得</w:t>
      </w:r>
      <w:r>
        <w:rPr>
          <w:rFonts w:hint="eastAsia" w:ascii="仿宋_GB2312" w:hAnsi="仿宋_GB2312" w:eastAsia="仿宋_GB2312" w:cs="仿宋_GB2312"/>
          <w:kern w:val="0"/>
          <w:sz w:val="32"/>
          <w:szCs w:val="32"/>
        </w:rPr>
        <w:t>4</w:t>
      </w:r>
      <w:r>
        <w:rPr>
          <w:rFonts w:ascii="仿宋_GB2312" w:hAnsi="仿宋_GB2312" w:eastAsia="仿宋_GB2312" w:cs="仿宋_GB2312"/>
          <w:kern w:val="0"/>
          <w:sz w:val="32"/>
          <w:szCs w:val="32"/>
        </w:rPr>
        <w:t>分：我单位不断改善行政管理、严格经费及资产管理，改进文风会风，精简会议，提高了行政效率，降低了行政成本。</w:t>
      </w:r>
    </w:p>
    <w:p>
      <w:pPr>
        <w:widowControl/>
        <w:shd w:val="clear" w:color="auto" w:fill="FFFFFF"/>
        <w:spacing w:line="480" w:lineRule="auto"/>
        <w:ind w:firstLine="48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（3）社会公众或服务对象满意度得6分：在年度绩效考核中成绩优异。</w:t>
      </w:r>
    </w:p>
    <w:p>
      <w:pPr>
        <w:widowControl/>
        <w:spacing w:line="610" w:lineRule="exact"/>
        <w:ind w:firstLine="640" w:firstLineChars="200"/>
        <w:rPr>
          <w:rFonts w:ascii="黑体" w:hAnsi="黑体" w:eastAsia="黑体" w:cs="黑体"/>
          <w:color w:val="010101"/>
          <w:kern w:val="0"/>
          <w:sz w:val="32"/>
          <w:szCs w:val="32"/>
        </w:rPr>
      </w:pPr>
      <w:r>
        <w:rPr>
          <w:rFonts w:hint="eastAsia" w:ascii="黑体" w:hAnsi="黑体" w:eastAsia="黑体" w:cs="黑体"/>
          <w:color w:val="010101"/>
          <w:kern w:val="0"/>
          <w:sz w:val="32"/>
          <w:szCs w:val="32"/>
        </w:rPr>
        <w:t>六、存在的主要问题改进措施</w:t>
      </w:r>
    </w:p>
    <w:p>
      <w:pPr>
        <w:widowControl/>
        <w:spacing w:line="610" w:lineRule="exact"/>
        <w:ind w:firstLine="640" w:firstLineChars="200"/>
        <w:rPr>
          <w:rFonts w:ascii="仿宋_GB2312" w:hAnsi="仿宋_GB2312" w:eastAsia="仿宋_GB2312" w:cs="仿宋_GB2312"/>
          <w:color w:val="010101"/>
          <w:kern w:val="0"/>
          <w:sz w:val="32"/>
          <w:szCs w:val="32"/>
        </w:rPr>
      </w:pPr>
      <w:r>
        <w:rPr>
          <w:rFonts w:hint="eastAsia" w:ascii="仿宋_GB2312" w:hAnsi="仿宋_GB2312" w:eastAsia="仿宋_GB2312" w:cs="仿宋_GB2312"/>
          <w:color w:val="010101"/>
          <w:kern w:val="0"/>
          <w:sz w:val="32"/>
          <w:szCs w:val="32"/>
        </w:rPr>
        <w:t>我单位主要负责城市生活无着流浪乞讨人员、流浪精神病患人员救助救治</w:t>
      </w:r>
      <w:r>
        <w:rPr>
          <w:rFonts w:hint="eastAsia" w:ascii="仿宋_GB2312" w:hAnsi="仿宋_GB2312" w:eastAsia="仿宋_GB2312" w:cs="仿宋_GB2312"/>
          <w:sz w:val="32"/>
          <w:szCs w:val="32"/>
        </w:rPr>
        <w:t>及留守儿童关爱保护</w:t>
      </w:r>
      <w:r>
        <w:rPr>
          <w:rFonts w:hint="eastAsia" w:ascii="仿宋_GB2312" w:hAnsi="仿宋_GB2312" w:eastAsia="仿宋_GB2312" w:cs="仿宋_GB2312"/>
          <w:color w:val="010101"/>
          <w:kern w:val="0"/>
          <w:sz w:val="32"/>
          <w:szCs w:val="32"/>
        </w:rPr>
        <w:t>工作，求助人员来自全国各地，身份复杂，在提供乘车凭证和救助途中生活费方面存在标准不一的现象。</w:t>
      </w:r>
    </w:p>
    <w:p>
      <w:pPr>
        <w:widowControl/>
        <w:spacing w:line="610" w:lineRule="exact"/>
        <w:ind w:firstLine="640" w:firstLineChars="200"/>
        <w:rPr>
          <w:rFonts w:ascii="黑体" w:hAnsi="黑体" w:eastAsia="黑体" w:cs="黑体"/>
          <w:color w:val="010101"/>
          <w:kern w:val="0"/>
          <w:sz w:val="32"/>
          <w:szCs w:val="32"/>
        </w:rPr>
      </w:pPr>
      <w:r>
        <w:rPr>
          <w:rFonts w:hint="eastAsia" w:ascii="黑体" w:hAnsi="黑体" w:eastAsia="黑体" w:cs="黑体"/>
          <w:color w:val="010101"/>
          <w:kern w:val="0"/>
          <w:sz w:val="32"/>
          <w:szCs w:val="32"/>
        </w:rPr>
        <w:t>七、改进措施</w:t>
      </w:r>
    </w:p>
    <w:p>
      <w:pPr>
        <w:widowControl/>
        <w:spacing w:line="610" w:lineRule="exact"/>
        <w:ind w:firstLine="640" w:firstLineChars="200"/>
        <w:rPr>
          <w:rFonts w:ascii="仿宋_GB2312" w:hAnsi="仿宋_GB2312" w:eastAsia="仿宋_GB2312" w:cs="仿宋_GB2312"/>
          <w:color w:val="010101"/>
          <w:kern w:val="0"/>
          <w:sz w:val="32"/>
          <w:szCs w:val="32"/>
        </w:rPr>
      </w:pPr>
      <w:r>
        <w:rPr>
          <w:rFonts w:hint="eastAsia" w:ascii="仿宋_GB2312" w:hAnsi="仿宋_GB2312" w:eastAsia="仿宋_GB2312" w:cs="仿宋_GB2312"/>
          <w:color w:val="010101"/>
          <w:kern w:val="0"/>
          <w:sz w:val="32"/>
          <w:szCs w:val="32"/>
        </w:rPr>
        <w:t>对于存在的问题，我们要做到及时纠正，及时整改，今后我们将加大甄别力度，制度可行的基本标准，每项资金根据实际情况进行量化、细化，确保专项资金分配公开透明、公平合理。建立全过程预算绩效管理机制，提升救助资金使用的社会效益。资金的预算、分配、发放、使用做到公开公示，接受社会群众监督。</w:t>
      </w:r>
    </w:p>
    <w:p>
      <w:pPr>
        <w:widowControl/>
        <w:spacing w:line="610" w:lineRule="exact"/>
        <w:ind w:firstLine="640" w:firstLineChars="200"/>
        <w:rPr>
          <w:rFonts w:ascii="黑体" w:hAnsi="黑体" w:eastAsia="黑体" w:cs="黑体"/>
          <w:color w:val="010101"/>
          <w:kern w:val="0"/>
          <w:sz w:val="32"/>
          <w:szCs w:val="32"/>
        </w:rPr>
      </w:pPr>
    </w:p>
    <w:p>
      <w:pPr>
        <w:widowControl/>
        <w:spacing w:line="610" w:lineRule="exact"/>
        <w:ind w:firstLine="640" w:firstLineChars="200"/>
        <w:rPr>
          <w:rFonts w:ascii="仿宋_GB2312" w:hAnsi="仿宋_GB2312" w:eastAsia="仿宋_GB2312" w:cs="仿宋_GB2312"/>
          <w:sz w:val="32"/>
          <w:szCs w:val="32"/>
        </w:rPr>
      </w:pPr>
    </w:p>
    <w:p>
      <w:pPr>
        <w:spacing w:line="610" w:lineRule="exact"/>
        <w:ind w:firstLine="640" w:firstLineChars="200"/>
        <w:rPr>
          <w:rFonts w:ascii="仿宋_GB2312" w:hAnsi="仿宋_GB2312" w:eastAsia="仿宋_GB2312" w:cs="仿宋_GB2312"/>
          <w:sz w:val="32"/>
          <w:szCs w:val="32"/>
        </w:rPr>
      </w:pPr>
    </w:p>
    <w:p>
      <w:pPr>
        <w:spacing w:line="610" w:lineRule="exact"/>
        <w:ind w:firstLine="4800" w:firstLineChars="1500"/>
        <w:rPr>
          <w:rFonts w:ascii="仿宋_GB2312" w:hAnsi="仿宋_GB2312" w:eastAsia="仿宋_GB2312" w:cs="仿宋_GB2312"/>
          <w:sz w:val="32"/>
          <w:szCs w:val="32"/>
        </w:rPr>
      </w:pPr>
      <w:r>
        <w:rPr>
          <w:rFonts w:hint="eastAsia" w:ascii="仿宋_GB2312" w:hAnsi="仿宋_GB2312" w:eastAsia="仿宋_GB2312" w:cs="仿宋_GB2312"/>
          <w:sz w:val="32"/>
          <w:szCs w:val="32"/>
        </w:rPr>
        <w:t>二0二三年二月二十八日</w:t>
      </w:r>
    </w:p>
    <w:sectPr>
      <w:pgSz w:w="11906" w:h="16838"/>
      <w:pgMar w:top="2154" w:right="1700" w:bottom="1701" w:left="156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D63EB1"/>
    <w:rsid w:val="00005F1D"/>
    <w:rsid w:val="000113E3"/>
    <w:rsid w:val="00016F93"/>
    <w:rsid w:val="00022C11"/>
    <w:rsid w:val="00026587"/>
    <w:rsid w:val="0005332B"/>
    <w:rsid w:val="0006673F"/>
    <w:rsid w:val="0007019C"/>
    <w:rsid w:val="000755C2"/>
    <w:rsid w:val="000818A1"/>
    <w:rsid w:val="000A5602"/>
    <w:rsid w:val="000B23FC"/>
    <w:rsid w:val="000D0CD7"/>
    <w:rsid w:val="000E7AB0"/>
    <w:rsid w:val="00101589"/>
    <w:rsid w:val="001144D0"/>
    <w:rsid w:val="001173AC"/>
    <w:rsid w:val="00131A32"/>
    <w:rsid w:val="0015304F"/>
    <w:rsid w:val="00153E47"/>
    <w:rsid w:val="001565F4"/>
    <w:rsid w:val="00160F02"/>
    <w:rsid w:val="0017464D"/>
    <w:rsid w:val="001873FD"/>
    <w:rsid w:val="001A1DD8"/>
    <w:rsid w:val="001B4150"/>
    <w:rsid w:val="00200592"/>
    <w:rsid w:val="00212244"/>
    <w:rsid w:val="00212A92"/>
    <w:rsid w:val="00232E29"/>
    <w:rsid w:val="002815A7"/>
    <w:rsid w:val="00286793"/>
    <w:rsid w:val="002C5CE7"/>
    <w:rsid w:val="002C7D33"/>
    <w:rsid w:val="002E49F4"/>
    <w:rsid w:val="00326FDA"/>
    <w:rsid w:val="00327DCD"/>
    <w:rsid w:val="00334CF3"/>
    <w:rsid w:val="003468D1"/>
    <w:rsid w:val="00370DEF"/>
    <w:rsid w:val="00396408"/>
    <w:rsid w:val="003C0025"/>
    <w:rsid w:val="003D1F11"/>
    <w:rsid w:val="00401225"/>
    <w:rsid w:val="00407FA8"/>
    <w:rsid w:val="00414983"/>
    <w:rsid w:val="00416437"/>
    <w:rsid w:val="00430F23"/>
    <w:rsid w:val="00436698"/>
    <w:rsid w:val="004411FC"/>
    <w:rsid w:val="00460CAA"/>
    <w:rsid w:val="00460F67"/>
    <w:rsid w:val="00470A8A"/>
    <w:rsid w:val="00494927"/>
    <w:rsid w:val="004C4690"/>
    <w:rsid w:val="004D0F1F"/>
    <w:rsid w:val="004D5E30"/>
    <w:rsid w:val="004D71F1"/>
    <w:rsid w:val="00523EE5"/>
    <w:rsid w:val="00537C49"/>
    <w:rsid w:val="00545D6B"/>
    <w:rsid w:val="0059100C"/>
    <w:rsid w:val="005937B2"/>
    <w:rsid w:val="005B1015"/>
    <w:rsid w:val="005B72AC"/>
    <w:rsid w:val="005C3CBA"/>
    <w:rsid w:val="005D0521"/>
    <w:rsid w:val="005D185A"/>
    <w:rsid w:val="005D5579"/>
    <w:rsid w:val="005E54DC"/>
    <w:rsid w:val="005F5328"/>
    <w:rsid w:val="0060352E"/>
    <w:rsid w:val="00625E9D"/>
    <w:rsid w:val="006436CA"/>
    <w:rsid w:val="00657921"/>
    <w:rsid w:val="006968D3"/>
    <w:rsid w:val="006A7B51"/>
    <w:rsid w:val="006B2EC9"/>
    <w:rsid w:val="006C0317"/>
    <w:rsid w:val="006C5F10"/>
    <w:rsid w:val="006F1496"/>
    <w:rsid w:val="007002EA"/>
    <w:rsid w:val="00720461"/>
    <w:rsid w:val="00734B2B"/>
    <w:rsid w:val="00765B4C"/>
    <w:rsid w:val="007C0776"/>
    <w:rsid w:val="007C7C0E"/>
    <w:rsid w:val="007D04DD"/>
    <w:rsid w:val="007E2633"/>
    <w:rsid w:val="00814BBE"/>
    <w:rsid w:val="00815EA2"/>
    <w:rsid w:val="00830473"/>
    <w:rsid w:val="00834166"/>
    <w:rsid w:val="00834A2F"/>
    <w:rsid w:val="0085031D"/>
    <w:rsid w:val="00863879"/>
    <w:rsid w:val="00871AD0"/>
    <w:rsid w:val="008B0D17"/>
    <w:rsid w:val="008E28CD"/>
    <w:rsid w:val="00911BB1"/>
    <w:rsid w:val="00931A89"/>
    <w:rsid w:val="00933D40"/>
    <w:rsid w:val="00952158"/>
    <w:rsid w:val="00995C59"/>
    <w:rsid w:val="009A60D3"/>
    <w:rsid w:val="009A6867"/>
    <w:rsid w:val="009D08B6"/>
    <w:rsid w:val="009F08E1"/>
    <w:rsid w:val="00A01968"/>
    <w:rsid w:val="00A02FAE"/>
    <w:rsid w:val="00A0348E"/>
    <w:rsid w:val="00A20380"/>
    <w:rsid w:val="00A376A0"/>
    <w:rsid w:val="00A535C2"/>
    <w:rsid w:val="00A8660B"/>
    <w:rsid w:val="00A97087"/>
    <w:rsid w:val="00AB146E"/>
    <w:rsid w:val="00AB1D7D"/>
    <w:rsid w:val="00AF1EFF"/>
    <w:rsid w:val="00B0143E"/>
    <w:rsid w:val="00B03DBA"/>
    <w:rsid w:val="00B057DC"/>
    <w:rsid w:val="00B53F41"/>
    <w:rsid w:val="00B9705A"/>
    <w:rsid w:val="00BA7E63"/>
    <w:rsid w:val="00BD441D"/>
    <w:rsid w:val="00BF23E9"/>
    <w:rsid w:val="00BF6D8A"/>
    <w:rsid w:val="00C0697A"/>
    <w:rsid w:val="00C12384"/>
    <w:rsid w:val="00C32C61"/>
    <w:rsid w:val="00C33B6E"/>
    <w:rsid w:val="00C3608C"/>
    <w:rsid w:val="00C44652"/>
    <w:rsid w:val="00C757F1"/>
    <w:rsid w:val="00C8131D"/>
    <w:rsid w:val="00C861DD"/>
    <w:rsid w:val="00D0333C"/>
    <w:rsid w:val="00D11D79"/>
    <w:rsid w:val="00D13C08"/>
    <w:rsid w:val="00D32CDB"/>
    <w:rsid w:val="00D44565"/>
    <w:rsid w:val="00D45D09"/>
    <w:rsid w:val="00D50F4D"/>
    <w:rsid w:val="00D60E82"/>
    <w:rsid w:val="00D63EB1"/>
    <w:rsid w:val="00D72190"/>
    <w:rsid w:val="00D80F68"/>
    <w:rsid w:val="00DC0E42"/>
    <w:rsid w:val="00DD1667"/>
    <w:rsid w:val="00DD22B4"/>
    <w:rsid w:val="00E55909"/>
    <w:rsid w:val="00E6230D"/>
    <w:rsid w:val="00E64662"/>
    <w:rsid w:val="00E876A8"/>
    <w:rsid w:val="00E90F33"/>
    <w:rsid w:val="00E952A0"/>
    <w:rsid w:val="00EA2273"/>
    <w:rsid w:val="00EC03DB"/>
    <w:rsid w:val="00EC0A7A"/>
    <w:rsid w:val="00EE58A2"/>
    <w:rsid w:val="00EE6034"/>
    <w:rsid w:val="00F24AD5"/>
    <w:rsid w:val="00F267F1"/>
    <w:rsid w:val="00F460BC"/>
    <w:rsid w:val="00F5021C"/>
    <w:rsid w:val="00F665FF"/>
    <w:rsid w:val="00F73D2D"/>
    <w:rsid w:val="00F94CF5"/>
    <w:rsid w:val="00FA4CBA"/>
    <w:rsid w:val="00FB59CC"/>
    <w:rsid w:val="00FC7777"/>
    <w:rsid w:val="00FC7A6A"/>
    <w:rsid w:val="00FE2090"/>
    <w:rsid w:val="00FE7703"/>
    <w:rsid w:val="32FB2210"/>
    <w:rsid w:val="501135F4"/>
    <w:rsid w:val="50B34436"/>
    <w:rsid w:val="693D05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rPr>
      <w:rFonts w:ascii="Times New Roman" w:hAnsi="Times New Roman" w:cs="Times New Roman"/>
      <w:sz w:val="24"/>
      <w:szCs w:val="24"/>
    </w:rPr>
  </w:style>
  <w:style w:type="character" w:customStyle="1" w:styleId="7">
    <w:name w:val="页眉 Char"/>
    <w:basedOn w:val="6"/>
    <w:link w:val="3"/>
    <w:qFormat/>
    <w:uiPriority w:val="0"/>
    <w:rPr>
      <w:rFonts w:ascii="Calibri" w:hAnsi="Calibri" w:cs="Calibri"/>
      <w:kern w:val="2"/>
      <w:sz w:val="18"/>
      <w:szCs w:val="18"/>
    </w:rPr>
  </w:style>
  <w:style w:type="character" w:customStyle="1" w:styleId="8">
    <w:name w:val="页脚 Char"/>
    <w:basedOn w:val="6"/>
    <w:link w:val="2"/>
    <w:uiPriority w:val="0"/>
    <w:rPr>
      <w:rFonts w:ascii="Calibri" w:hAnsi="Calibri" w:cs="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3156</Words>
  <Characters>3399</Characters>
  <Lines>24</Lines>
  <Paragraphs>6</Paragraphs>
  <TotalTime>41</TotalTime>
  <ScaleCrop>false</ScaleCrop>
  <LinksUpToDate>false</LinksUpToDate>
  <CharactersWithSpaces>3425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2023-02-28T08:48:00Z</dcterms:created>
  <dc:creator>xp</dc:creator>
  <cp:lastModifiedBy>Administrator</cp:lastModifiedBy>
  <dcterms:modified xsi:type="dcterms:W3CDTF">2023-05-22T03:52:01Z</dcterms:modified>
  <dc:title>文化执法局部门整体支出绩效自评报告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864D84A9F0DE42BBB2F01B00A55DEEC8_12</vt:lpwstr>
  </property>
</Properties>
</file>