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hd w:val="clear" w:color="auto" w:fill="FFFFFF"/>
        <w:spacing w:before="0" w:beforeAutospacing="0" w:after="0" w:afterAutospacing="0" w:line="640" w:lineRule="exact"/>
        <w:jc w:val="center"/>
        <w:rPr>
          <w:rFonts w:hint="eastAsia" w:ascii="方正大标宋简体" w:hAnsi="方正大标宋简体" w:eastAsia="方正大标宋简体" w:cs="方正大标宋简体"/>
          <w:color w:val="333333"/>
          <w:sz w:val="44"/>
          <w:szCs w:val="44"/>
          <w:lang w:val="en-US" w:eastAsia="zh-CN"/>
        </w:rPr>
      </w:pPr>
      <w:r>
        <w:rPr>
          <w:rFonts w:hint="eastAsia" w:ascii="方正大标宋简体" w:hAnsi="方正大标宋简体" w:eastAsia="方正大标宋简体" w:cs="方正大标宋简体"/>
          <w:color w:val="333333"/>
          <w:sz w:val="44"/>
          <w:szCs w:val="44"/>
          <w:lang w:val="en-US" w:eastAsia="zh-CN"/>
        </w:rPr>
        <w:t>溆浦县畜牧水产事务中心</w:t>
      </w:r>
    </w:p>
    <w:p>
      <w:pPr>
        <w:pStyle w:val="7"/>
        <w:shd w:val="clear" w:color="auto" w:fill="FFFFFF"/>
        <w:spacing w:before="0" w:beforeAutospacing="0" w:after="0" w:afterAutospacing="0" w:line="640" w:lineRule="exact"/>
        <w:jc w:val="center"/>
        <w:rPr>
          <w:rFonts w:hint="eastAsia" w:ascii="方正大标宋简体" w:hAnsi="方正大标宋简体" w:eastAsia="方正大标宋简体" w:cs="方正大标宋简体"/>
          <w:b/>
          <w:bCs/>
          <w:color w:val="333333"/>
          <w:sz w:val="44"/>
          <w:szCs w:val="44"/>
          <w:lang w:val="en-US" w:eastAsia="zh-CN"/>
        </w:rPr>
      </w:pPr>
      <w:r>
        <w:rPr>
          <w:rFonts w:hint="eastAsia" w:ascii="方正大标宋简体" w:hAnsi="方正大标宋简体" w:eastAsia="方正大标宋简体" w:cs="方正大标宋简体"/>
          <w:color w:val="333333"/>
          <w:sz w:val="44"/>
          <w:szCs w:val="44"/>
          <w:lang w:val="en-US" w:eastAsia="zh-CN"/>
        </w:rPr>
        <w:t>2022年整体支出绩效自评报告</w:t>
      </w:r>
    </w:p>
    <w:p>
      <w:pPr>
        <w:pStyle w:val="7"/>
        <w:widowControl w:val="0"/>
        <w:shd w:val="clear" w:color="auto" w:fill="FFFFFF"/>
        <w:spacing w:before="0" w:beforeAutospacing="0" w:after="0" w:afterAutospacing="0" w:line="580" w:lineRule="exact"/>
        <w:ind w:firstLine="420" w:firstLineChars="200"/>
        <w:jc w:val="both"/>
        <w:rPr>
          <w:rFonts w:ascii="Calibri" w:hAnsi="Calibri"/>
          <w:color w:val="333333"/>
          <w:sz w:val="21"/>
          <w:szCs w:val="21"/>
        </w:rPr>
      </w:pPr>
      <w:r>
        <w:rPr>
          <w:rFonts w:ascii="Calibri" w:hAnsi="Calibri"/>
          <w:color w:val="333333"/>
          <w:sz w:val="21"/>
          <w:szCs w:val="21"/>
        </w:rPr>
        <w:t> </w:t>
      </w:r>
    </w:p>
    <w:p>
      <w:pPr>
        <w:pStyle w:val="7"/>
        <w:widowControl w:val="0"/>
        <w:shd w:val="clear" w:color="auto" w:fill="FFFFFF"/>
        <w:spacing w:before="0" w:beforeAutospacing="0" w:after="0" w:afterAutospacing="0" w:line="580" w:lineRule="exact"/>
        <w:ind w:firstLine="643" w:firstLineChars="200"/>
        <w:jc w:val="both"/>
        <w:rPr>
          <w:rFonts w:ascii="黑体" w:hAnsi="黑体" w:eastAsia="黑体" w:cs="黑体"/>
          <w:b/>
          <w:bCs/>
          <w:color w:val="333333"/>
          <w:sz w:val="32"/>
          <w:szCs w:val="32"/>
        </w:rPr>
      </w:pPr>
      <w:r>
        <w:rPr>
          <w:rFonts w:hint="eastAsia" w:ascii="黑体" w:hAnsi="黑体" w:eastAsia="黑体" w:cs="黑体"/>
          <w:b/>
          <w:bCs/>
          <w:color w:val="333333"/>
          <w:sz w:val="32"/>
          <w:szCs w:val="32"/>
        </w:rPr>
        <w:t>一、部门概况</w:t>
      </w:r>
    </w:p>
    <w:p>
      <w:pPr>
        <w:pStyle w:val="7"/>
        <w:widowControl w:val="0"/>
        <w:shd w:val="clear" w:color="auto" w:fill="FFFFFF"/>
        <w:spacing w:before="0" w:beforeAutospacing="0" w:after="0" w:afterAutospacing="0" w:line="580" w:lineRule="exact"/>
        <w:ind w:firstLine="643" w:firstLineChars="200"/>
        <w:jc w:val="both"/>
        <w:rPr>
          <w:rFonts w:ascii="仿宋_GB2312" w:hAnsi="仿宋_GB2312" w:eastAsia="仿宋_GB2312" w:cs="仿宋_GB2312"/>
          <w:b/>
          <w:color w:val="333333"/>
          <w:sz w:val="32"/>
          <w:szCs w:val="32"/>
        </w:rPr>
      </w:pPr>
      <w:r>
        <w:rPr>
          <w:rFonts w:hint="eastAsia" w:ascii="楷体_GB2312" w:hAnsi="Times New Roman" w:eastAsia="楷体_GB2312" w:cs="Times New Roman"/>
          <w:b/>
          <w:kern w:val="2"/>
          <w:sz w:val="32"/>
          <w:szCs w:val="32"/>
          <w:lang w:val="en-US" w:eastAsia="zh-CN" w:bidi="ar-SA"/>
        </w:rPr>
        <w:t>（一）部门基本情况</w:t>
      </w:r>
    </w:p>
    <w:p>
      <w:pPr>
        <w:pStyle w:val="7"/>
        <w:widowControl w:val="0"/>
        <w:shd w:val="clear" w:color="auto" w:fill="FFFFFF"/>
        <w:spacing w:before="0" w:beforeAutospacing="0" w:after="0" w:afterAutospacing="0" w:line="580" w:lineRule="exact"/>
        <w:ind w:firstLine="640" w:firstLineChars="200"/>
        <w:jc w:val="both"/>
        <w:rPr>
          <w:rFonts w:eastAsia="仿宋_GB2312"/>
          <w:sz w:val="32"/>
          <w:szCs w:val="32"/>
        </w:rPr>
      </w:pPr>
      <w:r>
        <w:rPr>
          <w:rFonts w:hint="eastAsia" w:ascii="仿宋_GB2312" w:hAnsi="仿宋_GB2312" w:eastAsia="仿宋_GB2312" w:cs="仿宋_GB2312"/>
          <w:kern w:val="2"/>
          <w:sz w:val="32"/>
          <w:szCs w:val="32"/>
        </w:rPr>
        <w:t>畜牧水产事务中心是事业单位，核编</w:t>
      </w:r>
      <w:r>
        <w:rPr>
          <w:rFonts w:ascii="仿宋_GB2312" w:hAnsi="仿宋_GB2312" w:eastAsia="仿宋_GB2312" w:cs="仿宋_GB2312"/>
          <w:kern w:val="2"/>
          <w:sz w:val="32"/>
          <w:szCs w:val="32"/>
        </w:rPr>
        <w:t>54</w:t>
      </w:r>
      <w:r>
        <w:rPr>
          <w:rFonts w:hint="eastAsia" w:ascii="仿宋_GB2312" w:hAnsi="仿宋_GB2312" w:eastAsia="仿宋_GB2312" w:cs="仿宋_GB2312"/>
          <w:kern w:val="2"/>
          <w:sz w:val="32"/>
          <w:szCs w:val="32"/>
        </w:rPr>
        <w:t>名，实有在职人员</w:t>
      </w:r>
      <w:r>
        <w:rPr>
          <w:rFonts w:ascii="仿宋_GB2312" w:hAnsi="仿宋_GB2312" w:eastAsia="仿宋_GB2312" w:cs="仿宋_GB2312"/>
          <w:kern w:val="2"/>
          <w:sz w:val="32"/>
          <w:szCs w:val="32"/>
        </w:rPr>
        <w:t>4</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rPr>
        <w:t>人，</w:t>
      </w:r>
      <w:r>
        <w:rPr>
          <w:rFonts w:hint="eastAsia" w:eastAsia="仿宋_GB2312"/>
          <w:sz w:val="32"/>
          <w:szCs w:val="32"/>
        </w:rPr>
        <w:t>内设机构</w:t>
      </w:r>
      <w:r>
        <w:rPr>
          <w:rFonts w:eastAsia="仿宋_GB2312"/>
          <w:sz w:val="32"/>
          <w:szCs w:val="32"/>
        </w:rPr>
        <w:t>9</w:t>
      </w:r>
      <w:r>
        <w:rPr>
          <w:rFonts w:hint="eastAsia" w:eastAsia="仿宋_GB2312"/>
          <w:sz w:val="32"/>
          <w:szCs w:val="32"/>
        </w:rPr>
        <w:t>个，分别是办公室、计划财务室、人事室、畜牧业发展室、渔业发展室、畜禽水产品质量安全室、动物疫病预防控制室、动物检疫室、畜禽屠宰室</w:t>
      </w:r>
      <w:r>
        <w:rPr>
          <w:rFonts w:hint="eastAsia" w:ascii="仿宋_GB2312" w:hAnsi="仿宋_GB2312" w:eastAsia="仿宋_GB2312" w:cs="仿宋_GB2312"/>
          <w:kern w:val="2"/>
          <w:sz w:val="32"/>
          <w:szCs w:val="32"/>
        </w:rPr>
        <w:t>；主要职能是</w:t>
      </w:r>
      <w:r>
        <w:rPr>
          <w:rFonts w:hint="eastAsia" w:eastAsia="仿宋_GB2312"/>
          <w:sz w:val="32"/>
          <w:szCs w:val="32"/>
        </w:rPr>
        <w:t>负责全县畜牧水产产业发展技术指导；负责畜禽遗传资源调查保护、开发利用以及种畜禽生产的技术指导；负责引进和推广国内外畜牧水产新品种、新技术；负责全县畜牧水产业示范创建的技术指导和验收、认定相关事务性工作；负责组织开展畜牧水产业技术合作与交流。负责规模场选址、备案、发证相关技术性、事务性工作；负责养蜂证发放相关事务性工作；负责规模养殖场污染防治的技术指导和服务。负责宣传推广畜禽水产品质量安全知识、技术指导；负责全县畜牧水产科技推广体系建设；负责全县渔业资源和水生野生动物保护利用、渔业资源增殖、渔业水域环境保护、涉渔工程生态环境影响评价的技术指导；负责全县的动物防疫、动物和动物产品检疫检测相关事务性工作；开展全县饲料行业信息技术交流、负责全县兽药、饲料及饲料添加剂等养殖业投品质量检验检测；承担全县畜禽水产品兽药残留、违禁药品等质量安全检验检测等相关工作。</w:t>
      </w:r>
    </w:p>
    <w:p>
      <w:pPr>
        <w:pStyle w:val="7"/>
        <w:widowControl w:val="0"/>
        <w:shd w:val="clear" w:color="auto" w:fill="FFFFFF"/>
        <w:spacing w:before="0" w:beforeAutospacing="0" w:after="0" w:afterAutospacing="0" w:line="580" w:lineRule="exact"/>
        <w:ind w:firstLine="643" w:firstLineChars="200"/>
        <w:jc w:val="both"/>
        <w:rPr>
          <w:rFonts w:ascii="仿宋_GB2312" w:hAnsi="仿宋_GB2312" w:eastAsia="仿宋_GB2312" w:cs="仿宋_GB2312"/>
          <w:kern w:val="2"/>
          <w:sz w:val="32"/>
          <w:szCs w:val="32"/>
        </w:rPr>
      </w:pPr>
      <w:r>
        <w:rPr>
          <w:rFonts w:hint="eastAsia" w:ascii="楷体_GB2312" w:hAnsi="Times New Roman" w:eastAsia="楷体_GB2312" w:cs="Times New Roman"/>
          <w:b/>
          <w:kern w:val="2"/>
          <w:sz w:val="32"/>
          <w:szCs w:val="32"/>
          <w:lang w:val="en-US" w:eastAsia="zh-CN" w:bidi="ar-SA"/>
        </w:rPr>
        <w:t>（二）部门整体支出为2530.2万元。</w:t>
      </w:r>
      <w:r>
        <w:rPr>
          <w:rFonts w:hint="eastAsia" w:ascii="仿宋_GB2312" w:hAnsi="仿宋_GB2312" w:eastAsia="仿宋_GB2312" w:cs="仿宋_GB2312"/>
          <w:kern w:val="2"/>
          <w:sz w:val="32"/>
          <w:szCs w:val="32"/>
        </w:rPr>
        <w:t>基本支出</w:t>
      </w:r>
      <w:r>
        <w:rPr>
          <w:rFonts w:hint="eastAsia" w:ascii="仿宋_GB2312" w:hAnsi="仿宋_GB2312" w:eastAsia="仿宋_GB2312" w:cs="仿宋_GB2312"/>
          <w:kern w:val="2"/>
          <w:sz w:val="32"/>
          <w:szCs w:val="32"/>
          <w:lang w:val="en-US" w:eastAsia="zh-CN"/>
        </w:rPr>
        <w:t>1077.46</w:t>
      </w:r>
      <w:r>
        <w:rPr>
          <w:rFonts w:hint="eastAsia" w:ascii="仿宋_GB2312" w:hAnsi="仿宋_GB2312" w:eastAsia="仿宋_GB2312" w:cs="仿宋_GB2312"/>
          <w:kern w:val="2"/>
          <w:sz w:val="32"/>
          <w:szCs w:val="32"/>
        </w:rPr>
        <w:t>万元，主要用于人员工资福利和商品服务支出；项目支出</w:t>
      </w:r>
      <w:r>
        <w:rPr>
          <w:rFonts w:hint="eastAsia" w:ascii="仿宋_GB2312" w:hAnsi="仿宋_GB2312" w:eastAsia="仿宋_GB2312" w:cs="仿宋_GB2312"/>
          <w:kern w:val="2"/>
          <w:sz w:val="32"/>
          <w:szCs w:val="32"/>
          <w:lang w:val="en-US" w:eastAsia="zh-CN"/>
        </w:rPr>
        <w:t>1452.74</w:t>
      </w:r>
      <w:r>
        <w:rPr>
          <w:rFonts w:hint="eastAsia" w:ascii="仿宋_GB2312" w:hAnsi="仿宋_GB2312" w:eastAsia="仿宋_GB2312" w:cs="仿宋_GB2312"/>
          <w:kern w:val="2"/>
          <w:sz w:val="32"/>
          <w:szCs w:val="32"/>
        </w:rPr>
        <w:t>万元，主要用于农林水支出</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病虫害控制、农业生产发展、农业资源保护修复和利用</w:t>
      </w:r>
      <w:r>
        <w:rPr>
          <w:rFonts w:hint="eastAsia" w:ascii="仿宋_GB2312" w:hAnsi="仿宋_GB2312" w:eastAsia="仿宋_GB2312" w:cs="仿宋_GB2312"/>
          <w:kern w:val="2"/>
          <w:sz w:val="32"/>
          <w:szCs w:val="32"/>
          <w:lang w:eastAsia="zh-CN"/>
        </w:rPr>
        <w:t>、商业服务业等支出</w:t>
      </w:r>
      <w:r>
        <w:rPr>
          <w:rFonts w:hint="eastAsia" w:ascii="仿宋_GB2312" w:hAnsi="仿宋_GB2312" w:eastAsia="仿宋_GB2312" w:cs="仿宋_GB2312"/>
          <w:kern w:val="2"/>
          <w:sz w:val="32"/>
          <w:szCs w:val="32"/>
        </w:rPr>
        <w:t>等方面。</w:t>
      </w:r>
    </w:p>
    <w:p>
      <w:pPr>
        <w:pStyle w:val="7"/>
        <w:widowControl w:val="0"/>
        <w:shd w:val="clear" w:color="auto" w:fill="FFFFFF"/>
        <w:spacing w:before="0" w:beforeAutospacing="0" w:after="0" w:afterAutospacing="0" w:line="580" w:lineRule="exact"/>
        <w:ind w:firstLine="643" w:firstLineChars="200"/>
        <w:jc w:val="both"/>
        <w:rPr>
          <w:rFonts w:hint="eastAsia" w:ascii="黑体" w:hAnsi="黑体" w:eastAsia="黑体" w:cs="黑体"/>
          <w:b/>
          <w:bCs/>
          <w:color w:val="333333"/>
          <w:sz w:val="32"/>
          <w:szCs w:val="32"/>
        </w:rPr>
      </w:pPr>
      <w:r>
        <w:rPr>
          <w:rFonts w:hint="eastAsia" w:ascii="黑体" w:hAnsi="黑体" w:eastAsia="黑体" w:cs="黑体"/>
          <w:b/>
          <w:bCs/>
          <w:color w:val="333333"/>
          <w:sz w:val="32"/>
          <w:szCs w:val="32"/>
        </w:rPr>
        <w:t>二、资金使用及管理情况</w:t>
      </w:r>
    </w:p>
    <w:p>
      <w:pPr>
        <w:pStyle w:val="7"/>
        <w:widowControl w:val="0"/>
        <w:shd w:val="clear" w:color="auto" w:fill="FFFFFF"/>
        <w:spacing w:before="0" w:beforeAutospacing="0" w:after="0" w:afterAutospacing="0" w:line="580" w:lineRule="exact"/>
        <w:ind w:firstLine="643" w:firstLineChars="200"/>
        <w:jc w:val="both"/>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（一）基本支出</w:t>
      </w:r>
    </w:p>
    <w:p>
      <w:pPr>
        <w:pStyle w:val="7"/>
        <w:widowControl w:val="0"/>
        <w:shd w:val="clear" w:color="auto" w:fill="FFFFFF"/>
        <w:spacing w:before="0" w:beforeAutospacing="0" w:after="0" w:afterAutospacing="0" w:line="580" w:lineRule="exact"/>
        <w:ind w:firstLine="643" w:firstLineChars="200"/>
        <w:jc w:val="both"/>
        <w:rPr>
          <w:rFonts w:ascii="仿宋_GB2312" w:hAnsi="仿宋_GB2312" w:eastAsia="仿宋_GB2312" w:cs="仿宋_GB2312"/>
          <w:sz w:val="32"/>
          <w:szCs w:val="32"/>
        </w:rPr>
      </w:pPr>
      <w:r>
        <w:rPr>
          <w:rFonts w:ascii="仿宋_GB2312" w:hAnsi="仿宋_GB2312" w:eastAsia="仿宋_GB2312" w:cs="仿宋_GB2312"/>
          <w:b/>
          <w:color w:val="333333"/>
          <w:sz w:val="32"/>
          <w:szCs w:val="32"/>
        </w:rPr>
        <w:t>202</w:t>
      </w:r>
      <w:r>
        <w:rPr>
          <w:rFonts w:hint="eastAsia" w:ascii="仿宋_GB2312" w:hAnsi="仿宋_GB2312" w:eastAsia="仿宋_GB2312" w:cs="仿宋_GB2312"/>
          <w:b/>
          <w:color w:val="333333"/>
          <w:sz w:val="32"/>
          <w:szCs w:val="32"/>
          <w:lang w:val="en-US" w:eastAsia="zh-CN"/>
        </w:rPr>
        <w:t>2</w:t>
      </w:r>
      <w:r>
        <w:rPr>
          <w:rFonts w:hint="eastAsia" w:ascii="仿宋_GB2312" w:hAnsi="仿宋_GB2312" w:eastAsia="仿宋_GB2312" w:cs="仿宋_GB2312"/>
          <w:b/>
          <w:color w:val="333333"/>
          <w:sz w:val="32"/>
          <w:szCs w:val="32"/>
        </w:rPr>
        <w:t>年基本支出共</w:t>
      </w:r>
      <w:r>
        <w:rPr>
          <w:rFonts w:hint="eastAsia" w:ascii="仿宋_GB2312" w:hAnsi="仿宋_GB2312" w:eastAsia="仿宋_GB2312" w:cs="仿宋_GB2312"/>
          <w:b/>
          <w:color w:val="333333"/>
          <w:sz w:val="32"/>
          <w:szCs w:val="32"/>
          <w:lang w:val="en-US" w:eastAsia="zh-CN"/>
        </w:rPr>
        <w:t>1077.46</w:t>
      </w:r>
      <w:r>
        <w:rPr>
          <w:rFonts w:hint="eastAsia" w:ascii="仿宋_GB2312" w:hAnsi="仿宋_GB2312" w:eastAsia="仿宋_GB2312" w:cs="仿宋_GB2312"/>
          <w:b/>
          <w:color w:val="333333"/>
          <w:sz w:val="32"/>
          <w:szCs w:val="32"/>
        </w:rPr>
        <w:t>万元。</w:t>
      </w:r>
      <w:r>
        <w:rPr>
          <w:rFonts w:hint="eastAsia" w:ascii="仿宋_GB2312" w:hAnsi="仿宋_GB2312" w:eastAsia="仿宋_GB2312" w:cs="仿宋_GB2312"/>
          <w:kern w:val="2"/>
          <w:sz w:val="32"/>
          <w:szCs w:val="32"/>
        </w:rPr>
        <w:t>主要用于：①工资福利支出</w:t>
      </w:r>
      <w:r>
        <w:rPr>
          <w:rFonts w:hint="eastAsia" w:ascii="仿宋_GB2312" w:hAnsi="仿宋_GB2312" w:eastAsia="仿宋_GB2312" w:cs="仿宋_GB2312"/>
          <w:kern w:val="2"/>
          <w:sz w:val="32"/>
          <w:szCs w:val="32"/>
          <w:lang w:val="en-US" w:eastAsia="zh-CN"/>
        </w:rPr>
        <w:t>547.11</w:t>
      </w:r>
      <w:r>
        <w:rPr>
          <w:rFonts w:hint="eastAsia" w:ascii="仿宋_GB2312" w:hAnsi="仿宋_GB2312" w:eastAsia="仿宋_GB2312" w:cs="仿宋_GB2312"/>
          <w:kern w:val="2"/>
          <w:sz w:val="32"/>
          <w:szCs w:val="32"/>
        </w:rPr>
        <w:t>万元；②商品服务支出</w:t>
      </w:r>
      <w:r>
        <w:rPr>
          <w:rFonts w:hint="eastAsia" w:ascii="仿宋_GB2312" w:hAnsi="仿宋_GB2312" w:eastAsia="仿宋_GB2312" w:cs="仿宋_GB2312"/>
          <w:kern w:val="2"/>
          <w:sz w:val="32"/>
          <w:szCs w:val="32"/>
          <w:lang w:val="en-US" w:eastAsia="zh-CN"/>
        </w:rPr>
        <w:t>388.37</w:t>
      </w:r>
      <w:r>
        <w:rPr>
          <w:rFonts w:hint="eastAsia" w:ascii="仿宋_GB2312" w:hAnsi="仿宋_GB2312" w:eastAsia="仿宋_GB2312" w:cs="仿宋_GB2312"/>
          <w:kern w:val="2"/>
          <w:sz w:val="32"/>
          <w:szCs w:val="32"/>
        </w:rPr>
        <w:t>万元；③对个人和家庭补助支出</w:t>
      </w:r>
      <w:r>
        <w:rPr>
          <w:rFonts w:hint="eastAsia" w:ascii="仿宋_GB2312" w:hAnsi="仿宋_GB2312" w:eastAsia="仿宋_GB2312" w:cs="仿宋_GB2312"/>
          <w:kern w:val="2"/>
          <w:sz w:val="32"/>
          <w:szCs w:val="32"/>
          <w:lang w:val="en-US" w:eastAsia="zh-CN"/>
        </w:rPr>
        <w:t>137.61</w:t>
      </w:r>
      <w:r>
        <w:rPr>
          <w:rFonts w:hint="eastAsia" w:ascii="仿宋_GB2312" w:hAnsi="仿宋_GB2312" w:eastAsia="仿宋_GB2312" w:cs="仿宋_GB2312"/>
          <w:kern w:val="2"/>
          <w:sz w:val="32"/>
          <w:szCs w:val="32"/>
        </w:rPr>
        <w:t>万元；</w:t>
      </w:r>
      <w:r>
        <w:rPr>
          <w:rFonts w:hint="eastAsia" w:ascii="仿宋_GB2312" w:hAnsi="仿宋_GB2312" w:eastAsia="仿宋_GB2312" w:cs="仿宋_GB2312"/>
          <w:sz w:val="32"/>
          <w:szCs w:val="32"/>
        </w:rPr>
        <w:t>④资本性支出</w:t>
      </w:r>
      <w:r>
        <w:rPr>
          <w:rFonts w:hint="eastAsia" w:ascii="仿宋_GB2312" w:hAnsi="仿宋_GB2312" w:eastAsia="仿宋_GB2312" w:cs="仿宋_GB2312"/>
          <w:sz w:val="32"/>
          <w:szCs w:val="32"/>
          <w:lang w:val="en-US" w:eastAsia="zh-CN"/>
        </w:rPr>
        <w:t>4.37</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年“三公”经费</w:t>
      </w:r>
      <w:r>
        <w:rPr>
          <w:rFonts w:hint="eastAsia" w:ascii="仿宋_GB2312" w:hAnsi="仿宋_GB2312" w:eastAsia="仿宋_GB2312" w:cs="仿宋_GB2312"/>
          <w:sz w:val="32"/>
          <w:szCs w:val="32"/>
          <w:lang w:val="en-US" w:eastAsia="zh-CN"/>
        </w:rPr>
        <w:t>2.55</w:t>
      </w:r>
      <w:r>
        <w:rPr>
          <w:rFonts w:hint="eastAsia" w:ascii="仿宋_GB2312" w:hAnsi="仿宋_GB2312" w:eastAsia="仿宋_GB2312" w:cs="仿宋_GB2312"/>
          <w:sz w:val="32"/>
          <w:szCs w:val="32"/>
        </w:rPr>
        <w:t>万元，主要为公务接待费</w:t>
      </w:r>
      <w:r>
        <w:rPr>
          <w:rFonts w:hint="eastAsia" w:ascii="仿宋_GB2312" w:hAnsi="仿宋_GB2312" w:eastAsia="仿宋_GB2312" w:cs="仿宋_GB2312"/>
          <w:sz w:val="32"/>
          <w:szCs w:val="32"/>
          <w:lang w:val="en-US" w:eastAsia="zh-CN"/>
        </w:rPr>
        <w:t>2.55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在去年基础上</w:t>
      </w:r>
      <w:r>
        <w:rPr>
          <w:rFonts w:hint="eastAsia" w:ascii="仿宋_GB2312" w:hAnsi="仿宋_GB2312" w:eastAsia="仿宋_GB2312" w:cs="仿宋_GB2312"/>
          <w:sz w:val="32"/>
          <w:szCs w:val="32"/>
          <w:lang w:val="en-US" w:eastAsia="zh-CN"/>
        </w:rPr>
        <w:t>增加0.21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但未超过县厉行节约领导小组办公室的控制指标数5.3661万元），原因为2022年新增全国第三次畜禽遗传资源普查等工作，招待费相应增加</w:t>
      </w:r>
      <w:r>
        <w:rPr>
          <w:rFonts w:hint="eastAsia" w:ascii="仿宋_GB2312" w:hAnsi="仿宋_GB2312" w:eastAsia="仿宋_GB2312" w:cs="仿宋_GB2312"/>
          <w:sz w:val="32"/>
          <w:szCs w:val="32"/>
        </w:rPr>
        <w:t>。</w:t>
      </w:r>
    </w:p>
    <w:p>
      <w:pPr>
        <w:pStyle w:val="7"/>
        <w:widowControl w:val="0"/>
        <w:shd w:val="clear" w:color="auto" w:fill="FFFFFF"/>
        <w:spacing w:before="0" w:beforeAutospacing="0" w:after="0" w:afterAutospacing="0" w:line="580" w:lineRule="exact"/>
        <w:ind w:firstLine="643" w:firstLineChars="200"/>
        <w:jc w:val="both"/>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（二）专项支出</w:t>
      </w:r>
    </w:p>
    <w:p>
      <w:pPr>
        <w:spacing w:line="58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w:t>
      </w:r>
      <w:r>
        <w:rPr>
          <w:rFonts w:ascii="仿宋_GB2312" w:hAnsi="仿宋_GB2312" w:eastAsia="仿宋_GB2312" w:cs="仿宋_GB2312"/>
          <w:b/>
          <w:bCs/>
          <w:sz w:val="32"/>
          <w:szCs w:val="32"/>
        </w:rPr>
        <w:t>202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年</w:t>
      </w:r>
      <w:r>
        <w:rPr>
          <w:rFonts w:hint="eastAsia" w:ascii="楷体_GB2312" w:hAnsi="楷体_GB2312" w:eastAsia="楷体_GB2312" w:cs="楷体_GB2312"/>
          <w:b/>
          <w:bCs/>
          <w:color w:val="333333"/>
          <w:sz w:val="32"/>
          <w:szCs w:val="32"/>
        </w:rPr>
        <w:t>专项</w:t>
      </w:r>
      <w:r>
        <w:rPr>
          <w:rFonts w:hint="eastAsia" w:ascii="仿宋_GB2312" w:hAnsi="仿宋_GB2312" w:eastAsia="仿宋_GB2312" w:cs="仿宋_GB2312"/>
          <w:b/>
          <w:bCs/>
          <w:sz w:val="32"/>
          <w:szCs w:val="32"/>
        </w:rPr>
        <w:t>支出总计达</w:t>
      </w:r>
      <w:r>
        <w:rPr>
          <w:rFonts w:hint="eastAsia" w:ascii="仿宋_GB2312" w:hAnsi="仿宋_GB2312" w:eastAsia="仿宋_GB2312" w:cs="仿宋_GB2312"/>
          <w:b/>
          <w:bCs/>
          <w:sz w:val="32"/>
          <w:szCs w:val="32"/>
          <w:lang w:val="en-US" w:eastAsia="zh-CN"/>
        </w:rPr>
        <w:t>1452.74</w:t>
      </w:r>
      <w:r>
        <w:rPr>
          <w:rFonts w:hint="eastAsia" w:ascii="仿宋_GB2312" w:hAnsi="仿宋_GB2312" w:eastAsia="仿宋_GB2312" w:cs="仿宋_GB2312"/>
          <w:b/>
          <w:bCs/>
          <w:sz w:val="32"/>
          <w:szCs w:val="32"/>
        </w:rPr>
        <w:t>万元。</w:t>
      </w:r>
      <w:r>
        <w:rPr>
          <w:rFonts w:hint="eastAsia" w:ascii="仿宋_GB2312" w:hAnsi="仿宋_GB2312" w:eastAsia="仿宋_GB2312" w:cs="仿宋_GB2312"/>
          <w:sz w:val="32"/>
          <w:szCs w:val="32"/>
        </w:rPr>
        <w:t>主要用于：①</w:t>
      </w:r>
      <w:r>
        <w:rPr>
          <w:rFonts w:hint="eastAsia" w:ascii="仿宋_GB2312" w:hAnsi="仿宋_GB2312" w:eastAsia="仿宋_GB2312" w:cs="仿宋_GB2312"/>
          <w:sz w:val="32"/>
          <w:szCs w:val="32"/>
          <w:lang w:val="en-US" w:eastAsia="zh-CN"/>
        </w:rPr>
        <w:t>社会保障和就业支出2.73万元；</w:t>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lang w:val="en-US" w:eastAsia="zh-CN"/>
        </w:rPr>
        <w:t>病虫害控制490.52</w:t>
      </w:r>
      <w:r>
        <w:rPr>
          <w:rFonts w:hint="eastAsia" w:ascii="仿宋_GB2312" w:hAnsi="仿宋_GB2312" w:eastAsia="仿宋_GB2312" w:cs="仿宋_GB2312"/>
          <w:sz w:val="32"/>
          <w:szCs w:val="32"/>
        </w:rPr>
        <w:t>万元；③农业生产发展</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万元；④农业资源保护修复与利用</w:t>
      </w:r>
      <w:r>
        <w:rPr>
          <w:rFonts w:hint="eastAsia" w:ascii="仿宋_GB2312" w:hAnsi="仿宋_GB2312" w:eastAsia="仿宋_GB2312" w:cs="仿宋_GB2312"/>
          <w:sz w:val="32"/>
          <w:szCs w:val="32"/>
          <w:lang w:val="en-US" w:eastAsia="zh-CN"/>
        </w:rPr>
        <w:t>782</w:t>
      </w:r>
      <w:r>
        <w:rPr>
          <w:rFonts w:hint="eastAsia" w:ascii="仿宋_GB2312" w:hAnsi="仿宋_GB2312" w:eastAsia="仿宋_GB2312" w:cs="仿宋_GB2312"/>
          <w:sz w:val="32"/>
          <w:szCs w:val="32"/>
        </w:rPr>
        <w:t>万元；⑤</w:t>
      </w:r>
      <w:r>
        <w:rPr>
          <w:rFonts w:hint="eastAsia" w:ascii="仿宋_GB2312" w:hAnsi="仿宋_GB2312" w:eastAsia="仿宋_GB2312" w:cs="仿宋_GB2312"/>
          <w:sz w:val="32"/>
          <w:szCs w:val="32"/>
          <w:lang w:val="en-US" w:eastAsia="zh-CN"/>
        </w:rPr>
        <w:t>渔业发展11.17万元；</w:t>
      </w:r>
      <w:r>
        <w:rPr>
          <w:rFonts w:hint="eastAsia" w:ascii="仿宋_GB2312" w:hAnsi="仿宋_GB2312" w:eastAsia="仿宋_GB2312" w:cs="仿宋_GB2312"/>
          <w:sz w:val="32"/>
          <w:szCs w:val="32"/>
        </w:rPr>
        <w:t>⑥</w:t>
      </w:r>
      <w:r>
        <w:rPr>
          <w:rFonts w:hint="eastAsia" w:ascii="仿宋_GB2312" w:hAnsi="仿宋_GB2312" w:eastAsia="仿宋_GB2312" w:cs="仿宋_GB2312"/>
          <w:sz w:val="32"/>
          <w:szCs w:val="32"/>
          <w:lang w:val="en-US" w:eastAsia="zh-CN"/>
        </w:rPr>
        <w:t>其他农业农村支出29.06万元；⑦</w:t>
      </w:r>
      <w:r>
        <w:rPr>
          <w:rFonts w:hint="eastAsia" w:ascii="仿宋_GB2312" w:hAnsi="仿宋_GB2312" w:eastAsia="仿宋_GB2312" w:cs="仿宋_GB2312"/>
          <w:sz w:val="32"/>
          <w:szCs w:val="32"/>
        </w:rPr>
        <w:t>其他商业流通事务支出</w:t>
      </w:r>
      <w:r>
        <w:rPr>
          <w:rFonts w:hint="eastAsia" w:ascii="仿宋_GB2312" w:hAnsi="仿宋_GB2312" w:eastAsia="仿宋_GB2312" w:cs="仿宋_GB2312"/>
          <w:sz w:val="32"/>
          <w:szCs w:val="32"/>
          <w:lang w:val="en-US" w:eastAsia="zh-CN"/>
        </w:rPr>
        <w:t>62.26</w:t>
      </w:r>
      <w:r>
        <w:rPr>
          <w:rFonts w:hint="eastAsia" w:ascii="仿宋_GB2312" w:hAnsi="仿宋_GB2312" w:eastAsia="仿宋_GB2312" w:cs="仿宋_GB2312"/>
          <w:sz w:val="32"/>
          <w:szCs w:val="32"/>
        </w:rPr>
        <w:t>万元。</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仿宋_GB2312" w:hAnsi="仿宋_GB2312" w:eastAsia="仿宋_GB2312" w:cs="仿宋_GB2312"/>
          <w:b/>
          <w:bCs/>
          <w:color w:val="333333"/>
          <w:sz w:val="32"/>
          <w:szCs w:val="32"/>
        </w:rPr>
        <w:t>资金管理情况：</w:t>
      </w:r>
      <w:r>
        <w:rPr>
          <w:rFonts w:hint="eastAsia" w:ascii="仿宋_GB2312" w:hAnsi="仿宋_GB2312" w:eastAsia="仿宋_GB2312" w:cs="仿宋_GB2312"/>
          <w:sz w:val="32"/>
          <w:szCs w:val="32"/>
        </w:rPr>
        <w:t>资金管理为专款专用，管理制度严格按照上级指示标准执行，办法的制定参照上级下达文件来制定及执行。由实施相关股室按相关要求办理，取得相关资料，中心纪检全程监督，完成报账手续，办理直接支付，全部拨付到位，没有截留挪用的现象。</w:t>
      </w:r>
    </w:p>
    <w:p>
      <w:pPr>
        <w:pStyle w:val="7"/>
        <w:widowControl w:val="0"/>
        <w:shd w:val="clear" w:color="auto" w:fill="FFFFFF"/>
        <w:spacing w:before="0" w:beforeAutospacing="0" w:after="0" w:afterAutospacing="0" w:line="580" w:lineRule="exact"/>
        <w:ind w:firstLine="643" w:firstLineChars="200"/>
        <w:jc w:val="both"/>
        <w:rPr>
          <w:rFonts w:ascii="黑体" w:hAnsi="黑体" w:eastAsia="黑体" w:cs="黑体"/>
          <w:color w:val="333333"/>
          <w:sz w:val="32"/>
          <w:szCs w:val="32"/>
        </w:rPr>
      </w:pPr>
      <w:r>
        <w:rPr>
          <w:rFonts w:hint="eastAsia" w:ascii="黑体" w:hAnsi="黑体" w:eastAsia="黑体" w:cs="黑体"/>
          <w:b/>
          <w:bCs/>
          <w:color w:val="333333"/>
          <w:sz w:val="32"/>
          <w:szCs w:val="32"/>
        </w:rPr>
        <w:t>三、部门专门组织实施情况</w:t>
      </w:r>
    </w:p>
    <w:p>
      <w:pPr>
        <w:pStyle w:val="7"/>
        <w:widowControl w:val="0"/>
        <w:shd w:val="clear" w:color="auto" w:fill="FFFFFF"/>
        <w:spacing w:before="0" w:beforeAutospacing="0" w:after="0" w:afterAutospacing="0" w:line="580" w:lineRule="exact"/>
        <w:ind w:firstLine="643" w:firstLineChars="200"/>
        <w:jc w:val="both"/>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（一）专项组织情况</w:t>
      </w:r>
    </w:p>
    <w:p>
      <w:pPr>
        <w:pStyle w:val="7"/>
        <w:widowControl w:val="0"/>
        <w:shd w:val="clear" w:color="auto" w:fill="FFFFFF"/>
        <w:spacing w:before="0" w:beforeAutospacing="0" w:after="0" w:afterAutospacing="0" w:line="58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为规范中心的专项资金管理，我们在专项资金管理上严格做到专项资金的专款专用。同时针对大额的支出，对需要政府采购的首先安排采购程序，需要招投标的会联系招标公司。管理制度按照相关的法律法规进行，并合理的开展日常监督管理。</w:t>
      </w:r>
    </w:p>
    <w:p>
      <w:pPr>
        <w:pStyle w:val="7"/>
        <w:widowControl w:val="0"/>
        <w:shd w:val="clear" w:color="auto" w:fill="FFFFFF"/>
        <w:spacing w:before="0" w:beforeAutospacing="0" w:after="0" w:afterAutospacing="0" w:line="580" w:lineRule="exact"/>
        <w:ind w:firstLine="643" w:firstLineChars="200"/>
        <w:jc w:val="both"/>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（二）专项管理情况</w:t>
      </w:r>
    </w:p>
    <w:p>
      <w:pPr>
        <w:pStyle w:val="7"/>
        <w:widowControl w:val="0"/>
        <w:shd w:val="clear" w:color="auto" w:fill="FFFFFF"/>
        <w:spacing w:before="0" w:beforeAutospacing="0" w:after="0" w:afterAutospacing="0" w:line="58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为做好</w:t>
      </w:r>
      <w:r>
        <w:rPr>
          <w:rFonts w:hint="eastAsia" w:ascii="仿宋_GB2312" w:hAnsi="仿宋_GB2312" w:eastAsia="仿宋_GB2312" w:cs="仿宋_GB2312"/>
          <w:kern w:val="2"/>
          <w:sz w:val="32"/>
          <w:szCs w:val="32"/>
          <w:lang w:val="en-US" w:eastAsia="zh-CN"/>
        </w:rPr>
        <w:t>我县预算内</w:t>
      </w:r>
      <w:r>
        <w:rPr>
          <w:rFonts w:hint="eastAsia" w:ascii="仿宋_GB2312" w:hAnsi="仿宋_GB2312" w:eastAsia="仿宋_GB2312" w:cs="仿宋_GB2312"/>
          <w:kern w:val="2"/>
          <w:sz w:val="32"/>
          <w:szCs w:val="32"/>
        </w:rPr>
        <w:t>专项资金的管理工作，我中心对每项工作都制定了专门的工作方案。</w:t>
      </w:r>
      <w:r>
        <w:rPr>
          <w:rFonts w:ascii="仿宋_GB2312" w:hAnsi="仿宋_GB2312" w:eastAsia="仿宋_GB2312" w:cs="仿宋_GB2312"/>
          <w:kern w:val="2"/>
          <w:sz w:val="32"/>
          <w:szCs w:val="32"/>
        </w:rPr>
        <w:t>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年共发放溆浦鹅保种经费</w:t>
      </w:r>
      <w:r>
        <w:rPr>
          <w:rFonts w:hint="eastAsia" w:ascii="仿宋_GB2312" w:hAnsi="仿宋_GB2312" w:eastAsia="仿宋_GB2312" w:cs="仿宋_GB2312"/>
          <w:kern w:val="2"/>
          <w:sz w:val="32"/>
          <w:szCs w:val="32"/>
          <w:lang w:val="en-US" w:eastAsia="zh-CN"/>
        </w:rPr>
        <w:t>21</w:t>
      </w:r>
      <w:r>
        <w:rPr>
          <w:rFonts w:hint="eastAsia" w:ascii="仿宋_GB2312" w:hAnsi="仿宋_GB2312" w:eastAsia="仿宋_GB2312" w:cs="仿宋_GB2312"/>
          <w:kern w:val="2"/>
          <w:sz w:val="32"/>
          <w:szCs w:val="32"/>
        </w:rPr>
        <w:t>万元；黔邵花猪保种经费</w:t>
      </w: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万元；屠宰环节病死猪无害化处理补贴</w:t>
      </w:r>
      <w:r>
        <w:rPr>
          <w:rFonts w:hint="eastAsia" w:ascii="仿宋_GB2312" w:hAnsi="仿宋_GB2312" w:eastAsia="仿宋_GB2312" w:cs="仿宋_GB2312"/>
          <w:kern w:val="2"/>
          <w:sz w:val="32"/>
          <w:szCs w:val="32"/>
          <w:lang w:val="en-US" w:eastAsia="zh-CN"/>
        </w:rPr>
        <w:t>25.2</w:t>
      </w:r>
      <w:r>
        <w:rPr>
          <w:rFonts w:hint="eastAsia" w:ascii="仿宋_GB2312" w:hAnsi="仿宋_GB2312" w:eastAsia="仿宋_GB2312" w:cs="仿宋_GB2312"/>
          <w:kern w:val="2"/>
          <w:sz w:val="32"/>
          <w:szCs w:val="32"/>
        </w:rPr>
        <w:t>万元</w:t>
      </w:r>
      <w:r>
        <w:rPr>
          <w:rFonts w:ascii="仿宋_GB2312" w:hAnsi="仿宋_GB2312" w:eastAsia="仿宋_GB2312" w:cs="仿宋_GB2312"/>
          <w:kern w:val="2"/>
          <w:sz w:val="32"/>
          <w:szCs w:val="32"/>
        </w:rPr>
        <w:t>;202</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年度将常规动物防疫工作经费</w:t>
      </w:r>
      <w:r>
        <w:rPr>
          <w:rFonts w:hint="eastAsia" w:ascii="仿宋_GB2312" w:hAnsi="仿宋_GB2312" w:eastAsia="仿宋_GB2312" w:cs="仿宋_GB2312"/>
          <w:kern w:val="2"/>
          <w:sz w:val="32"/>
          <w:szCs w:val="32"/>
          <w:lang w:val="en-US" w:eastAsia="zh-CN"/>
        </w:rPr>
        <w:t>52.2</w:t>
      </w:r>
      <w:r>
        <w:rPr>
          <w:rFonts w:hint="eastAsia" w:ascii="仿宋_GB2312" w:hAnsi="仿宋_GB2312" w:eastAsia="仿宋_GB2312" w:cs="仿宋_GB2312"/>
          <w:kern w:val="2"/>
          <w:sz w:val="32"/>
          <w:szCs w:val="32"/>
        </w:rPr>
        <w:t>万元、动物检疫工作</w:t>
      </w:r>
      <w:r>
        <w:rPr>
          <w:rFonts w:hint="eastAsia" w:ascii="仿宋_GB2312" w:hAnsi="仿宋_GB2312" w:eastAsia="仿宋_GB2312" w:cs="仿宋_GB2312"/>
          <w:kern w:val="2"/>
          <w:sz w:val="32"/>
          <w:szCs w:val="32"/>
          <w:lang w:val="en-US" w:eastAsia="zh-CN"/>
        </w:rPr>
        <w:t>38.7</w:t>
      </w:r>
      <w:r>
        <w:rPr>
          <w:rFonts w:hint="eastAsia" w:ascii="仿宋_GB2312" w:hAnsi="仿宋_GB2312" w:eastAsia="仿宋_GB2312" w:cs="仿宋_GB2312"/>
          <w:kern w:val="2"/>
          <w:sz w:val="32"/>
          <w:szCs w:val="32"/>
        </w:rPr>
        <w:t>万元、农产品质量安全检测工作经费</w:t>
      </w:r>
      <w:r>
        <w:rPr>
          <w:rFonts w:hint="eastAsia" w:ascii="仿宋_GB2312" w:hAnsi="仿宋_GB2312" w:eastAsia="仿宋_GB2312" w:cs="仿宋_GB2312"/>
          <w:kern w:val="2"/>
          <w:sz w:val="32"/>
          <w:szCs w:val="32"/>
          <w:lang w:val="en-US" w:eastAsia="zh-CN"/>
        </w:rPr>
        <w:t>18.9</w:t>
      </w:r>
      <w:r>
        <w:rPr>
          <w:rFonts w:hint="eastAsia" w:ascii="仿宋_GB2312" w:hAnsi="仿宋_GB2312" w:eastAsia="仿宋_GB2312" w:cs="仿宋_GB2312"/>
          <w:kern w:val="2"/>
          <w:sz w:val="32"/>
          <w:szCs w:val="32"/>
        </w:rPr>
        <w:t>万元纳入财政项目资金管理。</w:t>
      </w:r>
    </w:p>
    <w:p>
      <w:pPr>
        <w:pStyle w:val="7"/>
        <w:widowControl w:val="0"/>
        <w:shd w:val="clear" w:color="auto" w:fill="FFFFFF"/>
        <w:spacing w:before="0" w:beforeAutospacing="0" w:after="0" w:afterAutospacing="0" w:line="580" w:lineRule="exact"/>
        <w:ind w:firstLine="643" w:firstLineChars="200"/>
        <w:jc w:val="both"/>
        <w:rPr>
          <w:rFonts w:hint="eastAsia" w:ascii="黑体" w:hAnsi="黑体" w:eastAsia="黑体" w:cs="黑体"/>
          <w:b/>
          <w:bCs/>
          <w:color w:val="333333"/>
          <w:sz w:val="32"/>
          <w:szCs w:val="32"/>
        </w:rPr>
      </w:pPr>
      <w:r>
        <w:rPr>
          <w:rFonts w:hint="eastAsia" w:ascii="黑体" w:hAnsi="黑体" w:eastAsia="黑体" w:cs="黑体"/>
          <w:b/>
          <w:bCs/>
          <w:color w:val="333333"/>
          <w:sz w:val="32"/>
          <w:szCs w:val="32"/>
        </w:rPr>
        <w:t>四、资产管理情况</w:t>
      </w:r>
    </w:p>
    <w:p>
      <w:pPr>
        <w:pStyle w:val="7"/>
        <w:widowControl w:val="0"/>
        <w:shd w:val="clear" w:color="auto" w:fill="FFFFFF"/>
        <w:spacing w:before="0" w:beforeAutospacing="0" w:after="0" w:afterAutospacing="0" w:line="58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kern w:val="2"/>
          <w:sz w:val="32"/>
          <w:szCs w:val="32"/>
        </w:rPr>
        <w:t>资产管理实现两个结合，建立资产管理与预算管理，资产管理与财务管理相结合的工作机制。完善资产管理监管系统，将资产纳入全县资产管理基础数据库，实时动态管理，完善管理制度，全面总结经验，认真分析原因，建立健全国有资产管理制度</w:t>
      </w:r>
      <w:r>
        <w:rPr>
          <w:rFonts w:hint="eastAsia" w:ascii="仿宋_GB2312" w:hAnsi="仿宋_GB2312" w:eastAsia="仿宋_GB2312" w:cs="仿宋_GB2312"/>
          <w:sz w:val="32"/>
          <w:szCs w:val="32"/>
        </w:rPr>
        <w:t>。</w:t>
      </w:r>
    </w:p>
    <w:p>
      <w:pPr>
        <w:pStyle w:val="7"/>
        <w:widowControl w:val="0"/>
        <w:shd w:val="clear" w:color="auto" w:fill="FFFFFF"/>
        <w:spacing w:before="0" w:beforeAutospacing="0" w:after="0" w:afterAutospacing="0" w:line="580" w:lineRule="exact"/>
        <w:ind w:firstLine="643" w:firstLineChars="200"/>
        <w:jc w:val="both"/>
        <w:rPr>
          <w:rFonts w:hint="eastAsia" w:ascii="黑体" w:hAnsi="黑体" w:eastAsia="黑体" w:cs="黑体"/>
          <w:b/>
          <w:bCs/>
          <w:color w:val="333333"/>
          <w:sz w:val="32"/>
          <w:szCs w:val="32"/>
        </w:rPr>
      </w:pPr>
      <w:r>
        <w:rPr>
          <w:rFonts w:hint="eastAsia" w:ascii="黑体" w:hAnsi="黑体" w:eastAsia="黑体" w:cs="黑体"/>
          <w:b/>
          <w:bCs/>
          <w:color w:val="333333"/>
          <w:sz w:val="32"/>
          <w:szCs w:val="32"/>
        </w:rPr>
        <w:t>五、部门整体支出绩效情况</w:t>
      </w:r>
    </w:p>
    <w:p>
      <w:pPr>
        <w:ind w:firstLine="643" w:firstLineChars="200"/>
        <w:rPr>
          <w:rFonts w:hint="eastAsia" w:ascii="仿宋_GB2312" w:hAnsi="仿宋_GB2312" w:eastAsia="仿宋_GB2312" w:cs="仿宋_GB2312"/>
          <w:kern w:val="2"/>
          <w:sz w:val="32"/>
          <w:szCs w:val="32"/>
          <w:highlight w:val="none"/>
          <w:lang w:val="en-US" w:eastAsia="zh-CN" w:bidi="ar-SA"/>
        </w:rPr>
      </w:pPr>
      <w:r>
        <w:rPr>
          <w:rFonts w:hint="eastAsia" w:ascii="楷体_GB2312" w:hAnsi="Times New Roman" w:eastAsia="楷体_GB2312" w:cs="Times New Roman"/>
          <w:b/>
          <w:kern w:val="2"/>
          <w:sz w:val="32"/>
          <w:szCs w:val="32"/>
          <w:lang w:val="en-US" w:eastAsia="zh-CN" w:bidi="ar-SA"/>
        </w:rPr>
        <w:t>（一）主要生产指标完成情况。</w:t>
      </w:r>
      <w:r>
        <w:rPr>
          <w:rFonts w:hint="eastAsia" w:ascii="仿宋_GB2312" w:hAnsi="仿宋_GB2312" w:eastAsia="仿宋_GB2312" w:cs="仿宋_GB2312"/>
          <w:kern w:val="2"/>
          <w:sz w:val="32"/>
          <w:szCs w:val="32"/>
          <w:highlight w:val="none"/>
          <w:lang w:val="en-US" w:eastAsia="zh-CN" w:bidi="ar-SA"/>
        </w:rPr>
        <w:t>全县生猪饲养量163.64万头，其中存栏67.5万头，能繁母猪5.51万头，出栏96.14万头，出栏同比增2.21%；牛饲养量7.87万头，其中存栏5.61万头，出栏2.26万头，出栏同比增9.18%；羊饲养量12.11万头，其中存栏4.52万头，出栏7.59万头，出栏同比增7.51%；家禽饲养量838.76万羽，其中存笼287.62万羽，出笼551.14万羽；溆浦鹅饲养量79.9万羽，其中存笼35.1万羽，出笼44.8万羽，出笼同比增1.21%。猪、牛、羊、家禽主要生产指标均呈稳步上升之势,畜牧业已逐步成为我县农业及农村经济的支柱产业。2022年我县畜牧业产值31.87亿元，占农林牧渔业总产值的39.19%。随着规模化、产业化生产的提速，今年畜禽规模养殖比重提高2个百分点，畜牧业产值占农林牧渔业总产值的比重将进一步加强。</w:t>
      </w:r>
    </w:p>
    <w:p>
      <w:pPr>
        <w:ind w:firstLine="643" w:firstLineChars="200"/>
        <w:rPr>
          <w:rFonts w:hint="eastAsia" w:ascii="楷体_GB2312" w:hAnsi="Times New Roman" w:eastAsia="楷体_GB2312" w:cs="Times New Roman"/>
          <w:b/>
          <w:kern w:val="2"/>
          <w:sz w:val="32"/>
          <w:szCs w:val="32"/>
          <w:highlight w:val="none"/>
          <w:lang w:val="en-US" w:eastAsia="zh-CN" w:bidi="ar-SA"/>
        </w:rPr>
      </w:pPr>
      <w:r>
        <w:rPr>
          <w:rFonts w:hint="eastAsia" w:ascii="楷体_GB2312" w:hAnsi="Times New Roman" w:eastAsia="楷体_GB2312" w:cs="Times New Roman"/>
          <w:b/>
          <w:kern w:val="2"/>
          <w:sz w:val="32"/>
          <w:szCs w:val="32"/>
          <w:highlight w:val="none"/>
          <w:lang w:val="en-US" w:eastAsia="zh-CN" w:bidi="ar-SA"/>
        </w:rPr>
        <w:t>（二）以高质量发展为目的，狠抓畜牧水产业发展。</w:t>
      </w:r>
    </w:p>
    <w:p>
      <w:pPr>
        <w:spacing w:line="360" w:lineRule="auto"/>
        <w:ind w:firstLine="630"/>
        <w:rPr>
          <w:rFonts w:hint="eastAsia" w:ascii="仿宋_GB2312" w:hAnsi="仿宋_GB2312" w:eastAsia="仿宋_GB2312" w:cs="仿宋_GB2312"/>
          <w:kern w:val="2"/>
          <w:sz w:val="32"/>
          <w:szCs w:val="32"/>
          <w:lang w:val="en-US" w:eastAsia="zh-CN" w:bidi="ar-SA"/>
        </w:rPr>
      </w:pPr>
      <w:r>
        <w:rPr>
          <w:rFonts w:hint="eastAsia" w:ascii="仿宋_GB2312" w:eastAsia="仿宋_GB2312"/>
          <w:b/>
          <w:bCs/>
          <w:sz w:val="32"/>
          <w:szCs w:val="32"/>
          <w:highlight w:val="none"/>
          <w:lang w:eastAsia="zh-CN"/>
        </w:rPr>
        <w:t>（</w:t>
      </w:r>
      <w:r>
        <w:rPr>
          <w:rFonts w:hint="eastAsia" w:ascii="仿宋_GB2312" w:eastAsia="仿宋_GB2312"/>
          <w:b/>
          <w:bCs/>
          <w:sz w:val="32"/>
          <w:szCs w:val="32"/>
          <w:highlight w:val="none"/>
        </w:rPr>
        <w:t>1）生猪产业发展。</w:t>
      </w:r>
      <w:r>
        <w:rPr>
          <w:rFonts w:hint="eastAsia" w:ascii="仿宋_GB2312" w:hAnsi="仿宋_GB2312" w:eastAsia="仿宋_GB2312" w:cs="仿宋_GB2312"/>
          <w:kern w:val="2"/>
          <w:sz w:val="32"/>
          <w:szCs w:val="32"/>
          <w:highlight w:val="none"/>
          <w:lang w:val="en-US" w:eastAsia="zh-CN" w:bidi="ar-SA"/>
        </w:rPr>
        <w:t>一是编制了《关于促进溆浦县畜牧</w:t>
      </w:r>
      <w:r>
        <w:rPr>
          <w:rFonts w:hint="eastAsia" w:ascii="仿宋_GB2312" w:hAnsi="仿宋_GB2312" w:eastAsia="仿宋_GB2312" w:cs="仿宋_GB2312"/>
          <w:kern w:val="2"/>
          <w:sz w:val="32"/>
          <w:szCs w:val="32"/>
          <w:lang w:val="en-US" w:eastAsia="zh-CN" w:bidi="ar-SA"/>
        </w:rPr>
        <w:t>业高质量发展的实施方案》，完成黔邵花猪“溆浦龙潭猪”地理标志证明商标的认证工作，有力促进了黔邵花猪“溆浦龙潭猪”的产业发展。完成了生猪良繁体系建设工作，全县共建成生猪良繁站4个。二是中心根据全县养殖实际情况分解生猪稳产保供任务至各乡镇，2022年全年生猪出栏96.14万头。三是根据省市的要求制定《溆浦县生猪产能调控实施方案》，经农业农村部批准确定鸿飞达、大康国际、鑫盛3个为国家级生猪产能调控基地，确定怀化严科农牧、金宇等12个规模养殖场为省级调控基地。</w:t>
      </w:r>
    </w:p>
    <w:p>
      <w:pPr>
        <w:spacing w:line="360" w:lineRule="auto"/>
        <w:ind w:firstLine="630"/>
        <w:rPr>
          <w:rFonts w:hint="eastAsia" w:ascii="仿宋_GB2312" w:hAnsi="仿宋_GB2312" w:eastAsia="仿宋_GB2312" w:cs="仿宋_GB2312"/>
          <w:kern w:val="2"/>
          <w:sz w:val="32"/>
          <w:szCs w:val="32"/>
          <w:lang w:val="en-US" w:eastAsia="zh-CN" w:bidi="ar-SA"/>
        </w:rPr>
      </w:pPr>
      <w:r>
        <w:rPr>
          <w:rFonts w:hint="eastAsia" w:ascii="仿宋_GB2312" w:eastAsia="仿宋_GB2312"/>
          <w:b/>
          <w:bCs/>
          <w:sz w:val="32"/>
          <w:szCs w:val="32"/>
        </w:rPr>
        <w:t>（2）溆浦鹅产业发展。</w:t>
      </w:r>
      <w:r>
        <w:rPr>
          <w:rFonts w:hint="eastAsia" w:ascii="仿宋_GB2312" w:hAnsi="仿宋_GB2312" w:eastAsia="仿宋_GB2312" w:cs="仿宋_GB2312"/>
          <w:kern w:val="2"/>
          <w:sz w:val="32"/>
          <w:szCs w:val="32"/>
          <w:lang w:val="en-US" w:eastAsia="zh-CN" w:bidi="ar-SA"/>
        </w:rPr>
        <w:t>一是完成了《溆浦鹅养殖技术规程》湖南省地方标准修订工作。在湖南农大曲湘勇教授的大力支持下，组织专门人员，结合养殖户实施实地开展，统一了溆浦鹅养殖技术规程。二是组织湖南鸿羽溆浦鹅业科技发展有限公司开展溆浦鹅生长性能测定、溆浦鹅群体的繁殖性能调查、溆浦鹅外貌调查等工作，配合曲教授完成溆浦鹅60份血液采样送农业农村部进行基因测定。二是赴宁乡市湖南湘鹏鹅业有限公司和安徽六安市考察鹅肥肝填制和鹅肥肝产业开发，学习反季节鹅繁殖技术。精心组织实施溆浦鹅肥肝填饲技术，使溆浦鹅肥肝得以成功开发，为溆浦鹅产业发展奠定基础。</w:t>
      </w:r>
    </w:p>
    <w:p>
      <w:pPr>
        <w:spacing w:line="360" w:lineRule="auto"/>
        <w:ind w:firstLine="630"/>
        <w:rPr>
          <w:rFonts w:hint="eastAsia" w:ascii="仿宋_GB2312" w:hAnsi="仿宋_GB2312" w:eastAsia="仿宋_GB2312" w:cs="仿宋_GB2312"/>
          <w:kern w:val="2"/>
          <w:sz w:val="32"/>
          <w:szCs w:val="32"/>
          <w:lang w:val="en-US" w:eastAsia="zh-CN" w:bidi="ar-SA"/>
        </w:rPr>
      </w:pPr>
      <w:r>
        <w:rPr>
          <w:rFonts w:hint="eastAsia" w:ascii="仿宋_GB2312" w:hAnsi="Calibri" w:eastAsia="仿宋_GB2312" w:cs="Times New Roman"/>
          <w:b/>
          <w:bCs/>
          <w:kern w:val="2"/>
          <w:sz w:val="32"/>
          <w:szCs w:val="32"/>
          <w:lang w:val="en-US" w:eastAsia="zh-CN" w:bidi="ar-SA"/>
        </w:rPr>
        <w:t>（3）水产苗种基地建设。</w:t>
      </w:r>
      <w:r>
        <w:rPr>
          <w:rFonts w:hint="eastAsia" w:ascii="仿宋_GB2312" w:hAnsi="仿宋_GB2312" w:eastAsia="仿宋_GB2312" w:cs="仿宋_GB2312"/>
          <w:kern w:val="2"/>
          <w:sz w:val="32"/>
          <w:szCs w:val="32"/>
          <w:lang w:val="en-US" w:eastAsia="zh-CN" w:bidi="ar-SA"/>
        </w:rPr>
        <w:t>一是认真落实对溆浦县国有鱼种繁殖场、溆浦县源鑫渔业专业合作社两家水产苗种生产场地进行常态化管理，促使其在怀化市内保持高水平。二是通过合理采取使用微生态制剂改良养殖水域环境、改善机体微生态平衡和水生动物的代谢，通过开展水产养殖用药减量行动提高渔业产品质量。今年来组织水产养殖培训4次，有效推广水产健康绿色养殖技术。</w:t>
      </w:r>
    </w:p>
    <w:p>
      <w:pPr>
        <w:pStyle w:val="3"/>
        <w:ind w:left="0" w:leftChars="0" w:firstLine="643" w:firstLineChars="200"/>
        <w:rPr>
          <w:rFonts w:hint="eastAsia" w:ascii="仿宋_GB2312" w:hAnsi="仿宋_GB2312" w:eastAsia="仿宋_GB2312" w:cs="仿宋_GB2312"/>
          <w:kern w:val="2"/>
          <w:sz w:val="32"/>
          <w:szCs w:val="32"/>
          <w:lang w:val="en-US" w:eastAsia="zh-CN" w:bidi="ar-SA"/>
        </w:rPr>
      </w:pPr>
      <w:r>
        <w:rPr>
          <w:rFonts w:hint="eastAsia" w:ascii="仿宋_GB2312" w:eastAsia="仿宋_GB2312"/>
          <w:b/>
          <w:bCs/>
          <w:sz w:val="32"/>
          <w:szCs w:val="32"/>
        </w:rPr>
        <w:t>（4）畜禽粪污治理工作。</w:t>
      </w:r>
      <w:r>
        <w:rPr>
          <w:rFonts w:hint="eastAsia" w:ascii="仿宋_GB2312" w:hAnsi="仿宋_GB2312" w:eastAsia="仿宋_GB2312" w:cs="仿宋_GB2312"/>
          <w:kern w:val="2"/>
          <w:sz w:val="32"/>
          <w:szCs w:val="32"/>
          <w:lang w:val="en-US" w:eastAsia="zh-CN" w:bidi="ar-SA"/>
        </w:rPr>
        <w:t>一是扎实推进畜禽粪污资源利用项目后续工作。完成了320家规模养殖场畜禽粪污资源化利用项目的全部实施工作，并建成了年产10万吨有机肥厂。二是严格监管环保设施正常运转。将全县分成9个片区，建立包保责任制，确定每个养殖场都有工作人员监管，确保环保设施正常使用运转。</w:t>
      </w:r>
    </w:p>
    <w:p>
      <w:pPr>
        <w:pStyle w:val="7"/>
        <w:widowControl w:val="0"/>
        <w:shd w:val="clear" w:color="auto" w:fill="FFFFFF"/>
        <w:spacing w:before="0" w:beforeAutospacing="0" w:after="0" w:afterAutospacing="0" w:line="580" w:lineRule="exact"/>
        <w:ind w:firstLine="643" w:firstLineChars="200"/>
        <w:jc w:val="both"/>
        <w:rPr>
          <w:rFonts w:ascii="黑体" w:hAnsi="黑体" w:eastAsia="黑体" w:cs="黑体"/>
          <w:color w:val="333333"/>
          <w:sz w:val="32"/>
          <w:szCs w:val="32"/>
        </w:rPr>
      </w:pPr>
      <w:r>
        <w:rPr>
          <w:rFonts w:hint="eastAsia" w:ascii="黑体" w:hAnsi="黑体" w:eastAsia="黑体" w:cs="黑体"/>
          <w:b/>
          <w:bCs/>
          <w:color w:val="333333"/>
          <w:sz w:val="32"/>
          <w:szCs w:val="32"/>
        </w:rPr>
        <w:t>六、存在的主要问题</w:t>
      </w:r>
    </w:p>
    <w:p>
      <w:pPr>
        <w:ind w:firstLine="643" w:firstLineChars="200"/>
        <w:rPr>
          <w:rFonts w:hint="eastAsia" w:ascii="仿宋_GB2312" w:hAnsi="仿宋_GB2312" w:eastAsia="仿宋_GB2312" w:cs="仿宋_GB2312"/>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（一）“非洲猪瘟”等重大动物疫情形势严峻。</w:t>
      </w:r>
      <w:r>
        <w:rPr>
          <w:rFonts w:hint="eastAsia" w:ascii="仿宋_GB2312" w:hAnsi="仿宋_GB2312" w:eastAsia="仿宋_GB2312" w:cs="仿宋_GB2312"/>
          <w:kern w:val="2"/>
          <w:sz w:val="32"/>
          <w:szCs w:val="32"/>
          <w:lang w:val="en-US" w:eastAsia="zh-CN" w:bidi="ar-SA"/>
        </w:rPr>
        <w:t>非洲猪瘟疫苗尚未研制出来，我县与多个县市接壤，道路四通八达，防控任务非常艰巨；</w:t>
      </w:r>
    </w:p>
    <w:p>
      <w:pPr>
        <w:ind w:firstLine="643" w:firstLineChars="200"/>
        <w:rPr>
          <w:rFonts w:hint="eastAsia" w:ascii="仿宋_GB2312" w:hAnsi="仿宋_GB2312" w:eastAsia="仿宋_GB2312" w:cs="仿宋_GB2312"/>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（二）基层动物防疫体系不完善。</w:t>
      </w:r>
      <w:r>
        <w:rPr>
          <w:rFonts w:hint="eastAsia" w:ascii="仿宋_GB2312" w:hAnsi="仿宋_GB2312" w:eastAsia="仿宋_GB2312" w:cs="仿宋_GB2312"/>
          <w:kern w:val="2"/>
          <w:sz w:val="32"/>
          <w:szCs w:val="32"/>
          <w:lang w:val="en-US" w:eastAsia="zh-CN" w:bidi="ar-SA"/>
        </w:rPr>
        <w:t>部分乡镇基层动物防疫专业技术人员青黄不接；</w:t>
      </w:r>
    </w:p>
    <w:p>
      <w:pPr>
        <w:ind w:firstLine="643" w:firstLineChars="200"/>
        <w:rPr>
          <w:rFonts w:hint="default" w:ascii="仿宋_GB2312" w:hAnsi="仿宋_GB2312" w:eastAsia="仿宋_GB2312" w:cs="仿宋_GB2312"/>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（三）动物防疫经费不足。</w:t>
      </w:r>
      <w:r>
        <w:rPr>
          <w:rFonts w:hint="eastAsia" w:ascii="仿宋_GB2312" w:hAnsi="仿宋_GB2312" w:eastAsia="仿宋_GB2312" w:cs="仿宋_GB2312"/>
          <w:kern w:val="2"/>
          <w:sz w:val="32"/>
          <w:szCs w:val="32"/>
          <w:lang w:val="en-US" w:eastAsia="zh-CN" w:bidi="ar-SA"/>
        </w:rPr>
        <w:t>根据畜牧业的不断发展，养殖量不断增加，动物疫病防控工作量相应加大，比如日常非洲猪瘟监测任务重，屠宰场、无害化处理场每周要进行监测，抽样检测非洲猪瘟，但兽医实验室工作经费尚未纳入县财政预算，且财政预算经费逐年减少，导致预算内防疫经费</w:t>
      </w:r>
      <w:bookmarkStart w:id="0" w:name="_GoBack"/>
      <w:bookmarkEnd w:id="0"/>
      <w:r>
        <w:rPr>
          <w:rFonts w:hint="eastAsia" w:ascii="仿宋_GB2312" w:hAnsi="仿宋_GB2312" w:eastAsia="仿宋_GB2312" w:cs="仿宋_GB2312"/>
          <w:kern w:val="2"/>
          <w:sz w:val="32"/>
          <w:szCs w:val="32"/>
          <w:lang w:val="en-US" w:eastAsia="zh-CN" w:bidi="ar-SA"/>
        </w:rPr>
        <w:t>不足。</w:t>
      </w:r>
    </w:p>
    <w:p>
      <w:pPr>
        <w:pStyle w:val="7"/>
        <w:widowControl w:val="0"/>
        <w:shd w:val="clear" w:color="auto" w:fill="FFFFFF"/>
        <w:spacing w:before="0" w:beforeAutospacing="0" w:after="0" w:afterAutospacing="0" w:line="580" w:lineRule="exact"/>
        <w:ind w:firstLine="643" w:firstLineChars="200"/>
        <w:jc w:val="both"/>
        <w:rPr>
          <w:rFonts w:hint="eastAsia" w:ascii="黑体" w:hAnsi="黑体" w:eastAsia="黑体" w:cs="黑体"/>
          <w:b/>
          <w:bCs/>
          <w:color w:val="333333"/>
          <w:sz w:val="32"/>
          <w:szCs w:val="32"/>
        </w:rPr>
      </w:pPr>
      <w:r>
        <w:rPr>
          <w:rFonts w:hint="eastAsia" w:ascii="黑体" w:hAnsi="黑体" w:eastAsia="黑体" w:cs="黑体"/>
          <w:b/>
          <w:bCs/>
          <w:color w:val="333333"/>
          <w:sz w:val="32"/>
          <w:szCs w:val="32"/>
        </w:rPr>
        <w:t>七、改进措施和相关建议</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（一）建立健全的基层动物疫病防控体系，加强动物疫病防控技术支撑建设。 </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（二）建议给乡镇基层配备适当的专业技术人员，财政增加项目资金，提高村级动物防疫员的劳动报酬。</w:t>
      </w:r>
    </w:p>
    <w:sectPr>
      <w:pgSz w:w="11906" w:h="16838"/>
      <w:pgMar w:top="2025" w:right="1646" w:bottom="1153" w:left="162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方正粗黑宋简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粗黑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VmZmY4OTBhYzhkMTU3ZjNkODFlYTBiODFmYmRmN2IifQ=="/>
  </w:docVars>
  <w:rsids>
    <w:rsidRoot w:val="001C0D20"/>
    <w:rsid w:val="0000599A"/>
    <w:rsid w:val="000165A2"/>
    <w:rsid w:val="000308FF"/>
    <w:rsid w:val="00037A1D"/>
    <w:rsid w:val="0004580D"/>
    <w:rsid w:val="0005625D"/>
    <w:rsid w:val="00060432"/>
    <w:rsid w:val="000612EC"/>
    <w:rsid w:val="00084F5E"/>
    <w:rsid w:val="000877F4"/>
    <w:rsid w:val="0009737A"/>
    <w:rsid w:val="000D5B0C"/>
    <w:rsid w:val="000E0CA5"/>
    <w:rsid w:val="000E4EE6"/>
    <w:rsid w:val="000E519E"/>
    <w:rsid w:val="000E73A7"/>
    <w:rsid w:val="001011E7"/>
    <w:rsid w:val="0010419A"/>
    <w:rsid w:val="00104BF7"/>
    <w:rsid w:val="001114A0"/>
    <w:rsid w:val="00121FE9"/>
    <w:rsid w:val="00122EFB"/>
    <w:rsid w:val="001242DC"/>
    <w:rsid w:val="001256B3"/>
    <w:rsid w:val="001443A2"/>
    <w:rsid w:val="001543A7"/>
    <w:rsid w:val="00163432"/>
    <w:rsid w:val="00165F40"/>
    <w:rsid w:val="0017129A"/>
    <w:rsid w:val="00172E4E"/>
    <w:rsid w:val="00173FF7"/>
    <w:rsid w:val="0017483E"/>
    <w:rsid w:val="00180489"/>
    <w:rsid w:val="00184A19"/>
    <w:rsid w:val="001874F4"/>
    <w:rsid w:val="00194AA3"/>
    <w:rsid w:val="00197DB6"/>
    <w:rsid w:val="001A2C2E"/>
    <w:rsid w:val="001C0D20"/>
    <w:rsid w:val="001C234F"/>
    <w:rsid w:val="001C37E9"/>
    <w:rsid w:val="001C7566"/>
    <w:rsid w:val="001F4D3E"/>
    <w:rsid w:val="001F53BB"/>
    <w:rsid w:val="002037F8"/>
    <w:rsid w:val="00237679"/>
    <w:rsid w:val="002554CB"/>
    <w:rsid w:val="00262830"/>
    <w:rsid w:val="002632E6"/>
    <w:rsid w:val="00271E49"/>
    <w:rsid w:val="00277C58"/>
    <w:rsid w:val="00281E7B"/>
    <w:rsid w:val="00283354"/>
    <w:rsid w:val="00285DA3"/>
    <w:rsid w:val="0029684B"/>
    <w:rsid w:val="002B6374"/>
    <w:rsid w:val="002C00C9"/>
    <w:rsid w:val="002C1650"/>
    <w:rsid w:val="002C2C03"/>
    <w:rsid w:val="002C7344"/>
    <w:rsid w:val="002C74A5"/>
    <w:rsid w:val="002D5659"/>
    <w:rsid w:val="002F1FA7"/>
    <w:rsid w:val="002F6365"/>
    <w:rsid w:val="002F6D74"/>
    <w:rsid w:val="00302BBC"/>
    <w:rsid w:val="003067ED"/>
    <w:rsid w:val="00310525"/>
    <w:rsid w:val="003235F4"/>
    <w:rsid w:val="00324460"/>
    <w:rsid w:val="00346681"/>
    <w:rsid w:val="00354E3B"/>
    <w:rsid w:val="003573D4"/>
    <w:rsid w:val="00357670"/>
    <w:rsid w:val="003604A6"/>
    <w:rsid w:val="00363E8D"/>
    <w:rsid w:val="00370156"/>
    <w:rsid w:val="0037436C"/>
    <w:rsid w:val="0037496C"/>
    <w:rsid w:val="00386852"/>
    <w:rsid w:val="00396851"/>
    <w:rsid w:val="003A1363"/>
    <w:rsid w:val="003A1DB9"/>
    <w:rsid w:val="003A7E36"/>
    <w:rsid w:val="003D1824"/>
    <w:rsid w:val="003E111D"/>
    <w:rsid w:val="003E2CDE"/>
    <w:rsid w:val="003E6B42"/>
    <w:rsid w:val="003F4745"/>
    <w:rsid w:val="003F5117"/>
    <w:rsid w:val="00400A3D"/>
    <w:rsid w:val="00401F88"/>
    <w:rsid w:val="00414B8A"/>
    <w:rsid w:val="00425568"/>
    <w:rsid w:val="00467525"/>
    <w:rsid w:val="00495334"/>
    <w:rsid w:val="004A2524"/>
    <w:rsid w:val="004B2849"/>
    <w:rsid w:val="004E1209"/>
    <w:rsid w:val="004E67D9"/>
    <w:rsid w:val="004E68F4"/>
    <w:rsid w:val="004F286D"/>
    <w:rsid w:val="0050103F"/>
    <w:rsid w:val="0050576B"/>
    <w:rsid w:val="005072F2"/>
    <w:rsid w:val="00510A97"/>
    <w:rsid w:val="00521D35"/>
    <w:rsid w:val="00530296"/>
    <w:rsid w:val="00531124"/>
    <w:rsid w:val="005331D5"/>
    <w:rsid w:val="005364D1"/>
    <w:rsid w:val="005420CD"/>
    <w:rsid w:val="0054329E"/>
    <w:rsid w:val="00552107"/>
    <w:rsid w:val="005609B0"/>
    <w:rsid w:val="00564C0A"/>
    <w:rsid w:val="00574713"/>
    <w:rsid w:val="005760BD"/>
    <w:rsid w:val="00584AC1"/>
    <w:rsid w:val="00586655"/>
    <w:rsid w:val="0059536A"/>
    <w:rsid w:val="005A0104"/>
    <w:rsid w:val="005A3861"/>
    <w:rsid w:val="005A3E8F"/>
    <w:rsid w:val="005A4DED"/>
    <w:rsid w:val="005B163D"/>
    <w:rsid w:val="005B600E"/>
    <w:rsid w:val="005D33BF"/>
    <w:rsid w:val="005F685D"/>
    <w:rsid w:val="0060366E"/>
    <w:rsid w:val="006064F3"/>
    <w:rsid w:val="00614BB6"/>
    <w:rsid w:val="006211E7"/>
    <w:rsid w:val="006213D4"/>
    <w:rsid w:val="006324BA"/>
    <w:rsid w:val="0063293F"/>
    <w:rsid w:val="0065704D"/>
    <w:rsid w:val="00665990"/>
    <w:rsid w:val="00672D67"/>
    <w:rsid w:val="006731B1"/>
    <w:rsid w:val="00695AF5"/>
    <w:rsid w:val="006A3CB7"/>
    <w:rsid w:val="006C0A5C"/>
    <w:rsid w:val="006C7FD2"/>
    <w:rsid w:val="006E3B19"/>
    <w:rsid w:val="006E4C1E"/>
    <w:rsid w:val="006E5A4E"/>
    <w:rsid w:val="006F3C67"/>
    <w:rsid w:val="006F52ED"/>
    <w:rsid w:val="006F7D78"/>
    <w:rsid w:val="0070538A"/>
    <w:rsid w:val="00720FD3"/>
    <w:rsid w:val="007349F7"/>
    <w:rsid w:val="00744C0C"/>
    <w:rsid w:val="00747C06"/>
    <w:rsid w:val="007516C9"/>
    <w:rsid w:val="007654EB"/>
    <w:rsid w:val="0077435F"/>
    <w:rsid w:val="007760A4"/>
    <w:rsid w:val="0078194D"/>
    <w:rsid w:val="007862A0"/>
    <w:rsid w:val="00790A9E"/>
    <w:rsid w:val="007A35DC"/>
    <w:rsid w:val="007A6651"/>
    <w:rsid w:val="007D0389"/>
    <w:rsid w:val="007F5E5E"/>
    <w:rsid w:val="00800F0A"/>
    <w:rsid w:val="008247EA"/>
    <w:rsid w:val="008411E7"/>
    <w:rsid w:val="00844319"/>
    <w:rsid w:val="00850E17"/>
    <w:rsid w:val="00857887"/>
    <w:rsid w:val="008642ED"/>
    <w:rsid w:val="00873887"/>
    <w:rsid w:val="00874A26"/>
    <w:rsid w:val="0088609B"/>
    <w:rsid w:val="008875CD"/>
    <w:rsid w:val="008A4D82"/>
    <w:rsid w:val="008A507A"/>
    <w:rsid w:val="008B143D"/>
    <w:rsid w:val="008B5560"/>
    <w:rsid w:val="008B69E8"/>
    <w:rsid w:val="008B7EFB"/>
    <w:rsid w:val="008C162C"/>
    <w:rsid w:val="008E42AC"/>
    <w:rsid w:val="008E5463"/>
    <w:rsid w:val="0090533F"/>
    <w:rsid w:val="009109B8"/>
    <w:rsid w:val="00921E9A"/>
    <w:rsid w:val="00930607"/>
    <w:rsid w:val="00931E61"/>
    <w:rsid w:val="00940468"/>
    <w:rsid w:val="00943F97"/>
    <w:rsid w:val="0095008C"/>
    <w:rsid w:val="00950C7F"/>
    <w:rsid w:val="009559CC"/>
    <w:rsid w:val="00962666"/>
    <w:rsid w:val="00982861"/>
    <w:rsid w:val="009A2C54"/>
    <w:rsid w:val="009A4F56"/>
    <w:rsid w:val="009B67E0"/>
    <w:rsid w:val="009D3272"/>
    <w:rsid w:val="009F3DC0"/>
    <w:rsid w:val="00A126D8"/>
    <w:rsid w:val="00A24880"/>
    <w:rsid w:val="00A25768"/>
    <w:rsid w:val="00A33141"/>
    <w:rsid w:val="00A3429D"/>
    <w:rsid w:val="00A60C64"/>
    <w:rsid w:val="00A66686"/>
    <w:rsid w:val="00A72ABB"/>
    <w:rsid w:val="00A90190"/>
    <w:rsid w:val="00A92B3D"/>
    <w:rsid w:val="00A93673"/>
    <w:rsid w:val="00AA25F0"/>
    <w:rsid w:val="00AB2554"/>
    <w:rsid w:val="00AC0C9A"/>
    <w:rsid w:val="00AC6B2D"/>
    <w:rsid w:val="00AD460B"/>
    <w:rsid w:val="00AF6090"/>
    <w:rsid w:val="00B0298C"/>
    <w:rsid w:val="00B0799C"/>
    <w:rsid w:val="00B127E4"/>
    <w:rsid w:val="00B17B0B"/>
    <w:rsid w:val="00B319DD"/>
    <w:rsid w:val="00B35385"/>
    <w:rsid w:val="00B36440"/>
    <w:rsid w:val="00B36CDC"/>
    <w:rsid w:val="00B60CB4"/>
    <w:rsid w:val="00B6592E"/>
    <w:rsid w:val="00B66197"/>
    <w:rsid w:val="00B70914"/>
    <w:rsid w:val="00B73929"/>
    <w:rsid w:val="00B74A5E"/>
    <w:rsid w:val="00B816C9"/>
    <w:rsid w:val="00B90E17"/>
    <w:rsid w:val="00B9473D"/>
    <w:rsid w:val="00B95314"/>
    <w:rsid w:val="00BA626C"/>
    <w:rsid w:val="00BC036C"/>
    <w:rsid w:val="00BC77FF"/>
    <w:rsid w:val="00BD2332"/>
    <w:rsid w:val="00BE78D3"/>
    <w:rsid w:val="00BE7FD7"/>
    <w:rsid w:val="00BF6A28"/>
    <w:rsid w:val="00C248CC"/>
    <w:rsid w:val="00C43CDD"/>
    <w:rsid w:val="00C56BE2"/>
    <w:rsid w:val="00C65755"/>
    <w:rsid w:val="00C66DD9"/>
    <w:rsid w:val="00C75265"/>
    <w:rsid w:val="00C75EA7"/>
    <w:rsid w:val="00C86838"/>
    <w:rsid w:val="00CD2367"/>
    <w:rsid w:val="00CF16C6"/>
    <w:rsid w:val="00CF3553"/>
    <w:rsid w:val="00D0034E"/>
    <w:rsid w:val="00D067EC"/>
    <w:rsid w:val="00D220C4"/>
    <w:rsid w:val="00D24E79"/>
    <w:rsid w:val="00D318C5"/>
    <w:rsid w:val="00D373ED"/>
    <w:rsid w:val="00D440AF"/>
    <w:rsid w:val="00D44FE3"/>
    <w:rsid w:val="00D51BC9"/>
    <w:rsid w:val="00D52FB1"/>
    <w:rsid w:val="00D53CA7"/>
    <w:rsid w:val="00D5662D"/>
    <w:rsid w:val="00D73E04"/>
    <w:rsid w:val="00D80FB7"/>
    <w:rsid w:val="00D82775"/>
    <w:rsid w:val="00D90DE6"/>
    <w:rsid w:val="00D9290F"/>
    <w:rsid w:val="00D97170"/>
    <w:rsid w:val="00DB4B52"/>
    <w:rsid w:val="00DC1F2E"/>
    <w:rsid w:val="00DD2826"/>
    <w:rsid w:val="00DD305E"/>
    <w:rsid w:val="00DD3C73"/>
    <w:rsid w:val="00DD5174"/>
    <w:rsid w:val="00DE094C"/>
    <w:rsid w:val="00DE4283"/>
    <w:rsid w:val="00DE4A0A"/>
    <w:rsid w:val="00E02171"/>
    <w:rsid w:val="00E04666"/>
    <w:rsid w:val="00E05F81"/>
    <w:rsid w:val="00E15382"/>
    <w:rsid w:val="00E159DA"/>
    <w:rsid w:val="00E25EEC"/>
    <w:rsid w:val="00E266BB"/>
    <w:rsid w:val="00E367A4"/>
    <w:rsid w:val="00E507F4"/>
    <w:rsid w:val="00E5155F"/>
    <w:rsid w:val="00E516F8"/>
    <w:rsid w:val="00E531D6"/>
    <w:rsid w:val="00E57BB4"/>
    <w:rsid w:val="00E6714D"/>
    <w:rsid w:val="00E87BB5"/>
    <w:rsid w:val="00EA3082"/>
    <w:rsid w:val="00EA78F5"/>
    <w:rsid w:val="00EC3DB8"/>
    <w:rsid w:val="00ED7623"/>
    <w:rsid w:val="00F0323C"/>
    <w:rsid w:val="00F33EEC"/>
    <w:rsid w:val="00F3407E"/>
    <w:rsid w:val="00F41139"/>
    <w:rsid w:val="00F43D9D"/>
    <w:rsid w:val="00F57654"/>
    <w:rsid w:val="00F64D6C"/>
    <w:rsid w:val="00F70B23"/>
    <w:rsid w:val="00F7366C"/>
    <w:rsid w:val="00F81A45"/>
    <w:rsid w:val="00F97929"/>
    <w:rsid w:val="00FA0988"/>
    <w:rsid w:val="00FA19EA"/>
    <w:rsid w:val="00FA7B1F"/>
    <w:rsid w:val="00FC1323"/>
    <w:rsid w:val="00FC5F3F"/>
    <w:rsid w:val="00FD5330"/>
    <w:rsid w:val="00FD7B64"/>
    <w:rsid w:val="00FE21B8"/>
    <w:rsid w:val="00FE3856"/>
    <w:rsid w:val="00FE6FB7"/>
    <w:rsid w:val="00FF0220"/>
    <w:rsid w:val="00FF1CF6"/>
    <w:rsid w:val="00FF4AAA"/>
    <w:rsid w:val="03870051"/>
    <w:rsid w:val="0D2D2EA8"/>
    <w:rsid w:val="0D9B3E30"/>
    <w:rsid w:val="13555F7D"/>
    <w:rsid w:val="15BE07F1"/>
    <w:rsid w:val="1EA855B3"/>
    <w:rsid w:val="27F751B9"/>
    <w:rsid w:val="29317192"/>
    <w:rsid w:val="29801B53"/>
    <w:rsid w:val="2A6E0F36"/>
    <w:rsid w:val="31D13706"/>
    <w:rsid w:val="3A4A561C"/>
    <w:rsid w:val="3D193084"/>
    <w:rsid w:val="4F9842DC"/>
    <w:rsid w:val="505A5003"/>
    <w:rsid w:val="54BA53E2"/>
    <w:rsid w:val="585B73E1"/>
    <w:rsid w:val="59F55816"/>
    <w:rsid w:val="5E85338D"/>
    <w:rsid w:val="60141E0B"/>
    <w:rsid w:val="618232CA"/>
    <w:rsid w:val="65456237"/>
    <w:rsid w:val="65FB5692"/>
    <w:rsid w:val="66FF707B"/>
    <w:rsid w:val="675D60DF"/>
    <w:rsid w:val="6BFD0F5F"/>
    <w:rsid w:val="6FFB0243"/>
    <w:rsid w:val="71343AD9"/>
    <w:rsid w:val="73DA4BFF"/>
    <w:rsid w:val="7F1B7FB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2"/>
    <w:basedOn w:val="1"/>
    <w:qFormat/>
    <w:uiPriority w:val="99"/>
    <w:pPr>
      <w:spacing w:after="120" w:line="480" w:lineRule="auto"/>
      <w:ind w:left="420" w:leftChars="200"/>
    </w:pPr>
  </w:style>
  <w:style w:type="paragraph" w:styleId="4">
    <w:name w:val="Balloon Text"/>
    <w:basedOn w:val="1"/>
    <w:link w:val="10"/>
    <w:semiHidden/>
    <w:qFormat/>
    <w:uiPriority w:val="99"/>
    <w:rPr>
      <w:sz w:val="18"/>
      <w:szCs w:val="18"/>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批注框文本 Char"/>
    <w:basedOn w:val="9"/>
    <w:link w:val="4"/>
    <w:semiHidden/>
    <w:qFormat/>
    <w:locked/>
    <w:uiPriority w:val="99"/>
    <w:rPr>
      <w:rFonts w:cs="Times New Roman"/>
      <w:sz w:val="2"/>
    </w:rPr>
  </w:style>
  <w:style w:type="character" w:customStyle="1" w:styleId="11">
    <w:name w:val="页脚 Char"/>
    <w:basedOn w:val="9"/>
    <w:link w:val="5"/>
    <w:qFormat/>
    <w:locked/>
    <w:uiPriority w:val="99"/>
    <w:rPr>
      <w:rFonts w:cs="Times New Roman"/>
      <w:sz w:val="18"/>
      <w:szCs w:val="18"/>
    </w:rPr>
  </w:style>
  <w:style w:type="character" w:customStyle="1" w:styleId="12">
    <w:name w:val="页眉 Char"/>
    <w:basedOn w:val="9"/>
    <w:link w:val="6"/>
    <w:qFormat/>
    <w:locked/>
    <w:uiPriority w:val="99"/>
    <w:rPr>
      <w:rFonts w:cs="Times New Roman"/>
      <w:sz w:val="18"/>
      <w:szCs w:val="18"/>
    </w:rPr>
  </w:style>
  <w:style w:type="character" w:customStyle="1" w:styleId="13">
    <w:name w:val="apple-converted-space"/>
    <w:basedOn w:val="9"/>
    <w:qFormat/>
    <w:uiPriority w:val="99"/>
    <w:rPr>
      <w:rFonts w:cs="Times New Roman"/>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2776</Words>
  <Characters>2999</Characters>
  <Lines>27</Lines>
  <Paragraphs>7</Paragraphs>
  <TotalTime>7</TotalTime>
  <ScaleCrop>false</ScaleCrop>
  <LinksUpToDate>false</LinksUpToDate>
  <CharactersWithSpaces>3001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2018-07-11T02:33:00Z</dcterms:created>
  <dc:creator>lenovo</dc:creator>
  <cp:lastModifiedBy>Administrator</cp:lastModifiedBy>
  <cp:lastPrinted>2023-06-25T02:48:53Z</cp:lastPrinted>
  <dcterms:modified xsi:type="dcterms:W3CDTF">2023-06-25T02:49:08Z</dcterms:modified>
  <dc:title>溆浦县畜牧水产局</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F19D2A3201F54CEC9735241257FD8E01</vt:lpwstr>
  </property>
</Properties>
</file>