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方正大标宋简体" w:eastAsia="方正大标宋简体"/>
          <w:sz w:val="44"/>
          <w:szCs w:val="44"/>
        </w:rPr>
      </w:pPr>
      <w:r>
        <w:rPr>
          <w:rFonts w:hint="eastAsia" w:ascii="方正大标宋简体" w:eastAsia="方正大标宋简体"/>
          <w:sz w:val="44"/>
          <w:szCs w:val="44"/>
          <w:lang w:eastAsia="zh-CN"/>
        </w:rPr>
        <w:t>溆浦</w:t>
      </w:r>
      <w:bookmarkStart w:id="0" w:name="_GoBack"/>
      <w:bookmarkEnd w:id="0"/>
      <w:r>
        <w:rPr>
          <w:rFonts w:hint="eastAsia" w:ascii="方正大标宋简体" w:eastAsia="方正大标宋简体"/>
          <w:sz w:val="44"/>
          <w:szCs w:val="44"/>
        </w:rPr>
        <w:t>县煤炭事务中心20</w:t>
      </w:r>
      <w:r>
        <w:rPr>
          <w:rFonts w:hint="eastAsia" w:ascii="方正大标宋简体" w:eastAsia="方正大标宋简体"/>
          <w:sz w:val="44"/>
          <w:szCs w:val="44"/>
          <w:lang w:val="en-US" w:eastAsia="zh-CN"/>
        </w:rPr>
        <w:t>22</w:t>
      </w:r>
      <w:r>
        <w:rPr>
          <w:rFonts w:hint="eastAsia" w:ascii="方正大标宋简体" w:eastAsia="方正大标宋简体"/>
          <w:sz w:val="44"/>
          <w:szCs w:val="44"/>
        </w:rPr>
        <w:t>年部门整体支出</w:t>
      </w:r>
    </w:p>
    <w:p>
      <w:pPr>
        <w:spacing w:line="640" w:lineRule="exact"/>
        <w:jc w:val="center"/>
        <w:rPr>
          <w:rFonts w:hint="eastAsia" w:ascii="方正大标宋简体" w:eastAsia="方正大标宋简体"/>
          <w:sz w:val="44"/>
          <w:szCs w:val="44"/>
        </w:rPr>
      </w:pPr>
      <w:r>
        <w:rPr>
          <w:rFonts w:hint="eastAsia" w:ascii="方正大标宋简体" w:eastAsia="方正大标宋简体"/>
          <w:sz w:val="44"/>
          <w:szCs w:val="44"/>
        </w:rPr>
        <w:t>绩效自评报告</w:t>
      </w:r>
    </w:p>
    <w:p>
      <w:pPr>
        <w:spacing w:line="580" w:lineRule="exact"/>
        <w:ind w:firstLine="640" w:firstLineChars="200"/>
        <w:rPr>
          <w:rFonts w:hint="eastAsia" w:ascii="仿宋_GB2312" w:hAnsi="仿宋_GB2312" w:eastAsia="仿宋_GB2312" w:cs="仿宋_GB2312"/>
          <w:sz w:val="32"/>
          <w:szCs w:val="32"/>
        </w:rPr>
      </w:pPr>
    </w:p>
    <w:p>
      <w:pPr>
        <w:spacing w:line="58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rPr>
        <w:t>一、</w:t>
      </w:r>
      <w:r>
        <w:rPr>
          <w:rFonts w:hint="eastAsia" w:ascii="黑体" w:hAnsi="黑体" w:eastAsia="黑体" w:cs="黑体"/>
          <w:sz w:val="32"/>
          <w:szCs w:val="32"/>
          <w:lang w:eastAsia="zh-CN"/>
        </w:rPr>
        <w:t>部门概况</w:t>
      </w:r>
    </w:p>
    <w:p>
      <w:pPr>
        <w:keepNext w:val="0"/>
        <w:keepLines w:val="0"/>
        <w:pageBreakBefore w:val="0"/>
        <w:widowControl/>
        <w:kinsoku/>
        <w:wordWrap w:val="0"/>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一）溆浦县煤炭事务中心是属于溆浦县应急管理局下属股级全额拨款的事业单位。主要负责煤炭事务的行政管理、煤矿关闭退出遗留问题。本单位核定编制28名，实有人员144人，其中：在职人员 32人、离退休人员  112人。主要职能：  1、负责应急管理局授权的矿山安全监管、行政许可事项。2、负责煤炭事务的行政管理、煤矿关闭退出遗留问题。3、保障本县工业企业、居民生活用煤的购销质量监管。</w:t>
      </w:r>
    </w:p>
    <w:p>
      <w:pPr>
        <w:pStyle w:val="8"/>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kern w:val="2"/>
          <w:sz w:val="32"/>
          <w:szCs w:val="32"/>
          <w:lang w:val="en-US" w:eastAsia="zh-CN" w:bidi="ar-SA"/>
        </w:rPr>
        <w:t>二）2022年度支出合计1444.55万元，其中：基本支出265.65万元；项目支出1178.9万元，资金使用方向为单位日常基本支出和拨付溆浦县金正锰业尾矿库闭库工程款、煤矿改制发放安置费及抚恤费、振兴煤矿关闭退出奖补资金、原椒板溪煤矿挡水墙应急工程款、四煤矿及电解锰企业补亏资金、煤矿危房拆除工程款、国有煤炭企业工矿棚户区项目款、宇鑫矿业尾矿库隐患治理工程款、青山尾矿库闭库工程进度款、华能矿业曾家溪锑矿尾矿库闭库工程进度款。</w:t>
      </w:r>
    </w:p>
    <w:p>
      <w:pPr>
        <w:numPr>
          <w:ilvl w:val="0"/>
          <w:numId w:val="1"/>
        </w:numPr>
        <w:spacing w:line="58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部门整体支出管理及使用情况</w:t>
      </w:r>
    </w:p>
    <w:p>
      <w:pPr>
        <w:pStyle w:val="8"/>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val="0"/>
          <w:sz w:val="32"/>
          <w:szCs w:val="32"/>
        </w:rPr>
        <w:t>（</w:t>
      </w:r>
      <w:r>
        <w:rPr>
          <w:rFonts w:hint="eastAsia" w:ascii="仿宋_GB2312" w:hAnsi="仿宋_GB2312" w:eastAsia="仿宋_GB2312" w:cs="仿宋_GB2312"/>
          <w:b/>
          <w:bCs w:val="0"/>
          <w:sz w:val="32"/>
          <w:szCs w:val="32"/>
          <w:lang w:eastAsia="zh-CN"/>
        </w:rPr>
        <w:t>一</w:t>
      </w:r>
      <w:r>
        <w:rPr>
          <w:rFonts w:hint="eastAsia" w:ascii="仿宋_GB2312" w:hAnsi="仿宋_GB2312" w:eastAsia="仿宋_GB2312" w:cs="仿宋_GB2312"/>
          <w:b/>
          <w:bCs w:val="0"/>
          <w:sz w:val="32"/>
          <w:szCs w:val="32"/>
        </w:rPr>
        <w:t>）基本支出。</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年度基本支出</w:t>
      </w:r>
      <w:r>
        <w:rPr>
          <w:rFonts w:hint="eastAsia" w:ascii="仿宋_GB2312" w:hAnsi="仿宋_GB2312" w:eastAsia="仿宋_GB2312" w:cs="仿宋_GB2312"/>
          <w:sz w:val="32"/>
          <w:szCs w:val="32"/>
          <w:lang w:val="en-US" w:eastAsia="zh-CN"/>
        </w:rPr>
        <w:t>265.65</w:t>
      </w:r>
      <w:r>
        <w:rPr>
          <w:rFonts w:hint="eastAsia" w:ascii="仿宋_GB2312" w:hAnsi="仿宋_GB2312" w:eastAsia="仿宋_GB2312" w:cs="仿宋_GB2312"/>
          <w:sz w:val="32"/>
          <w:szCs w:val="32"/>
        </w:rPr>
        <w:t>万元，主要是为保障机构正常运转、完成日常工作任务而发生的支出，主要包括：工资福利支出</w:t>
      </w:r>
      <w:r>
        <w:rPr>
          <w:rFonts w:hint="eastAsia" w:ascii="仿宋_GB2312" w:hAnsi="仿宋_GB2312" w:eastAsia="仿宋_GB2312" w:cs="仿宋_GB2312"/>
          <w:sz w:val="32"/>
          <w:szCs w:val="32"/>
          <w:lang w:val="en-US" w:eastAsia="zh-CN"/>
        </w:rPr>
        <w:t>232.4</w:t>
      </w:r>
      <w:r>
        <w:rPr>
          <w:rFonts w:hint="eastAsia" w:ascii="仿宋_GB2312" w:hAnsi="仿宋_GB2312" w:eastAsia="仿宋_GB2312" w:cs="仿宋_GB2312"/>
          <w:sz w:val="32"/>
          <w:szCs w:val="32"/>
        </w:rPr>
        <w:t>万元；商品服务支出</w:t>
      </w:r>
      <w:r>
        <w:rPr>
          <w:rFonts w:hint="eastAsia" w:ascii="仿宋_GB2312" w:hAnsi="仿宋_GB2312" w:eastAsia="仿宋_GB2312" w:cs="仿宋_GB2312"/>
          <w:sz w:val="32"/>
          <w:szCs w:val="32"/>
          <w:lang w:val="en-US" w:eastAsia="zh-CN"/>
        </w:rPr>
        <w:t>26.69</w:t>
      </w:r>
      <w:r>
        <w:rPr>
          <w:rFonts w:hint="eastAsia" w:ascii="仿宋_GB2312" w:hAnsi="仿宋_GB2312" w:eastAsia="仿宋_GB2312" w:cs="仿宋_GB2312"/>
          <w:sz w:val="32"/>
          <w:szCs w:val="32"/>
        </w:rPr>
        <w:t>万元；对个人和家庭补助支出</w:t>
      </w:r>
      <w:r>
        <w:rPr>
          <w:rFonts w:hint="eastAsia" w:ascii="仿宋_GB2312" w:hAnsi="仿宋_GB2312" w:eastAsia="仿宋_GB2312" w:cs="仿宋_GB2312"/>
          <w:sz w:val="32"/>
          <w:szCs w:val="32"/>
          <w:lang w:val="en-US" w:eastAsia="zh-CN"/>
        </w:rPr>
        <w:t>6.57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“三公”经费中，公务接待费支出决算</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万元，因公出国（境）费支出决算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万元，公务用车购置费及运行维护费支出决算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pStyle w:val="8"/>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val="0"/>
          <w:sz w:val="32"/>
          <w:szCs w:val="32"/>
          <w:lang w:val="en-US" w:eastAsia="zh-CN"/>
        </w:rPr>
        <w:t>（三）专项支出。</w:t>
      </w:r>
      <w:r>
        <w:rPr>
          <w:rFonts w:hint="eastAsia" w:ascii="仿宋_GB2312" w:hAnsi="仿宋_GB2312" w:eastAsia="仿宋_GB2312" w:cs="仿宋_GB2312"/>
          <w:sz w:val="32"/>
          <w:szCs w:val="32"/>
          <w:lang w:val="en-US" w:eastAsia="zh-CN"/>
        </w:rPr>
        <w:t>2022年度项目支出1178.9万元。其中商品和服务支出1.14万元，资本性支出1177.76万元。</w:t>
      </w:r>
      <w:r>
        <w:rPr>
          <w:rFonts w:hint="eastAsia" w:ascii="仿宋_GB2312" w:hAnsi="仿宋_GB2312" w:eastAsia="仿宋_GB2312" w:cs="仿宋_GB2312"/>
          <w:sz w:val="32"/>
          <w:szCs w:val="32"/>
          <w:highlight w:val="none"/>
          <w:lang w:val="en-US" w:eastAsia="zh-CN"/>
        </w:rPr>
        <w:t>主要包括</w:t>
      </w:r>
      <w:r>
        <w:rPr>
          <w:rFonts w:hint="eastAsia" w:ascii="仿宋_GB2312" w:hAnsi="仿宋_GB2312" w:eastAsia="仿宋_GB2312" w:cs="仿宋_GB2312"/>
          <w:color w:val="auto"/>
          <w:kern w:val="2"/>
          <w:sz w:val="32"/>
          <w:szCs w:val="32"/>
          <w:lang w:val="en-US" w:eastAsia="zh-CN" w:bidi="ar-SA"/>
        </w:rPr>
        <w:t>煤矿改制发放安置费及抚恤费</w:t>
      </w:r>
      <w:r>
        <w:rPr>
          <w:rFonts w:hint="eastAsia" w:ascii="仿宋_GB2312" w:hAnsi="仿宋_GB2312" w:eastAsia="仿宋_GB2312" w:cs="仿宋_GB2312"/>
          <w:color w:val="auto"/>
          <w:kern w:val="2"/>
          <w:sz w:val="32"/>
          <w:szCs w:val="32"/>
          <w:highlight w:val="none"/>
          <w:lang w:val="en-US" w:eastAsia="zh-CN" w:bidi="ar-SA"/>
        </w:rPr>
        <w:t>66.5万</w:t>
      </w:r>
      <w:r>
        <w:rPr>
          <w:rFonts w:hint="eastAsia" w:ascii="仿宋_GB2312" w:hAnsi="仿宋_GB2312" w:eastAsia="仿宋_GB2312" w:cs="仿宋_GB2312"/>
          <w:color w:val="auto"/>
          <w:kern w:val="2"/>
          <w:sz w:val="32"/>
          <w:szCs w:val="32"/>
          <w:lang w:val="en-US" w:eastAsia="zh-CN" w:bidi="ar-SA"/>
        </w:rPr>
        <w:t>元、振兴煤矿关闭退出奖补资金</w:t>
      </w:r>
      <w:r>
        <w:rPr>
          <w:rFonts w:hint="eastAsia" w:ascii="仿宋_GB2312" w:hAnsi="仿宋_GB2312" w:eastAsia="仿宋_GB2312" w:cs="仿宋_GB2312"/>
          <w:color w:val="auto"/>
          <w:kern w:val="2"/>
          <w:sz w:val="32"/>
          <w:szCs w:val="32"/>
          <w:highlight w:val="none"/>
          <w:lang w:val="en-US" w:eastAsia="zh-CN" w:bidi="ar-SA"/>
        </w:rPr>
        <w:t>120万</w:t>
      </w:r>
      <w:r>
        <w:rPr>
          <w:rFonts w:hint="eastAsia" w:ascii="仿宋_GB2312" w:hAnsi="仿宋_GB2312" w:eastAsia="仿宋_GB2312" w:cs="仿宋_GB2312"/>
          <w:color w:val="auto"/>
          <w:kern w:val="2"/>
          <w:sz w:val="32"/>
          <w:szCs w:val="32"/>
          <w:lang w:val="en-US" w:eastAsia="zh-CN" w:bidi="ar-SA"/>
        </w:rPr>
        <w:t>元、原椒板溪煤矿挡水墙应急工程款</w:t>
      </w:r>
      <w:r>
        <w:rPr>
          <w:rFonts w:hint="eastAsia" w:ascii="仿宋_GB2312" w:hAnsi="仿宋_GB2312" w:eastAsia="仿宋_GB2312" w:cs="仿宋_GB2312"/>
          <w:color w:val="auto"/>
          <w:kern w:val="2"/>
          <w:sz w:val="32"/>
          <w:szCs w:val="32"/>
          <w:highlight w:val="none"/>
          <w:lang w:val="en-US" w:eastAsia="zh-CN" w:bidi="ar-SA"/>
        </w:rPr>
        <w:t>60</w:t>
      </w:r>
      <w:r>
        <w:rPr>
          <w:rFonts w:hint="eastAsia" w:ascii="仿宋_GB2312" w:hAnsi="仿宋_GB2312" w:eastAsia="仿宋_GB2312" w:cs="仿宋_GB2312"/>
          <w:color w:val="auto"/>
          <w:kern w:val="2"/>
          <w:sz w:val="32"/>
          <w:szCs w:val="32"/>
          <w:lang w:val="en-US" w:eastAsia="zh-CN" w:bidi="ar-SA"/>
        </w:rPr>
        <w:t>万元、四煤矿及电解锰企业补亏资金</w:t>
      </w:r>
      <w:r>
        <w:rPr>
          <w:rFonts w:hint="eastAsia" w:ascii="仿宋_GB2312" w:hAnsi="仿宋_GB2312" w:eastAsia="仿宋_GB2312" w:cs="仿宋_GB2312"/>
          <w:color w:val="auto"/>
          <w:kern w:val="2"/>
          <w:sz w:val="32"/>
          <w:szCs w:val="32"/>
          <w:highlight w:val="none"/>
          <w:lang w:val="en-US" w:eastAsia="zh-CN" w:bidi="ar-SA"/>
        </w:rPr>
        <w:t>208.24万元</w:t>
      </w:r>
      <w:r>
        <w:rPr>
          <w:rFonts w:hint="eastAsia" w:ascii="仿宋_GB2312" w:hAnsi="仿宋_GB2312" w:eastAsia="仿宋_GB2312" w:cs="仿宋_GB2312"/>
          <w:color w:val="auto"/>
          <w:kern w:val="2"/>
          <w:sz w:val="32"/>
          <w:szCs w:val="32"/>
          <w:lang w:val="en-US" w:eastAsia="zh-CN" w:bidi="ar-SA"/>
        </w:rPr>
        <w:t>、煤矿危房拆除工程款</w:t>
      </w:r>
      <w:r>
        <w:rPr>
          <w:rFonts w:hint="eastAsia" w:ascii="仿宋_GB2312" w:hAnsi="仿宋_GB2312" w:eastAsia="仿宋_GB2312" w:cs="仿宋_GB2312"/>
          <w:color w:val="auto"/>
          <w:kern w:val="2"/>
          <w:sz w:val="32"/>
          <w:szCs w:val="32"/>
          <w:highlight w:val="none"/>
          <w:lang w:val="en-US" w:eastAsia="zh-CN" w:bidi="ar-SA"/>
        </w:rPr>
        <w:t>3</w:t>
      </w:r>
      <w:r>
        <w:rPr>
          <w:rFonts w:hint="eastAsia" w:ascii="仿宋_GB2312" w:hAnsi="仿宋_GB2312" w:eastAsia="仿宋_GB2312" w:cs="仿宋_GB2312"/>
          <w:color w:val="auto"/>
          <w:kern w:val="2"/>
          <w:sz w:val="32"/>
          <w:szCs w:val="32"/>
          <w:lang w:val="en-US" w:eastAsia="zh-CN" w:bidi="ar-SA"/>
        </w:rPr>
        <w:t>万元、国有煤炭企业工矿棚户区项目款</w:t>
      </w:r>
      <w:r>
        <w:rPr>
          <w:rFonts w:hint="eastAsia" w:ascii="仿宋_GB2312" w:hAnsi="仿宋_GB2312" w:eastAsia="仿宋_GB2312" w:cs="仿宋_GB2312"/>
          <w:color w:val="auto"/>
          <w:kern w:val="2"/>
          <w:sz w:val="32"/>
          <w:szCs w:val="32"/>
          <w:highlight w:val="none"/>
          <w:lang w:val="en-US" w:eastAsia="zh-CN" w:bidi="ar-SA"/>
        </w:rPr>
        <w:t>200</w:t>
      </w:r>
      <w:r>
        <w:rPr>
          <w:rFonts w:hint="eastAsia" w:ascii="仿宋_GB2312" w:hAnsi="仿宋_GB2312" w:eastAsia="仿宋_GB2312" w:cs="仿宋_GB2312"/>
          <w:color w:val="auto"/>
          <w:kern w:val="2"/>
          <w:sz w:val="32"/>
          <w:szCs w:val="32"/>
          <w:lang w:val="en-US" w:eastAsia="zh-CN" w:bidi="ar-SA"/>
        </w:rPr>
        <w:t>万元、宇鑫矿业尾矿库隐患治理工程款</w:t>
      </w:r>
      <w:r>
        <w:rPr>
          <w:rFonts w:hint="eastAsia" w:ascii="仿宋_GB2312" w:hAnsi="仿宋_GB2312" w:eastAsia="仿宋_GB2312" w:cs="仿宋_GB2312"/>
          <w:color w:val="auto"/>
          <w:kern w:val="2"/>
          <w:sz w:val="32"/>
          <w:szCs w:val="32"/>
          <w:highlight w:val="none"/>
          <w:lang w:val="en-US" w:eastAsia="zh-CN" w:bidi="ar-SA"/>
        </w:rPr>
        <w:t>70</w:t>
      </w:r>
      <w:r>
        <w:rPr>
          <w:rFonts w:hint="eastAsia" w:ascii="仿宋_GB2312" w:hAnsi="仿宋_GB2312" w:eastAsia="仿宋_GB2312" w:cs="仿宋_GB2312"/>
          <w:color w:val="auto"/>
          <w:kern w:val="2"/>
          <w:sz w:val="32"/>
          <w:szCs w:val="32"/>
          <w:lang w:val="en-US" w:eastAsia="zh-CN" w:bidi="ar-SA"/>
        </w:rPr>
        <w:t>万元、青山尾矿库闭库工程进度款</w:t>
      </w:r>
      <w:r>
        <w:rPr>
          <w:rFonts w:hint="eastAsia" w:ascii="仿宋_GB2312" w:hAnsi="仿宋_GB2312" w:eastAsia="仿宋_GB2312" w:cs="仿宋_GB2312"/>
          <w:color w:val="auto"/>
          <w:kern w:val="2"/>
          <w:sz w:val="32"/>
          <w:szCs w:val="32"/>
          <w:highlight w:val="none"/>
          <w:lang w:val="en-US" w:eastAsia="zh-CN" w:bidi="ar-SA"/>
        </w:rPr>
        <w:t>50</w:t>
      </w:r>
      <w:r>
        <w:rPr>
          <w:rFonts w:hint="eastAsia" w:ascii="仿宋_GB2312" w:hAnsi="仿宋_GB2312" w:eastAsia="仿宋_GB2312" w:cs="仿宋_GB2312"/>
          <w:color w:val="auto"/>
          <w:kern w:val="2"/>
          <w:sz w:val="32"/>
          <w:szCs w:val="32"/>
          <w:lang w:val="en-US" w:eastAsia="zh-CN" w:bidi="ar-SA"/>
        </w:rPr>
        <w:t>万元、华能矿业曾家溪锑矿尾矿库闭库工程进度款</w:t>
      </w:r>
      <w:r>
        <w:rPr>
          <w:rFonts w:hint="eastAsia" w:ascii="仿宋_GB2312" w:hAnsi="仿宋_GB2312" w:eastAsia="仿宋_GB2312" w:cs="仿宋_GB2312"/>
          <w:color w:val="auto"/>
          <w:kern w:val="2"/>
          <w:sz w:val="32"/>
          <w:szCs w:val="32"/>
          <w:highlight w:val="none"/>
          <w:lang w:val="en-US" w:eastAsia="zh-CN" w:bidi="ar-SA"/>
        </w:rPr>
        <w:t>80</w:t>
      </w:r>
      <w:r>
        <w:rPr>
          <w:rFonts w:hint="eastAsia" w:ascii="仿宋_GB2312" w:hAnsi="仿宋_GB2312" w:eastAsia="仿宋_GB2312" w:cs="仿宋_GB2312"/>
          <w:color w:val="auto"/>
          <w:kern w:val="2"/>
          <w:sz w:val="32"/>
          <w:szCs w:val="32"/>
          <w:lang w:val="en-US" w:eastAsia="zh-CN" w:bidi="ar-SA"/>
        </w:rPr>
        <w:t>万元、金正锰业尾矿库闭库工程进度款</w:t>
      </w:r>
      <w:r>
        <w:rPr>
          <w:rFonts w:hint="eastAsia" w:ascii="仿宋_GB2312" w:hAnsi="仿宋_GB2312" w:eastAsia="仿宋_GB2312" w:cs="仿宋_GB2312"/>
          <w:color w:val="auto"/>
          <w:kern w:val="2"/>
          <w:sz w:val="32"/>
          <w:szCs w:val="32"/>
          <w:highlight w:val="none"/>
          <w:lang w:val="en-US" w:eastAsia="zh-CN" w:bidi="ar-SA"/>
        </w:rPr>
        <w:t>320</w:t>
      </w:r>
      <w:r>
        <w:rPr>
          <w:rFonts w:hint="eastAsia" w:ascii="仿宋_GB2312" w:hAnsi="仿宋_GB2312" w:eastAsia="仿宋_GB2312" w:cs="仿宋_GB2312"/>
          <w:color w:val="auto"/>
          <w:kern w:val="2"/>
          <w:sz w:val="32"/>
          <w:szCs w:val="32"/>
          <w:lang w:val="en-US" w:eastAsia="zh-CN" w:bidi="ar-SA"/>
        </w:rPr>
        <w:t>万元。</w:t>
      </w:r>
    </w:p>
    <w:p>
      <w:pPr>
        <w:spacing w:line="58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三、部门专项组织实施情况</w:t>
      </w:r>
    </w:p>
    <w:p>
      <w:pPr>
        <w:spacing w:line="580" w:lineRule="exact"/>
        <w:ind w:firstLine="632" w:firstLineChars="200"/>
        <w:rPr>
          <w:rFonts w:hint="eastAsia" w:ascii="仿宋_GB2312" w:hAnsi="仿宋_GB2312" w:eastAsia="仿宋_GB2312" w:cs="仿宋_GB2312"/>
          <w:color w:val="000000"/>
          <w:spacing w:val="-2"/>
          <w:sz w:val="32"/>
          <w:szCs w:val="32"/>
          <w:shd w:val="clear" w:color="auto" w:fill="FFFFFF"/>
          <w:lang w:val="en-US" w:eastAsia="zh-CN"/>
        </w:rPr>
      </w:pPr>
      <w:r>
        <w:rPr>
          <w:rFonts w:hint="eastAsia" w:ascii="仿宋_GB2312" w:hAnsi="仿宋_GB2312" w:eastAsia="仿宋_GB2312" w:cs="仿宋_GB2312"/>
          <w:color w:val="000000"/>
          <w:spacing w:val="-2"/>
          <w:sz w:val="32"/>
          <w:szCs w:val="32"/>
          <w:shd w:val="clear" w:color="auto" w:fill="FFFFFF"/>
          <w:lang w:val="en-US" w:eastAsia="zh-CN"/>
        </w:rPr>
        <w:t>（一）专项组织情况分析，主要包括项目招投标、调整、竣工验收等情况。</w:t>
      </w:r>
    </w:p>
    <w:p>
      <w:pPr>
        <w:spacing w:line="580" w:lineRule="exact"/>
        <w:ind w:firstLine="632" w:firstLineChars="200"/>
        <w:rPr>
          <w:rFonts w:hint="default" w:ascii="仿宋_GB2312" w:hAnsi="仿宋_GB2312" w:eastAsia="仿宋_GB2312" w:cs="仿宋_GB2312"/>
          <w:color w:val="000000"/>
          <w:spacing w:val="-2"/>
          <w:sz w:val="32"/>
          <w:szCs w:val="32"/>
          <w:shd w:val="clear" w:color="auto" w:fill="FFFFFF"/>
          <w:lang w:val="en-US" w:eastAsia="zh-CN"/>
        </w:rPr>
      </w:pPr>
      <w:r>
        <w:rPr>
          <w:rFonts w:hint="eastAsia" w:ascii="仿宋_GB2312" w:hAnsi="仿宋_GB2312" w:eastAsia="仿宋_GB2312" w:cs="仿宋_GB2312"/>
          <w:color w:val="000000"/>
          <w:spacing w:val="-2"/>
          <w:sz w:val="32"/>
          <w:szCs w:val="32"/>
          <w:shd w:val="clear" w:color="auto" w:fill="FFFFFF"/>
          <w:lang w:val="en-US" w:eastAsia="zh-CN"/>
        </w:rPr>
        <w:t>本单位专项资金使用均按财政审批相关要求、相关制度进行。溆浦县华能矿业有限公司曾家溪尾矿库闭库工程于2022年7月19日按程序完成竞争性谈判采购，2022年7月20日开工，2022年9月16日竣工;</w:t>
      </w:r>
      <w:r>
        <w:rPr>
          <w:rFonts w:hint="eastAsia" w:ascii="仿宋_GB2312" w:hAnsi="仿宋_GB2312" w:eastAsia="仿宋_GB2312" w:cs="仿宋_GB2312"/>
          <w:color w:val="auto"/>
          <w:kern w:val="2"/>
          <w:sz w:val="32"/>
          <w:szCs w:val="32"/>
          <w:lang w:val="en-US" w:eastAsia="zh-CN" w:bidi="ar-SA"/>
        </w:rPr>
        <w:t>原椒板溪煤矿挡水墙应急工程于2021年11月23日完成谈判采购，2021年11月30日开工，2021年12月12日竣工；溆浦县青山锰业挡渣闭库工程2022年4月1日开工，2022年6月10日竣工</w:t>
      </w:r>
      <w:r>
        <w:rPr>
          <w:rFonts w:hint="eastAsia" w:ascii="仿宋_GB2312" w:hAnsi="仿宋_GB2312" w:eastAsia="仿宋_GB2312" w:cs="仿宋_GB2312"/>
          <w:color w:val="000000"/>
          <w:spacing w:val="-2"/>
          <w:sz w:val="32"/>
          <w:szCs w:val="32"/>
          <w:shd w:val="clear" w:color="auto" w:fill="FFFFFF"/>
          <w:lang w:val="en-US" w:eastAsia="zh-CN"/>
        </w:rPr>
        <w:t>。</w:t>
      </w:r>
    </w:p>
    <w:p>
      <w:pPr>
        <w:spacing w:line="58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（二）专项管理情况分析，主要包括项目管理制度建设、日常检查监督管理等情况。</w:t>
      </w:r>
    </w:p>
    <w:p>
      <w:pPr>
        <w:spacing w:line="580" w:lineRule="exact"/>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本中心建立和完善了资金管理、采购、合同、验收等制度，纪检专干负责日常检查和监督工作。</w:t>
      </w:r>
    </w:p>
    <w:p>
      <w:pPr>
        <w:spacing w:line="58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四</w:t>
      </w:r>
      <w:r>
        <w:rPr>
          <w:rFonts w:hint="eastAsia" w:ascii="黑体" w:hAnsi="黑体" w:eastAsia="黑体" w:cs="黑体"/>
          <w:sz w:val="32"/>
          <w:szCs w:val="32"/>
        </w:rPr>
        <w:t>、 资产管理</w:t>
      </w:r>
      <w:r>
        <w:rPr>
          <w:rFonts w:hint="eastAsia" w:ascii="黑体" w:hAnsi="黑体" w:eastAsia="黑体" w:cs="黑体"/>
          <w:sz w:val="32"/>
          <w:szCs w:val="32"/>
          <w:lang w:eastAsia="zh-CN"/>
        </w:rPr>
        <w:t>情况</w:t>
      </w:r>
    </w:p>
    <w:p>
      <w:pPr>
        <w:spacing w:line="580" w:lineRule="exact"/>
        <w:ind w:firstLine="640" w:firstLineChars="200"/>
        <w:rPr>
          <w:rFonts w:hint="eastAsia" w:ascii="仿宋" w:hAnsi="仿宋" w:eastAsia="仿宋"/>
          <w:b/>
          <w:color w:val="000000"/>
          <w:sz w:val="32"/>
          <w:szCs w:val="32"/>
          <w:lang w:eastAsia="zh-CN"/>
        </w:rPr>
      </w:pPr>
      <w:r>
        <w:rPr>
          <w:rFonts w:hint="eastAsia" w:ascii="仿宋" w:hAnsi="仿宋" w:eastAsia="仿宋" w:cs="楷体"/>
          <w:color w:val="000000"/>
          <w:sz w:val="32"/>
          <w:szCs w:val="32"/>
          <w:shd w:val="clear" w:color="auto" w:fill="FFFFFF"/>
          <w:lang w:eastAsia="zh-CN"/>
        </w:rPr>
        <w:t>本中心</w:t>
      </w:r>
      <w:r>
        <w:rPr>
          <w:rFonts w:hint="eastAsia" w:ascii="仿宋" w:hAnsi="仿宋" w:eastAsia="仿宋" w:cs="楷体"/>
          <w:color w:val="000000"/>
          <w:sz w:val="32"/>
          <w:szCs w:val="32"/>
          <w:shd w:val="clear" w:color="auto" w:fill="FFFFFF"/>
        </w:rPr>
        <w:t>按照《行政事业单位国有资产管理暂行办法》以及相关法律法规的规定，建立了符合要求和单位实际情况的资产管理制度和岗位责任制，强化检查和绩效考核，加强对资产安全和有效使用的控制</w:t>
      </w:r>
      <w:r>
        <w:rPr>
          <w:rFonts w:hint="eastAsia" w:ascii="仿宋" w:hAnsi="仿宋" w:eastAsia="仿宋" w:cs="楷体"/>
          <w:color w:val="000000"/>
          <w:sz w:val="32"/>
          <w:szCs w:val="32"/>
          <w:shd w:val="clear" w:color="auto" w:fill="FFFFFF"/>
          <w:lang w:eastAsia="zh-CN"/>
        </w:rPr>
        <w:t>。</w:t>
      </w:r>
      <w:r>
        <w:rPr>
          <w:rFonts w:hint="eastAsia" w:ascii="仿宋_GB2312" w:hAnsi="仿宋_GB2312" w:eastAsia="仿宋_GB2312" w:cs="仿宋_GB2312"/>
          <w:color w:val="000000"/>
          <w:spacing w:val="-2"/>
          <w:sz w:val="32"/>
          <w:szCs w:val="32"/>
          <w:shd w:val="clear" w:color="auto" w:fill="FFFFFF"/>
        </w:rPr>
        <w:t>固定资产坚持统一购置、统一派发、统一管理的原则，实行产权公有、单位（个人）使用，丢失损坏赔偿的管理办法。并且根据固定资产管理相关规定，建立健全固定资产登记制度、固定资产管理制度，确保固定资产帐帐、帐实、帐卡相符。固定资产的购置、使用人员变动、报废、处置等都按照相关规定执行。</w:t>
      </w:r>
    </w:p>
    <w:p>
      <w:pPr>
        <w:overflowPunct w:val="0"/>
        <w:spacing w:line="600" w:lineRule="exact"/>
        <w:ind w:firstLine="614" w:firstLineChars="192"/>
        <w:rPr>
          <w:rFonts w:hint="eastAsia" w:ascii="仿宋" w:hAnsi="仿宋" w:eastAsia="仿宋"/>
          <w:color w:val="000000"/>
          <w:sz w:val="32"/>
          <w:szCs w:val="32"/>
        </w:rPr>
      </w:pPr>
      <w:r>
        <w:rPr>
          <w:rFonts w:hint="eastAsia" w:ascii="仿宋" w:hAnsi="仿宋" w:eastAsia="仿宋"/>
          <w:color w:val="000000"/>
          <w:sz w:val="32"/>
          <w:szCs w:val="32"/>
        </w:rPr>
        <w:t>截止</w:t>
      </w:r>
      <w:r>
        <w:rPr>
          <w:rFonts w:hint="eastAsia" w:ascii="仿宋" w:hAnsi="仿宋" w:eastAsia="仿宋"/>
          <w:color w:val="000000"/>
          <w:sz w:val="32"/>
          <w:szCs w:val="32"/>
          <w:lang w:eastAsia="zh-CN"/>
        </w:rPr>
        <w:t>2022</w:t>
      </w:r>
      <w:r>
        <w:rPr>
          <w:rFonts w:hint="eastAsia" w:ascii="仿宋" w:hAnsi="仿宋" w:eastAsia="仿宋"/>
          <w:color w:val="000000"/>
          <w:sz w:val="32"/>
          <w:szCs w:val="32"/>
        </w:rPr>
        <w:t>年12月31日，本单位资产清查数原值为</w:t>
      </w:r>
      <w:r>
        <w:rPr>
          <w:rFonts w:hint="eastAsia" w:ascii="仿宋" w:hAnsi="仿宋" w:eastAsia="仿宋"/>
          <w:color w:val="000000"/>
          <w:sz w:val="32"/>
          <w:szCs w:val="32"/>
          <w:lang w:val="en-US" w:eastAsia="zh-CN"/>
        </w:rPr>
        <w:t>146.06</w:t>
      </w:r>
      <w:r>
        <w:rPr>
          <w:rFonts w:hint="eastAsia" w:ascii="仿宋" w:hAnsi="仿宋" w:eastAsia="仿宋"/>
          <w:color w:val="000000"/>
          <w:sz w:val="32"/>
          <w:szCs w:val="32"/>
        </w:rPr>
        <w:t>万元，累计折旧</w:t>
      </w:r>
      <w:r>
        <w:rPr>
          <w:rFonts w:hint="eastAsia" w:ascii="仿宋" w:hAnsi="仿宋" w:eastAsia="仿宋"/>
          <w:color w:val="000000"/>
          <w:sz w:val="32"/>
          <w:szCs w:val="32"/>
          <w:lang w:val="en-US" w:eastAsia="zh-CN"/>
        </w:rPr>
        <w:t>99.06</w:t>
      </w:r>
      <w:r>
        <w:rPr>
          <w:rFonts w:hint="eastAsia" w:ascii="仿宋" w:hAnsi="仿宋" w:eastAsia="仿宋"/>
          <w:color w:val="000000"/>
          <w:sz w:val="32"/>
          <w:szCs w:val="32"/>
        </w:rPr>
        <w:t>万元，净值为</w:t>
      </w:r>
      <w:r>
        <w:rPr>
          <w:rFonts w:hint="eastAsia" w:ascii="仿宋" w:hAnsi="仿宋" w:eastAsia="仿宋"/>
          <w:color w:val="000000"/>
          <w:sz w:val="32"/>
          <w:szCs w:val="32"/>
          <w:lang w:val="en-US" w:eastAsia="zh-CN"/>
        </w:rPr>
        <w:t>46.99</w:t>
      </w:r>
      <w:r>
        <w:rPr>
          <w:rFonts w:hint="eastAsia" w:ascii="仿宋" w:hAnsi="仿宋" w:eastAsia="仿宋"/>
          <w:color w:val="000000"/>
          <w:sz w:val="32"/>
          <w:szCs w:val="32"/>
        </w:rPr>
        <w:t>万元。</w:t>
      </w:r>
    </w:p>
    <w:p>
      <w:pPr>
        <w:pStyle w:val="4"/>
        <w:spacing w:line="600" w:lineRule="exact"/>
        <w:ind w:firstLine="614" w:firstLineChars="192"/>
        <w:rPr>
          <w:rFonts w:hint="eastAsia" w:ascii="仿宋" w:hAnsi="仿宋" w:eastAsia="仿宋"/>
          <w:color w:val="000000"/>
          <w:sz w:val="32"/>
          <w:szCs w:val="32"/>
        </w:rPr>
      </w:pP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 房屋情况（包括已投入使用的在建工程未转固定资产情况）：</w:t>
      </w:r>
      <w:r>
        <w:rPr>
          <w:rFonts w:hint="eastAsia" w:ascii="仿宋" w:hAnsi="仿宋" w:eastAsia="仿宋"/>
          <w:color w:val="000000"/>
          <w:sz w:val="32"/>
          <w:szCs w:val="32"/>
          <w:lang w:eastAsia="zh-CN"/>
        </w:rPr>
        <w:t>本中心房屋及构筑物原值</w:t>
      </w:r>
      <w:r>
        <w:rPr>
          <w:rFonts w:hint="eastAsia" w:ascii="仿宋" w:hAnsi="仿宋" w:eastAsia="仿宋"/>
          <w:color w:val="000000"/>
          <w:sz w:val="32"/>
          <w:szCs w:val="32"/>
          <w:lang w:val="en-US" w:eastAsia="zh-CN"/>
        </w:rPr>
        <w:t>124.25万元，累计折旧79.52万元，净值44.73万元</w:t>
      </w:r>
      <w:r>
        <w:rPr>
          <w:rFonts w:hint="eastAsia" w:ascii="仿宋" w:hAnsi="仿宋" w:eastAsia="仿宋"/>
          <w:color w:val="000000"/>
          <w:sz w:val="32"/>
          <w:szCs w:val="32"/>
        </w:rPr>
        <w:t>。</w:t>
      </w:r>
    </w:p>
    <w:p>
      <w:pPr>
        <w:pStyle w:val="4"/>
        <w:spacing w:line="600" w:lineRule="exact"/>
        <w:ind w:firstLine="614" w:firstLineChars="192"/>
        <w:rPr>
          <w:rFonts w:hint="eastAsia" w:ascii="仿宋" w:hAnsi="仿宋" w:eastAsia="仿宋"/>
          <w:color w:val="000000"/>
          <w:sz w:val="32"/>
          <w:szCs w:val="32"/>
          <w:lang w:eastAsia="zh-CN"/>
        </w:rPr>
      </w:pP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、其他固定资产、无形资产情况：本单位其他固定资产为通用设备原值</w:t>
      </w:r>
      <w:r>
        <w:rPr>
          <w:rFonts w:hint="eastAsia" w:ascii="仿宋" w:hAnsi="仿宋" w:eastAsia="仿宋"/>
          <w:color w:val="000000"/>
          <w:sz w:val="32"/>
          <w:szCs w:val="32"/>
          <w:lang w:val="en-US" w:eastAsia="zh-CN"/>
        </w:rPr>
        <w:t>19.13</w:t>
      </w:r>
      <w:r>
        <w:rPr>
          <w:rFonts w:hint="eastAsia" w:ascii="仿宋" w:hAnsi="仿宋" w:eastAsia="仿宋"/>
          <w:color w:val="000000"/>
          <w:sz w:val="32"/>
          <w:szCs w:val="32"/>
        </w:rPr>
        <w:t>万元、累计折旧</w:t>
      </w:r>
      <w:r>
        <w:rPr>
          <w:rFonts w:hint="eastAsia" w:ascii="仿宋" w:hAnsi="仿宋" w:eastAsia="仿宋"/>
          <w:color w:val="000000"/>
          <w:sz w:val="32"/>
          <w:szCs w:val="32"/>
          <w:lang w:val="en-US" w:eastAsia="zh-CN"/>
        </w:rPr>
        <w:t>16.87</w:t>
      </w:r>
      <w:r>
        <w:rPr>
          <w:rFonts w:hint="eastAsia" w:ascii="仿宋" w:hAnsi="仿宋" w:eastAsia="仿宋"/>
          <w:color w:val="000000"/>
          <w:sz w:val="32"/>
          <w:szCs w:val="32"/>
        </w:rPr>
        <w:t>万元、净值</w:t>
      </w:r>
      <w:r>
        <w:rPr>
          <w:rFonts w:hint="eastAsia" w:ascii="仿宋" w:hAnsi="仿宋" w:eastAsia="仿宋"/>
          <w:color w:val="000000"/>
          <w:sz w:val="32"/>
          <w:szCs w:val="32"/>
          <w:lang w:val="en-US" w:eastAsia="zh-CN"/>
        </w:rPr>
        <w:t>2.26</w:t>
      </w:r>
      <w:r>
        <w:rPr>
          <w:rFonts w:hint="eastAsia" w:ascii="仿宋" w:hAnsi="仿宋" w:eastAsia="仿宋"/>
          <w:color w:val="000000"/>
          <w:sz w:val="32"/>
          <w:szCs w:val="32"/>
        </w:rPr>
        <w:t>万元；专用设备原值</w:t>
      </w:r>
      <w:r>
        <w:rPr>
          <w:rFonts w:hint="eastAsia" w:ascii="仿宋" w:hAnsi="仿宋" w:eastAsia="仿宋"/>
          <w:color w:val="000000"/>
          <w:sz w:val="32"/>
          <w:szCs w:val="32"/>
          <w:lang w:val="en-US" w:eastAsia="zh-CN"/>
        </w:rPr>
        <w:t>2.66</w:t>
      </w:r>
      <w:r>
        <w:rPr>
          <w:rFonts w:hint="eastAsia" w:ascii="仿宋" w:hAnsi="仿宋" w:eastAsia="仿宋"/>
          <w:color w:val="000000"/>
          <w:sz w:val="32"/>
          <w:szCs w:val="32"/>
        </w:rPr>
        <w:t>万元，累计折旧</w:t>
      </w:r>
      <w:r>
        <w:rPr>
          <w:rFonts w:hint="eastAsia" w:ascii="仿宋" w:hAnsi="仿宋" w:eastAsia="仿宋"/>
          <w:color w:val="000000"/>
          <w:sz w:val="32"/>
          <w:szCs w:val="32"/>
          <w:lang w:val="en-US" w:eastAsia="zh-CN"/>
        </w:rPr>
        <w:t>2.66</w:t>
      </w:r>
      <w:r>
        <w:rPr>
          <w:rFonts w:hint="eastAsia" w:ascii="仿宋" w:hAnsi="仿宋" w:eastAsia="仿宋"/>
          <w:color w:val="000000"/>
          <w:sz w:val="32"/>
          <w:szCs w:val="32"/>
        </w:rPr>
        <w:t>万元，净值</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p>
    <w:p>
      <w:pPr>
        <w:pStyle w:val="4"/>
        <w:spacing w:line="600" w:lineRule="exact"/>
        <w:ind w:firstLine="614" w:firstLineChars="192"/>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 对外投资（长期股权投资）情况：本单位无对外投资。</w:t>
      </w:r>
    </w:p>
    <w:p>
      <w:pPr>
        <w:pStyle w:val="4"/>
        <w:spacing w:line="600" w:lineRule="exact"/>
        <w:ind w:firstLine="614" w:firstLineChars="192"/>
        <w:rPr>
          <w:rFonts w:hint="eastAsia"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 国有资产出租情况：无。</w:t>
      </w:r>
    </w:p>
    <w:p>
      <w:pPr>
        <w:pStyle w:val="2"/>
        <w:rPr>
          <w:rFonts w:hint="eastAsia"/>
        </w:rPr>
      </w:pP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、部门整体支出绩效情况</w:t>
      </w:r>
    </w:p>
    <w:p>
      <w:pPr>
        <w:spacing w:line="580" w:lineRule="exact"/>
        <w:ind w:firstLine="640" w:firstLineChars="200"/>
        <w:rPr>
          <w:rFonts w:hint="eastAsia" w:ascii="仿宋_GB2312" w:hAnsi="仿宋_GB2312" w:eastAsia="仿宋_GB2312" w:cs="仿宋_GB2312"/>
          <w:color w:val="000000"/>
          <w:spacing w:val="-2"/>
          <w:sz w:val="32"/>
          <w:szCs w:val="32"/>
          <w:shd w:val="clear" w:color="auto" w:fill="FFFFFF"/>
          <w:lang w:eastAsia="zh-CN"/>
        </w:rPr>
      </w:pPr>
      <w:r>
        <w:rPr>
          <w:rFonts w:hint="eastAsia" w:ascii="仿宋_GB2312" w:hAnsi="仿宋_GB2312" w:eastAsia="仿宋_GB2312" w:cs="仿宋_GB2312"/>
          <w:sz w:val="32"/>
          <w:szCs w:val="32"/>
        </w:rPr>
        <w:t>我中心在20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年里，</w:t>
      </w:r>
      <w:r>
        <w:rPr>
          <w:rFonts w:hint="eastAsia" w:ascii="仿宋_GB2312" w:hAnsi="仿宋_GB2312" w:eastAsia="仿宋_GB2312" w:cs="仿宋_GB2312"/>
          <w:color w:val="000000"/>
          <w:spacing w:val="-2"/>
          <w:sz w:val="32"/>
          <w:szCs w:val="32"/>
          <w:shd w:val="clear" w:color="auto" w:fill="FFFFFF"/>
        </w:rPr>
        <w:t>引导各矿完成经职代会通过的煤矿改制方案；完成职工签署解除劳动合同协议</w:t>
      </w:r>
      <w:r>
        <w:rPr>
          <w:rFonts w:hint="eastAsia" w:ascii="仿宋_GB2312" w:hAnsi="仿宋_GB2312" w:eastAsia="仿宋_GB2312" w:cs="仿宋_GB2312"/>
          <w:color w:val="000000"/>
          <w:spacing w:val="-2"/>
          <w:sz w:val="32"/>
          <w:szCs w:val="32"/>
          <w:shd w:val="clear" w:color="auto" w:fill="FFFFFF"/>
          <w:lang w:val="en-US" w:eastAsia="zh-CN"/>
        </w:rPr>
        <w:t>9份</w:t>
      </w:r>
      <w:r>
        <w:rPr>
          <w:rFonts w:hint="eastAsia" w:ascii="仿宋_GB2312" w:hAnsi="仿宋_GB2312" w:eastAsia="仿宋_GB2312" w:cs="仿宋_GB2312"/>
          <w:color w:val="000000"/>
          <w:spacing w:val="-2"/>
          <w:sz w:val="32"/>
          <w:szCs w:val="32"/>
          <w:shd w:val="clear" w:color="auto" w:fill="FFFFFF"/>
        </w:rPr>
        <w:t>；完成中央煤炭去产能职工安置费的争取与发放；退还职工垫缴的单位部分养老保险费等，根据实际情况拟定好后续工作方案</w:t>
      </w:r>
      <w:r>
        <w:rPr>
          <w:rFonts w:hint="eastAsia" w:ascii="仿宋_GB2312" w:hAnsi="仿宋_GB2312" w:eastAsia="仿宋_GB2312" w:cs="仿宋_GB2312"/>
          <w:color w:val="000000"/>
          <w:spacing w:val="-2"/>
          <w:sz w:val="32"/>
          <w:szCs w:val="32"/>
          <w:shd w:val="clear" w:color="auto" w:fill="FFFFFF"/>
          <w:lang w:eastAsia="zh-CN"/>
        </w:rPr>
        <w:t>：五家煤矿的资产处置、注销各煤矿等一系列的工作。</w:t>
      </w:r>
      <w:r>
        <w:rPr>
          <w:rFonts w:hint="eastAsia" w:ascii="仿宋_GB2312" w:hAnsi="仿宋_GB2312" w:eastAsia="仿宋_GB2312" w:cs="仿宋_GB2312"/>
          <w:color w:val="auto"/>
          <w:kern w:val="2"/>
          <w:sz w:val="32"/>
          <w:szCs w:val="32"/>
          <w:lang w:val="en-US" w:eastAsia="zh-CN" w:bidi="ar-SA"/>
        </w:rPr>
        <w:t>国有煤炭企业工矿棚户区项目基本完成，中央财政补贴款517.4万元全部拨付到位</w:t>
      </w:r>
      <w:r>
        <w:rPr>
          <w:rFonts w:hint="eastAsia" w:ascii="仿宋_GB2312" w:hAnsi="仿宋_GB2312" w:eastAsia="仿宋_GB2312" w:cs="仿宋_GB2312"/>
          <w:color w:val="000000"/>
          <w:spacing w:val="-2"/>
          <w:sz w:val="32"/>
          <w:szCs w:val="32"/>
          <w:shd w:val="clear" w:color="auto" w:fill="FFFFFF"/>
          <w:lang w:eastAsia="zh-CN"/>
        </w:rPr>
        <w:t>。对</w:t>
      </w:r>
      <w:r>
        <w:rPr>
          <w:rFonts w:hint="eastAsia" w:ascii="仿宋_GB2312" w:eastAsia="仿宋_GB2312"/>
          <w:sz w:val="32"/>
          <w:szCs w:val="32"/>
        </w:rPr>
        <w:t>尾矿库进行了闭库治理，彻底消除尾矿库潜在安全风险</w:t>
      </w:r>
      <w:r>
        <w:rPr>
          <w:rFonts w:hint="eastAsia" w:ascii="仿宋_GB2312" w:eastAsia="仿宋_GB2312"/>
          <w:sz w:val="32"/>
          <w:szCs w:val="32"/>
          <w:lang w:eastAsia="zh-CN"/>
        </w:rPr>
        <w:t>，尾矿库进度款</w:t>
      </w:r>
      <w:r>
        <w:rPr>
          <w:rFonts w:hint="eastAsia" w:ascii="仿宋_GB2312" w:eastAsia="仿宋_GB2312"/>
          <w:sz w:val="32"/>
          <w:szCs w:val="32"/>
          <w:lang w:val="en-US" w:eastAsia="zh-CN"/>
        </w:rPr>
        <w:t>520万元拨付到位</w:t>
      </w:r>
      <w:r>
        <w:rPr>
          <w:rFonts w:hint="eastAsia" w:ascii="仿宋_GB2312" w:eastAsia="仿宋_GB2312"/>
          <w:sz w:val="32"/>
          <w:szCs w:val="32"/>
        </w:rPr>
        <w:t>。</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、存在</w:t>
      </w:r>
      <w:r>
        <w:rPr>
          <w:rFonts w:hint="eastAsia" w:ascii="黑体" w:hAnsi="黑体" w:eastAsia="黑体" w:cs="黑体"/>
          <w:sz w:val="32"/>
          <w:szCs w:val="32"/>
          <w:lang w:eastAsia="zh-CN"/>
        </w:rPr>
        <w:t>的主要</w:t>
      </w:r>
      <w:r>
        <w:rPr>
          <w:rFonts w:hint="eastAsia" w:ascii="黑体" w:hAnsi="黑体" w:eastAsia="黑体" w:cs="黑体"/>
          <w:sz w:val="32"/>
          <w:szCs w:val="32"/>
        </w:rPr>
        <w:t>问题</w:t>
      </w:r>
    </w:p>
    <w:p>
      <w:pPr>
        <w:spacing w:line="580" w:lineRule="exact"/>
        <w:ind w:firstLine="64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32"/>
          <w:szCs w:val="32"/>
        </w:rPr>
        <w:t>1、由于本单位职工</w:t>
      </w:r>
      <w:r>
        <w:rPr>
          <w:rFonts w:hint="eastAsia" w:ascii="仿宋_GB2312" w:hAnsi="仿宋_GB2312" w:eastAsia="仿宋_GB2312" w:cs="仿宋_GB2312"/>
          <w:sz w:val="28"/>
          <w:szCs w:val="28"/>
        </w:rPr>
        <w:t>没</w:t>
      </w:r>
      <w:r>
        <w:rPr>
          <w:rFonts w:hint="eastAsia" w:ascii="仿宋_GB2312" w:hAnsi="仿宋_GB2312" w:eastAsia="仿宋_GB2312" w:cs="仿宋_GB2312"/>
          <w:sz w:val="32"/>
          <w:szCs w:val="32"/>
        </w:rPr>
        <w:t>有享受财政统发工资待遇，现有的工资是靠财政预算资金下拨到单位来发放。养老保险和医疗保险费没有纳入财政预算，所以养老保险费的缴纳造成了很大的困扰。</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2、财务管制制度还须进一步加强。</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3、财务人员专业知识需进一步提高。</w:t>
      </w:r>
    </w:p>
    <w:p>
      <w:pPr>
        <w:spacing w:line="58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w:t>
      </w:r>
      <w:r>
        <w:rPr>
          <w:rFonts w:hint="eastAsia" w:ascii="黑体" w:hAnsi="黑体" w:eastAsia="黑体" w:cs="黑体"/>
          <w:sz w:val="32"/>
          <w:szCs w:val="32"/>
        </w:rPr>
        <w:t>、改进措施</w:t>
      </w:r>
      <w:r>
        <w:rPr>
          <w:rFonts w:hint="eastAsia" w:ascii="黑体" w:hAnsi="黑体" w:eastAsia="黑体" w:cs="黑体"/>
          <w:sz w:val="32"/>
          <w:szCs w:val="32"/>
          <w:lang w:eastAsia="zh-CN"/>
        </w:rPr>
        <w:t>和有关建议</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一、是要加强财务管理，严把支出关，严格执行财务管理制度，规范各项支出审核，促进财务管理的法制化、科学化、合理化运行。</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二、是要加强预算管理，强化预算监督。</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三、是强化财务专业知识学习，提升专业素养。</w:t>
      </w:r>
    </w:p>
    <w:p/>
    <w:sectPr>
      <w:headerReference r:id="rId3" w:type="default"/>
      <w:pgSz w:w="11906" w:h="16838"/>
      <w:pgMar w:top="2155" w:right="1814" w:bottom="1701" w:left="181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方正大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A2D0BE"/>
    <w:multiLevelType w:val="singleLevel"/>
    <w:tmpl w:val="63A2D0B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48342AFB"/>
    <w:rsid w:val="02200EFD"/>
    <w:rsid w:val="039C3694"/>
    <w:rsid w:val="042F02B8"/>
    <w:rsid w:val="06785C81"/>
    <w:rsid w:val="07CD11F4"/>
    <w:rsid w:val="09C75912"/>
    <w:rsid w:val="09EC7A2A"/>
    <w:rsid w:val="0D8B0A01"/>
    <w:rsid w:val="0DE95727"/>
    <w:rsid w:val="10D06F93"/>
    <w:rsid w:val="12403FCB"/>
    <w:rsid w:val="155A2DE6"/>
    <w:rsid w:val="17A42867"/>
    <w:rsid w:val="17F21514"/>
    <w:rsid w:val="183F0CD5"/>
    <w:rsid w:val="18DD1E36"/>
    <w:rsid w:val="19AF2AAE"/>
    <w:rsid w:val="1DEA314D"/>
    <w:rsid w:val="20C63442"/>
    <w:rsid w:val="214C6A12"/>
    <w:rsid w:val="21C71FB9"/>
    <w:rsid w:val="24055925"/>
    <w:rsid w:val="25445B73"/>
    <w:rsid w:val="260223D9"/>
    <w:rsid w:val="28546167"/>
    <w:rsid w:val="29F63E53"/>
    <w:rsid w:val="2A484859"/>
    <w:rsid w:val="2AB2000B"/>
    <w:rsid w:val="31DD24A2"/>
    <w:rsid w:val="38216ADF"/>
    <w:rsid w:val="3923001B"/>
    <w:rsid w:val="3B6B5B70"/>
    <w:rsid w:val="40A060D9"/>
    <w:rsid w:val="411849AB"/>
    <w:rsid w:val="41F92A2E"/>
    <w:rsid w:val="421B055A"/>
    <w:rsid w:val="43D70397"/>
    <w:rsid w:val="47BA1448"/>
    <w:rsid w:val="48342AFB"/>
    <w:rsid w:val="498447EF"/>
    <w:rsid w:val="4D502266"/>
    <w:rsid w:val="4FCC0C2F"/>
    <w:rsid w:val="52BB662F"/>
    <w:rsid w:val="536013D2"/>
    <w:rsid w:val="59101387"/>
    <w:rsid w:val="59342D53"/>
    <w:rsid w:val="597E27A2"/>
    <w:rsid w:val="5AE2320E"/>
    <w:rsid w:val="5C052481"/>
    <w:rsid w:val="5C6043D4"/>
    <w:rsid w:val="5E5768E1"/>
    <w:rsid w:val="5FE32A14"/>
    <w:rsid w:val="631664A7"/>
    <w:rsid w:val="642F4621"/>
    <w:rsid w:val="66815B1B"/>
    <w:rsid w:val="680834C2"/>
    <w:rsid w:val="68594668"/>
    <w:rsid w:val="6D6524CB"/>
    <w:rsid w:val="6D8D2019"/>
    <w:rsid w:val="6EE1468B"/>
    <w:rsid w:val="6F5516DA"/>
    <w:rsid w:val="70932E7C"/>
    <w:rsid w:val="719B20D2"/>
    <w:rsid w:val="724123C6"/>
    <w:rsid w:val="72C66735"/>
    <w:rsid w:val="72D50834"/>
    <w:rsid w:val="73B9469D"/>
    <w:rsid w:val="75115AF8"/>
    <w:rsid w:val="76E54D41"/>
    <w:rsid w:val="7728201E"/>
    <w:rsid w:val="7AEF128D"/>
    <w:rsid w:val="7BF41AD4"/>
    <w:rsid w:val="7FFA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Body Text"/>
    <w:basedOn w:val="1"/>
    <w:qFormat/>
    <w:uiPriority w:val="0"/>
    <w:rPr>
      <w:rFonts w:eastAsia="Arial Unicode MS"/>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1948</Words>
  <Characters>2126</Characters>
  <Lines>0</Lines>
  <Paragraphs>0</Paragraphs>
  <TotalTime>5</TotalTime>
  <ScaleCrop>false</ScaleCrop>
  <LinksUpToDate>false</LinksUpToDate>
  <CharactersWithSpaces>2135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2020-05-25T01:56:00Z</dcterms:created>
  <dc:creator>向日葵</dc:creator>
  <cp:lastModifiedBy>Administrator</cp:lastModifiedBy>
  <dcterms:modified xsi:type="dcterms:W3CDTF">2023-08-15T07:38:50Z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7F3A2391F3F8469A8911F63988600EFC</vt:lpwstr>
  </property>
</Properties>
</file>