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</w:rPr>
        <w:t>溆浦县深子湖水库2022年度</w:t>
      </w:r>
    </w:p>
    <w:p>
      <w:pPr>
        <w:spacing w:line="560" w:lineRule="exact"/>
        <w:jc w:val="center"/>
        <w:rPr>
          <w:rFonts w:asciiTheme="majorEastAsia" w:hAnsiTheme="majorEastAsia" w:eastAsiaTheme="majorEastAsia" w:cstheme="majorEastAsia"/>
          <w:bCs/>
          <w:color w:val="000000" w:themeColor="text1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</w:rPr>
        <w:t>部门整体支出绩效自评报告</w:t>
      </w:r>
    </w:p>
    <w:p>
      <w:pPr>
        <w:spacing w:line="560" w:lineRule="exact"/>
        <w:ind w:firstLine="717" w:firstLineChars="239"/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</w:pP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根据县财政局《关于开展2022年度部门整体支出绩效评价工作的通知》精神，我处对2022年度部门整体支出进行了全面的综合评价，现将有关情况汇报如下：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  <w:t>基本情况</w:t>
      </w:r>
    </w:p>
    <w:p>
      <w:pPr>
        <w:widowControl/>
        <w:wordWrap w:val="0"/>
        <w:spacing w:line="500" w:lineRule="exact"/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本单位是事业单位，核定编制148名，</w:t>
      </w:r>
      <w:bookmarkStart w:id="0" w:name="_GoBack"/>
      <w:bookmarkEnd w:id="0"/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实有人数</w:t>
      </w:r>
      <w:r>
        <w:rPr>
          <w:rFonts w:hint="eastAsia" w:cs="宋体" w:asciiTheme="majorEastAsia" w:hAnsiTheme="majorEastAsia" w:eastAsiaTheme="majorEastAsia"/>
          <w:kern w:val="0"/>
          <w:sz w:val="30"/>
          <w:szCs w:val="30"/>
        </w:rPr>
        <w:t xml:space="preserve"> 246人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 xml:space="preserve">，其中：在岗人员 </w:t>
      </w:r>
      <w:r>
        <w:rPr>
          <w:rFonts w:hint="eastAsia" w:cs="宋体" w:asciiTheme="majorEastAsia" w:hAnsiTheme="majorEastAsia" w:eastAsiaTheme="majorEastAsia"/>
          <w:kern w:val="0"/>
          <w:sz w:val="30"/>
          <w:szCs w:val="30"/>
        </w:rPr>
        <w:t>137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 xml:space="preserve">人、离退休人员 </w:t>
      </w:r>
      <w:r>
        <w:rPr>
          <w:rFonts w:hint="eastAsia" w:cs="宋体" w:asciiTheme="majorEastAsia" w:hAnsiTheme="majorEastAsia" w:eastAsiaTheme="majorEastAsia"/>
          <w:kern w:val="0"/>
          <w:sz w:val="30"/>
          <w:szCs w:val="30"/>
        </w:rPr>
        <w:t>109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人。</w:t>
      </w:r>
    </w:p>
    <w:p>
      <w:pPr>
        <w:widowControl/>
        <w:wordWrap w:val="0"/>
        <w:spacing w:line="500" w:lineRule="exact"/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（一）主要职责</w:t>
      </w:r>
    </w:p>
    <w:p>
      <w:pPr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1、管理深子湖水库，促进水利事业发展；</w:t>
      </w:r>
    </w:p>
    <w:p>
      <w:pPr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2、农田浇灌、防洪、发电；</w:t>
      </w:r>
    </w:p>
    <w:p>
      <w:pPr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3、枢纽工程、灌溉渠道维修养护、水库水质污染防治等</w:t>
      </w:r>
    </w:p>
    <w:p>
      <w:pPr>
        <w:widowControl/>
        <w:numPr>
          <w:ilvl w:val="0"/>
          <w:numId w:val="2"/>
        </w:numPr>
        <w:wordWrap w:val="0"/>
        <w:spacing w:line="500" w:lineRule="exact"/>
        <w:ind w:firstLine="600" w:firstLineChars="200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本年度主要任务：</w:t>
      </w:r>
    </w:p>
    <w:p>
      <w:pPr>
        <w:widowControl/>
        <w:wordWrap w:val="0"/>
        <w:spacing w:line="500" w:lineRule="exact"/>
        <w:ind w:firstLine="585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完成灌区内9万亩的农田灌溉及保障4个乡镇65个村的人畜饮水的水源安全。完成全流域的防洪保安的调控任务。完成全年的发电量。</w:t>
      </w:r>
    </w:p>
    <w:p>
      <w:pPr>
        <w:widowControl/>
        <w:wordWrap w:val="0"/>
        <w:spacing w:line="500" w:lineRule="exact"/>
        <w:ind w:firstLine="585"/>
        <w:jc w:val="left"/>
        <w:rPr>
          <w:rFonts w:cs="宋体" w:asciiTheme="majorEastAsia" w:hAnsiTheme="majorEastAsia" w:eastAsiaTheme="majorEastAsia"/>
          <w:color w:val="000000" w:themeColor="text1"/>
          <w:kern w:val="0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本年度整体支出4375.8万元。</w:t>
      </w:r>
    </w:p>
    <w:p>
      <w:pPr>
        <w:spacing w:line="560" w:lineRule="exact"/>
        <w:ind w:firstLine="720" w:firstLineChars="239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  <w:t>二、部门整体支出管理及使用情况</w:t>
      </w:r>
    </w:p>
    <w:p>
      <w:pPr>
        <w:spacing w:line="560" w:lineRule="exact"/>
        <w:ind w:firstLine="753" w:firstLineChars="25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楷体_GB2312" w:asciiTheme="majorEastAsia" w:hAnsiTheme="majorEastAsia" w:eastAsiaTheme="majorEastAsia"/>
          <w:b/>
          <w:bCs/>
          <w:color w:val="000000" w:themeColor="text1"/>
          <w:sz w:val="30"/>
          <w:szCs w:val="30"/>
        </w:rPr>
        <w:t>（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一）基本支出</w:t>
      </w:r>
    </w:p>
    <w:p>
      <w:pPr>
        <w:ind w:firstLine="750" w:firstLineChars="25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1.基本支出2017.75万元，其中：人员经费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1943.34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万元，占比96.31%，公用经费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74.41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万元，占比3.69%。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2、</w:t>
      </w:r>
      <w:r>
        <w:rPr>
          <w:rFonts w:hint="eastAsia" w:cs="仿宋_GB2312" w:asciiTheme="minorEastAsia" w:hAnsiTheme="minorEastAsia"/>
          <w:sz w:val="32"/>
          <w:szCs w:val="32"/>
        </w:rPr>
        <w:t>本年度，三公费开支0万元，比上年减少0万元。</w:t>
      </w:r>
    </w:p>
    <w:p>
      <w:pPr>
        <w:spacing w:line="560" w:lineRule="exact"/>
        <w:ind w:firstLine="768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二）专项支出本年度项目支出2096.71万元.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其中基础设施建设1823.71万元，占比86.98%，大型修缮273万元，占比13.02%。</w:t>
      </w:r>
    </w:p>
    <w:p>
      <w:pPr>
        <w:ind w:firstLine="750" w:firstLineChars="25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（三）经营支出:本年度经营支出261.34万元。</w:t>
      </w:r>
    </w:p>
    <w:p>
      <w:pPr>
        <w:spacing w:line="600" w:lineRule="exact"/>
        <w:ind w:firstLine="600" w:firstLineChars="200"/>
        <w:rPr>
          <w:rFonts w:ascii="楷体_GB2312" w:eastAsia="楷体_GB2312" w:cs="仿宋_GB2312" w:hAnsiTheme="minorEastAsia"/>
          <w:sz w:val="32"/>
          <w:szCs w:val="32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其中</w:t>
      </w:r>
      <w:r>
        <w:rPr>
          <w:rFonts w:ascii="楷体_GB2312" w:eastAsia="楷体_GB2312" w:cs="仿宋_GB2312" w:hAnsiTheme="minorEastAsia"/>
          <w:sz w:val="32"/>
          <w:szCs w:val="32"/>
        </w:rPr>
        <w:t>工资福利支出</w:t>
      </w:r>
      <w:r>
        <w:rPr>
          <w:rFonts w:hint="eastAsia" w:ascii="楷体_GB2312" w:eastAsia="楷体_GB2312" w:cs="仿宋_GB2312" w:hAnsiTheme="minorEastAsia"/>
          <w:sz w:val="32"/>
          <w:szCs w:val="32"/>
        </w:rPr>
        <w:t>93.5万</w:t>
      </w:r>
      <w:r>
        <w:rPr>
          <w:rFonts w:ascii="楷体_GB2312" w:eastAsia="楷体_GB2312" w:cs="仿宋_GB2312" w:hAnsiTheme="minorEastAsia"/>
          <w:sz w:val="32"/>
          <w:szCs w:val="32"/>
        </w:rPr>
        <w:t>元，</w:t>
      </w:r>
      <w:r>
        <w:rPr>
          <w:rFonts w:hint="eastAsia" w:ascii="楷体_GB2312" w:eastAsia="楷体_GB2312" w:cs="仿宋_GB2312" w:hAnsiTheme="minorEastAsia"/>
          <w:sz w:val="32"/>
          <w:szCs w:val="32"/>
        </w:rPr>
        <w:t>商</w:t>
      </w:r>
      <w:r>
        <w:rPr>
          <w:rFonts w:ascii="楷体_GB2312" w:eastAsia="楷体_GB2312" w:cs="仿宋_GB2312" w:hAnsiTheme="minorEastAsia"/>
          <w:sz w:val="32"/>
          <w:szCs w:val="32"/>
        </w:rPr>
        <w:t>品</w:t>
      </w:r>
      <w:r>
        <w:rPr>
          <w:rFonts w:hint="eastAsia" w:ascii="楷体_GB2312" w:eastAsia="楷体_GB2312" w:cs="仿宋_GB2312" w:hAnsiTheme="minorEastAsia"/>
          <w:sz w:val="32"/>
          <w:szCs w:val="32"/>
        </w:rPr>
        <w:t>服</w:t>
      </w:r>
      <w:r>
        <w:rPr>
          <w:rFonts w:ascii="楷体_GB2312" w:eastAsia="楷体_GB2312" w:cs="仿宋_GB2312" w:hAnsiTheme="minorEastAsia"/>
          <w:sz w:val="32"/>
          <w:szCs w:val="32"/>
        </w:rPr>
        <w:t>务</w:t>
      </w:r>
      <w:r>
        <w:rPr>
          <w:rFonts w:hint="eastAsia" w:ascii="楷体_GB2312" w:eastAsia="楷体_GB2312" w:cs="仿宋_GB2312" w:hAnsiTheme="minorEastAsia"/>
          <w:sz w:val="32"/>
          <w:szCs w:val="32"/>
        </w:rPr>
        <w:t>支</w:t>
      </w:r>
      <w:r>
        <w:rPr>
          <w:rFonts w:ascii="楷体_GB2312" w:eastAsia="楷体_GB2312" w:cs="仿宋_GB2312" w:hAnsiTheme="minorEastAsia"/>
          <w:sz w:val="32"/>
          <w:szCs w:val="32"/>
        </w:rPr>
        <w:t>出</w:t>
      </w:r>
      <w:r>
        <w:rPr>
          <w:rFonts w:hint="eastAsia" w:ascii="楷体_GB2312" w:eastAsia="楷体_GB2312" w:cs="仿宋_GB2312" w:hAnsiTheme="minorEastAsia"/>
          <w:sz w:val="32"/>
          <w:szCs w:val="32"/>
        </w:rPr>
        <w:t>138.15万</w:t>
      </w:r>
      <w:r>
        <w:rPr>
          <w:rFonts w:ascii="楷体_GB2312" w:eastAsia="楷体_GB2312" w:cs="仿宋_GB2312" w:hAnsiTheme="minorEastAsia"/>
          <w:sz w:val="32"/>
          <w:szCs w:val="32"/>
        </w:rPr>
        <w:t>元，</w:t>
      </w:r>
      <w:r>
        <w:rPr>
          <w:rFonts w:hint="eastAsia" w:ascii="楷体_GB2312" w:eastAsia="楷体_GB2312" w:cs="仿宋_GB2312" w:hAnsiTheme="minorEastAsia"/>
          <w:sz w:val="32"/>
          <w:szCs w:val="32"/>
        </w:rPr>
        <w:t>对个</w:t>
      </w:r>
      <w:r>
        <w:rPr>
          <w:rFonts w:ascii="楷体_GB2312" w:eastAsia="楷体_GB2312" w:cs="仿宋_GB2312" w:hAnsiTheme="minorEastAsia"/>
          <w:sz w:val="32"/>
          <w:szCs w:val="32"/>
        </w:rPr>
        <w:t>人和家</w:t>
      </w:r>
      <w:r>
        <w:rPr>
          <w:rFonts w:hint="eastAsia" w:ascii="楷体_GB2312" w:eastAsia="楷体_GB2312" w:cs="仿宋_GB2312" w:hAnsiTheme="minorEastAsia"/>
          <w:sz w:val="32"/>
          <w:szCs w:val="32"/>
        </w:rPr>
        <w:t>庭</w:t>
      </w:r>
      <w:r>
        <w:rPr>
          <w:rFonts w:ascii="楷体_GB2312" w:eastAsia="楷体_GB2312" w:cs="仿宋_GB2312" w:hAnsiTheme="minorEastAsia"/>
          <w:sz w:val="32"/>
          <w:szCs w:val="32"/>
        </w:rPr>
        <w:t>的补助</w:t>
      </w:r>
      <w:r>
        <w:rPr>
          <w:rFonts w:hint="eastAsia" w:ascii="楷体_GB2312" w:eastAsia="楷体_GB2312" w:cs="仿宋_GB2312" w:hAnsiTheme="minorEastAsia"/>
          <w:sz w:val="32"/>
          <w:szCs w:val="32"/>
        </w:rPr>
        <w:t>3.69万</w:t>
      </w:r>
      <w:r>
        <w:rPr>
          <w:rFonts w:ascii="楷体_GB2312" w:eastAsia="楷体_GB2312" w:cs="仿宋_GB2312" w:hAnsiTheme="minorEastAsia"/>
          <w:sz w:val="32"/>
          <w:szCs w:val="32"/>
        </w:rPr>
        <w:t>元，</w:t>
      </w:r>
      <w:r>
        <w:rPr>
          <w:rFonts w:hint="eastAsia" w:ascii="楷体_GB2312" w:eastAsia="楷体_GB2312" w:cs="仿宋_GB2312" w:hAnsiTheme="minorEastAsia"/>
          <w:sz w:val="32"/>
          <w:szCs w:val="32"/>
        </w:rPr>
        <w:t>债</w:t>
      </w:r>
      <w:r>
        <w:rPr>
          <w:rFonts w:ascii="楷体_GB2312" w:eastAsia="楷体_GB2312" w:cs="仿宋_GB2312" w:hAnsiTheme="minorEastAsia"/>
          <w:sz w:val="32"/>
          <w:szCs w:val="32"/>
        </w:rPr>
        <w:t>务及利息支出</w:t>
      </w:r>
      <w:r>
        <w:rPr>
          <w:rFonts w:hint="eastAsia" w:ascii="楷体_GB2312" w:eastAsia="楷体_GB2312" w:cs="仿宋_GB2312" w:hAnsiTheme="minorEastAsia"/>
          <w:sz w:val="32"/>
          <w:szCs w:val="32"/>
        </w:rPr>
        <w:t>25.82万</w:t>
      </w:r>
      <w:r>
        <w:rPr>
          <w:rFonts w:ascii="楷体_GB2312" w:eastAsia="楷体_GB2312" w:cs="仿宋_GB2312" w:hAnsiTheme="minorEastAsia"/>
          <w:sz w:val="32"/>
          <w:szCs w:val="32"/>
        </w:rPr>
        <w:t>元，</w:t>
      </w:r>
      <w:r>
        <w:rPr>
          <w:rFonts w:hint="eastAsia" w:ascii="楷体_GB2312" w:eastAsia="楷体_GB2312" w:cs="仿宋_GB2312" w:hAnsiTheme="minorEastAsia"/>
          <w:sz w:val="32"/>
          <w:szCs w:val="32"/>
        </w:rPr>
        <w:t>资</w:t>
      </w:r>
      <w:r>
        <w:rPr>
          <w:rFonts w:ascii="楷体_GB2312" w:eastAsia="楷体_GB2312" w:cs="仿宋_GB2312" w:hAnsiTheme="minorEastAsia"/>
          <w:sz w:val="32"/>
          <w:szCs w:val="32"/>
        </w:rPr>
        <w:t>本性支出</w:t>
      </w:r>
      <w:r>
        <w:rPr>
          <w:rFonts w:hint="eastAsia" w:ascii="楷体_GB2312" w:eastAsia="楷体_GB2312" w:cs="仿宋_GB2312" w:hAnsiTheme="minorEastAsia"/>
          <w:sz w:val="32"/>
          <w:szCs w:val="32"/>
        </w:rPr>
        <w:t>0.18万</w:t>
      </w:r>
      <w:r>
        <w:rPr>
          <w:rFonts w:ascii="楷体_GB2312" w:eastAsia="楷体_GB2312" w:cs="仿宋_GB2312" w:hAnsiTheme="minorEastAsia"/>
          <w:sz w:val="32"/>
          <w:szCs w:val="32"/>
        </w:rPr>
        <w:t>元，</w:t>
      </w:r>
    </w:p>
    <w:p>
      <w:pPr>
        <w:ind w:firstLine="800" w:firstLineChars="250"/>
        <w:rPr>
          <w:rFonts w:cs="仿宋_GB2312" w:asciiTheme="minorEastAsia" w:hAnsiTheme="minorEastAsia"/>
          <w:sz w:val="32"/>
          <w:szCs w:val="32"/>
        </w:rPr>
      </w:pPr>
    </w:p>
    <w:p>
      <w:pPr>
        <w:spacing w:line="560" w:lineRule="exact"/>
        <w:ind w:firstLine="602" w:firstLineChars="200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  <w:t>三、资产管理情况</w:t>
      </w:r>
    </w:p>
    <w:p>
      <w:pPr>
        <w:spacing w:line="560" w:lineRule="exact"/>
        <w:ind w:firstLine="600" w:firstLineChars="20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本年度我单位现有固定资产原值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5438.27万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元，累计折旧4675.43万元，固定资产净值762.84万元。已全部清理登记在册，安排专人管理。确保国有资产的不流失和使用效益。损坏、丢失、报废按制度处置。</w:t>
      </w:r>
    </w:p>
    <w:p>
      <w:pPr>
        <w:spacing w:line="560" w:lineRule="exact"/>
        <w:ind w:firstLine="720" w:firstLineChars="239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</w:rPr>
        <w:t>四、部门整体支出绩效情况分析</w:t>
      </w:r>
    </w:p>
    <w:p>
      <w:pPr>
        <w:spacing w:line="560" w:lineRule="exact"/>
        <w:ind w:firstLine="600" w:firstLineChars="20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（一）</w:t>
      </w: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职责履行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完成灌区内9万亩的农</w:t>
      </w:r>
      <w:r>
        <w:rPr>
          <w:rFonts w:hint="eastAsia" w:cs="宋体" w:asciiTheme="majorEastAsia" w:hAnsiTheme="majorEastAsia" w:eastAsiaTheme="majorEastAsia"/>
          <w:color w:val="000000" w:themeColor="text1"/>
          <w:kern w:val="0"/>
          <w:sz w:val="30"/>
          <w:szCs w:val="30"/>
        </w:rPr>
        <w:t>田灌溉及保障4个乡镇65个村的人畜饮水的水源安全。完成全流域的防洪保安的调控任务。</w:t>
      </w:r>
    </w:p>
    <w:p>
      <w:pPr>
        <w:spacing w:line="560" w:lineRule="exact"/>
        <w:ind w:firstLine="600" w:firstLineChars="200"/>
        <w:rPr>
          <w:rFonts w:cs="Times New Roman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30"/>
          <w:szCs w:val="30"/>
        </w:rPr>
        <w:t>（二）履职效益</w:t>
      </w:r>
    </w:p>
    <w:p>
      <w:pPr>
        <w:spacing w:line="600" w:lineRule="exact"/>
        <w:ind w:left="-359" w:leftChars="-171" w:firstLine="681" w:firstLineChars="227"/>
        <w:rPr>
          <w:rFonts w:cs="Times New Roman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30"/>
          <w:szCs w:val="30"/>
        </w:rPr>
        <w:t>1.经济效益。增加、保障粮食安全，促进农业农民增产增收，稳定灌溉面积9万亩，稳定全灌区粮食产量6500万公斤，为农村社会经济发展发挥了重要的作用。</w:t>
      </w:r>
    </w:p>
    <w:p>
      <w:pPr>
        <w:spacing w:line="600" w:lineRule="exact"/>
        <w:ind w:left="-359" w:leftChars="-171" w:firstLine="681" w:firstLineChars="227"/>
        <w:rPr>
          <w:rFonts w:cs="Times New Roman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30"/>
          <w:szCs w:val="30"/>
        </w:rPr>
        <w:t>2. 效率性。完成工作任务100%；提高防汛、度汛能力；工程验收合格</w:t>
      </w:r>
    </w:p>
    <w:p>
      <w:pPr>
        <w:spacing w:line="600" w:lineRule="exact"/>
        <w:ind w:left="-359" w:leftChars="-171" w:firstLine="681" w:firstLineChars="227"/>
        <w:rPr>
          <w:rFonts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color w:val="000000" w:themeColor="text1"/>
          <w:sz w:val="30"/>
          <w:szCs w:val="30"/>
        </w:rPr>
        <w:t>3.有效性。主要完成深子</w:t>
      </w:r>
      <w:r>
        <w:rPr>
          <w:rFonts w:hint="eastAsia" w:cs="宋体" w:asciiTheme="majorEastAsia" w:hAnsiTheme="majorEastAsia" w:eastAsiaTheme="majorEastAsia"/>
          <w:color w:val="000000" w:themeColor="text1"/>
          <w:sz w:val="30"/>
          <w:szCs w:val="30"/>
        </w:rPr>
        <w:t>湖水库灌区巩固和完善灌溉面积9万亩，有效的保证下游灌溉用水和人畜饮水安全。群众满意度98%。</w:t>
      </w:r>
    </w:p>
    <w:p>
      <w:pPr>
        <w:spacing w:line="560" w:lineRule="exact"/>
        <w:ind w:firstLine="301" w:firstLineChars="100"/>
        <w:rPr>
          <w:rFonts w:cs="仿宋_GB2312" w:asciiTheme="majorEastAsia" w:hAnsiTheme="majorEastAsia" w:eastAsiaTheme="majorEastAsia"/>
          <w:bCs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b/>
          <w:bCs/>
          <w:color w:val="000000" w:themeColor="text1"/>
          <w:sz w:val="30"/>
          <w:szCs w:val="30"/>
        </w:rPr>
        <w:t>4.</w:t>
      </w:r>
      <w:r>
        <w:rPr>
          <w:rFonts w:hint="eastAsia" w:asciiTheme="majorEastAsia" w:hAnsiTheme="majorEastAsia" w:eastAsiaTheme="majorEastAsia"/>
          <w:color w:val="000000" w:themeColor="text1"/>
          <w:spacing w:val="-2"/>
          <w:sz w:val="30"/>
          <w:szCs w:val="30"/>
        </w:rPr>
        <w:t xml:space="preserve"> 可持续性</w:t>
      </w:r>
      <w:r>
        <w:rPr>
          <w:rFonts w:hint="eastAsia" w:cs="仿宋_GB2312" w:asciiTheme="majorEastAsia" w:hAnsiTheme="majorEastAsia" w:eastAsiaTheme="majorEastAsia"/>
          <w:b/>
          <w:bCs/>
          <w:color w:val="000000" w:themeColor="text1"/>
          <w:sz w:val="30"/>
          <w:szCs w:val="30"/>
        </w:rPr>
        <w:t>。</w:t>
      </w:r>
      <w:r>
        <w:rPr>
          <w:rFonts w:hint="eastAsia" w:asciiTheme="majorEastAsia" w:hAnsiTheme="majorEastAsia" w:eastAsiaTheme="majorEastAsia"/>
          <w:color w:val="000000" w:themeColor="text1"/>
          <w:sz w:val="30"/>
          <w:szCs w:val="30"/>
        </w:rPr>
        <w:t>增强了农业抗灾能力，险工险段和病险建筑物得到改造加固，增强了骨干项目安全通水能力，减少了滑坡塌方，避免了渠道险情的发生，保证了农业高产稳产、农民增收、社会安定。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02" w:firstLineChars="200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  <w:shd w:val="clear" w:color="auto" w:fill="FFFFFF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  <w:shd w:val="clear" w:color="auto" w:fill="FFFFFF"/>
        </w:rPr>
        <w:t>五、存在主要问题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1.预算不够精确，预算执行仍存在偏差。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2.财务管理制度有待进一步完善。</w:t>
      </w:r>
    </w:p>
    <w:p>
      <w:pPr>
        <w:spacing w:line="560" w:lineRule="exact"/>
        <w:ind w:firstLine="717" w:firstLineChars="239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3.财务人员专业素养仍需进一步提升。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93" w:firstLineChars="197"/>
        <w:rPr>
          <w:rFonts w:cs="黑体" w:asciiTheme="majorEastAsia" w:hAnsiTheme="majorEastAsia" w:eastAsiaTheme="majorEastAsia"/>
          <w:b/>
          <w:bCs/>
          <w:color w:val="000000" w:themeColor="text1"/>
          <w:sz w:val="30"/>
          <w:szCs w:val="30"/>
          <w:shd w:val="clear" w:color="auto" w:fill="FFFFFF"/>
        </w:rPr>
      </w:pPr>
      <w:r>
        <w:rPr>
          <w:rFonts w:hint="eastAsia" w:cs="黑体" w:asciiTheme="majorEastAsia" w:hAnsiTheme="majorEastAsia" w:eastAsiaTheme="majorEastAsia"/>
          <w:b/>
          <w:bCs/>
          <w:color w:val="000000" w:themeColor="text1"/>
          <w:sz w:val="30"/>
          <w:szCs w:val="30"/>
          <w:shd w:val="clear" w:color="auto" w:fill="FFFFFF"/>
        </w:rPr>
        <w:t>六、改进措施</w:t>
      </w:r>
    </w:p>
    <w:p>
      <w:pPr>
        <w:spacing w:line="560" w:lineRule="exact"/>
        <w:ind w:firstLine="600" w:firstLineChars="20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一是要进一步加强财务管理。严把支出关，严格执行财务管理制度，规范各项支出审核，严防超支，不断提高财务管理的法制化，科学化，合理化水平。</w:t>
      </w:r>
    </w:p>
    <w:p>
      <w:pPr>
        <w:spacing w:line="560" w:lineRule="exact"/>
        <w:ind w:firstLine="600" w:firstLineChars="20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二是要进一步加强预算管理，强化预算监督。严格执行预算计划，积极推进财务公开，接受民主监督。</w:t>
      </w:r>
    </w:p>
    <w:p>
      <w:pPr>
        <w:spacing w:line="560" w:lineRule="exact"/>
        <w:ind w:firstLine="600" w:firstLineChars="200"/>
        <w:rPr>
          <w:rFonts w:cs="仿宋_GB2312" w:asciiTheme="majorEastAsia" w:hAnsiTheme="majorEastAsia" w:eastAsiaTheme="majorEastAsia"/>
          <w:color w:val="000000" w:themeColor="text1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color w:val="000000" w:themeColor="text1"/>
          <w:sz w:val="30"/>
          <w:szCs w:val="30"/>
        </w:rPr>
        <w:t>三是要进一步强化财务专业知识学习，着力提升财务人员专业素养。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2E39EF"/>
    <w:multiLevelType w:val="singleLevel"/>
    <w:tmpl w:val="BD2E39E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E351ABA"/>
    <w:multiLevelType w:val="multilevel"/>
    <w:tmpl w:val="1E351ABA"/>
    <w:lvl w:ilvl="0" w:tentative="0">
      <w:start w:val="1"/>
      <w:numFmt w:val="japaneseCounting"/>
      <w:lvlText w:val="%1、"/>
      <w:lvlJc w:val="left"/>
      <w:pPr>
        <w:ind w:left="148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08" w:hanging="420"/>
      </w:pPr>
    </w:lvl>
    <w:lvl w:ilvl="2" w:tentative="0">
      <w:start w:val="1"/>
      <w:numFmt w:val="lowerRoman"/>
      <w:lvlText w:val="%3."/>
      <w:lvlJc w:val="right"/>
      <w:pPr>
        <w:ind w:left="2028" w:hanging="420"/>
      </w:pPr>
    </w:lvl>
    <w:lvl w:ilvl="3" w:tentative="0">
      <w:start w:val="1"/>
      <w:numFmt w:val="decimal"/>
      <w:lvlText w:val="%4."/>
      <w:lvlJc w:val="left"/>
      <w:pPr>
        <w:ind w:left="2448" w:hanging="420"/>
      </w:pPr>
    </w:lvl>
    <w:lvl w:ilvl="4" w:tentative="0">
      <w:start w:val="1"/>
      <w:numFmt w:val="lowerLetter"/>
      <w:lvlText w:val="%5)"/>
      <w:lvlJc w:val="left"/>
      <w:pPr>
        <w:ind w:left="2868" w:hanging="420"/>
      </w:pPr>
    </w:lvl>
    <w:lvl w:ilvl="5" w:tentative="0">
      <w:start w:val="1"/>
      <w:numFmt w:val="lowerRoman"/>
      <w:lvlText w:val="%6."/>
      <w:lvlJc w:val="right"/>
      <w:pPr>
        <w:ind w:left="3288" w:hanging="420"/>
      </w:pPr>
    </w:lvl>
    <w:lvl w:ilvl="6" w:tentative="0">
      <w:start w:val="1"/>
      <w:numFmt w:val="decimal"/>
      <w:lvlText w:val="%7."/>
      <w:lvlJc w:val="left"/>
      <w:pPr>
        <w:ind w:left="3708" w:hanging="420"/>
      </w:pPr>
    </w:lvl>
    <w:lvl w:ilvl="7" w:tentative="0">
      <w:start w:val="1"/>
      <w:numFmt w:val="lowerLetter"/>
      <w:lvlText w:val="%8)"/>
      <w:lvlJc w:val="left"/>
      <w:pPr>
        <w:ind w:left="4128" w:hanging="420"/>
      </w:pPr>
    </w:lvl>
    <w:lvl w:ilvl="8" w:tentative="0">
      <w:start w:val="1"/>
      <w:numFmt w:val="lowerRoman"/>
      <w:lvlText w:val="%9."/>
      <w:lvlJc w:val="right"/>
      <w:pPr>
        <w:ind w:left="454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494C31"/>
    <w:rsid w:val="00001D82"/>
    <w:rsid w:val="00010128"/>
    <w:rsid w:val="00013E48"/>
    <w:rsid w:val="00043725"/>
    <w:rsid w:val="00045179"/>
    <w:rsid w:val="00095311"/>
    <w:rsid w:val="000C548C"/>
    <w:rsid w:val="000F1569"/>
    <w:rsid w:val="00106B7C"/>
    <w:rsid w:val="00112433"/>
    <w:rsid w:val="001607A5"/>
    <w:rsid w:val="00165C65"/>
    <w:rsid w:val="001665CC"/>
    <w:rsid w:val="0017052D"/>
    <w:rsid w:val="0017057E"/>
    <w:rsid w:val="00173AAC"/>
    <w:rsid w:val="00187E89"/>
    <w:rsid w:val="001979D9"/>
    <w:rsid w:val="001F6B7B"/>
    <w:rsid w:val="001F70E2"/>
    <w:rsid w:val="0022270E"/>
    <w:rsid w:val="002436C2"/>
    <w:rsid w:val="00262E7D"/>
    <w:rsid w:val="002647C5"/>
    <w:rsid w:val="002A06C1"/>
    <w:rsid w:val="002A1813"/>
    <w:rsid w:val="002A784F"/>
    <w:rsid w:val="002B0E38"/>
    <w:rsid w:val="002D79A3"/>
    <w:rsid w:val="00301AB5"/>
    <w:rsid w:val="00317128"/>
    <w:rsid w:val="0033513C"/>
    <w:rsid w:val="00337923"/>
    <w:rsid w:val="00353FAE"/>
    <w:rsid w:val="00392F3C"/>
    <w:rsid w:val="0039358B"/>
    <w:rsid w:val="003B2761"/>
    <w:rsid w:val="003B4710"/>
    <w:rsid w:val="003B5148"/>
    <w:rsid w:val="003B5E0F"/>
    <w:rsid w:val="003C3EAF"/>
    <w:rsid w:val="003D7CAF"/>
    <w:rsid w:val="003F757C"/>
    <w:rsid w:val="0043002C"/>
    <w:rsid w:val="004533B5"/>
    <w:rsid w:val="00454AC7"/>
    <w:rsid w:val="00486A8D"/>
    <w:rsid w:val="00491D29"/>
    <w:rsid w:val="00494C31"/>
    <w:rsid w:val="004B72C8"/>
    <w:rsid w:val="004E1420"/>
    <w:rsid w:val="004F7CA6"/>
    <w:rsid w:val="00502F1A"/>
    <w:rsid w:val="00511CA5"/>
    <w:rsid w:val="0051435D"/>
    <w:rsid w:val="00517C8C"/>
    <w:rsid w:val="005363A6"/>
    <w:rsid w:val="00541559"/>
    <w:rsid w:val="005460B7"/>
    <w:rsid w:val="00550582"/>
    <w:rsid w:val="00556426"/>
    <w:rsid w:val="005C77E2"/>
    <w:rsid w:val="005D732C"/>
    <w:rsid w:val="005E3796"/>
    <w:rsid w:val="005F2917"/>
    <w:rsid w:val="00601605"/>
    <w:rsid w:val="00604A76"/>
    <w:rsid w:val="00605633"/>
    <w:rsid w:val="006101F7"/>
    <w:rsid w:val="00613930"/>
    <w:rsid w:val="00616CF6"/>
    <w:rsid w:val="00623C9A"/>
    <w:rsid w:val="00631BB0"/>
    <w:rsid w:val="00651640"/>
    <w:rsid w:val="006569DA"/>
    <w:rsid w:val="00684C1A"/>
    <w:rsid w:val="00696E22"/>
    <w:rsid w:val="00704DD0"/>
    <w:rsid w:val="00712081"/>
    <w:rsid w:val="007133C5"/>
    <w:rsid w:val="0072285C"/>
    <w:rsid w:val="0072470F"/>
    <w:rsid w:val="0072507F"/>
    <w:rsid w:val="00730D9C"/>
    <w:rsid w:val="00733E43"/>
    <w:rsid w:val="00760921"/>
    <w:rsid w:val="00773BA5"/>
    <w:rsid w:val="00773F57"/>
    <w:rsid w:val="00793326"/>
    <w:rsid w:val="00796BE5"/>
    <w:rsid w:val="007A55FC"/>
    <w:rsid w:val="007B60C3"/>
    <w:rsid w:val="007C6979"/>
    <w:rsid w:val="007D52DD"/>
    <w:rsid w:val="007F5109"/>
    <w:rsid w:val="00805A3A"/>
    <w:rsid w:val="00805C08"/>
    <w:rsid w:val="00805C3E"/>
    <w:rsid w:val="008306E6"/>
    <w:rsid w:val="00835B99"/>
    <w:rsid w:val="00835C35"/>
    <w:rsid w:val="008565AD"/>
    <w:rsid w:val="00893AF2"/>
    <w:rsid w:val="008A766D"/>
    <w:rsid w:val="008C6EF6"/>
    <w:rsid w:val="008D08D8"/>
    <w:rsid w:val="008E6C2D"/>
    <w:rsid w:val="008E780A"/>
    <w:rsid w:val="00930BB5"/>
    <w:rsid w:val="009529A4"/>
    <w:rsid w:val="0097067E"/>
    <w:rsid w:val="00972124"/>
    <w:rsid w:val="00973A92"/>
    <w:rsid w:val="009877B3"/>
    <w:rsid w:val="009961D1"/>
    <w:rsid w:val="00997B46"/>
    <w:rsid w:val="009A76BE"/>
    <w:rsid w:val="009B0681"/>
    <w:rsid w:val="009D25E9"/>
    <w:rsid w:val="009D5DFE"/>
    <w:rsid w:val="009E0238"/>
    <w:rsid w:val="009E77BF"/>
    <w:rsid w:val="00A11DC0"/>
    <w:rsid w:val="00A2635E"/>
    <w:rsid w:val="00A2731B"/>
    <w:rsid w:val="00A33EF3"/>
    <w:rsid w:val="00A436DE"/>
    <w:rsid w:val="00A54FEE"/>
    <w:rsid w:val="00A61CC4"/>
    <w:rsid w:val="00A63822"/>
    <w:rsid w:val="00A714FD"/>
    <w:rsid w:val="00A746BE"/>
    <w:rsid w:val="00AE41DB"/>
    <w:rsid w:val="00B1311B"/>
    <w:rsid w:val="00B17FF4"/>
    <w:rsid w:val="00B259D6"/>
    <w:rsid w:val="00B2737B"/>
    <w:rsid w:val="00B308A2"/>
    <w:rsid w:val="00B32E62"/>
    <w:rsid w:val="00B512CB"/>
    <w:rsid w:val="00B72B8D"/>
    <w:rsid w:val="00B91E4D"/>
    <w:rsid w:val="00BA7856"/>
    <w:rsid w:val="00BD5B48"/>
    <w:rsid w:val="00BE540E"/>
    <w:rsid w:val="00BE7916"/>
    <w:rsid w:val="00C22AD3"/>
    <w:rsid w:val="00C240A7"/>
    <w:rsid w:val="00C27356"/>
    <w:rsid w:val="00C443A0"/>
    <w:rsid w:val="00C46B28"/>
    <w:rsid w:val="00C80879"/>
    <w:rsid w:val="00C96809"/>
    <w:rsid w:val="00CD58B6"/>
    <w:rsid w:val="00CE5AFB"/>
    <w:rsid w:val="00CF0C5D"/>
    <w:rsid w:val="00CF1CCE"/>
    <w:rsid w:val="00CF36D1"/>
    <w:rsid w:val="00D011CB"/>
    <w:rsid w:val="00D14175"/>
    <w:rsid w:val="00D21662"/>
    <w:rsid w:val="00D27BAF"/>
    <w:rsid w:val="00D30979"/>
    <w:rsid w:val="00D34946"/>
    <w:rsid w:val="00D40AFC"/>
    <w:rsid w:val="00D423B7"/>
    <w:rsid w:val="00D50F31"/>
    <w:rsid w:val="00D548DA"/>
    <w:rsid w:val="00D962A7"/>
    <w:rsid w:val="00D968EE"/>
    <w:rsid w:val="00DA5650"/>
    <w:rsid w:val="00DB2ACE"/>
    <w:rsid w:val="00DC63F8"/>
    <w:rsid w:val="00DD4ECB"/>
    <w:rsid w:val="00DF3630"/>
    <w:rsid w:val="00E02382"/>
    <w:rsid w:val="00E20FBB"/>
    <w:rsid w:val="00E61020"/>
    <w:rsid w:val="00E615FF"/>
    <w:rsid w:val="00E92A7A"/>
    <w:rsid w:val="00EA78D8"/>
    <w:rsid w:val="00EB29B6"/>
    <w:rsid w:val="00EB66EB"/>
    <w:rsid w:val="00ED0382"/>
    <w:rsid w:val="00EE556E"/>
    <w:rsid w:val="00F1235F"/>
    <w:rsid w:val="00F1753F"/>
    <w:rsid w:val="00F2329E"/>
    <w:rsid w:val="00F25FFD"/>
    <w:rsid w:val="00F35A81"/>
    <w:rsid w:val="00F52F69"/>
    <w:rsid w:val="00F734C0"/>
    <w:rsid w:val="00F9104D"/>
    <w:rsid w:val="00F91684"/>
    <w:rsid w:val="00FC7E0F"/>
    <w:rsid w:val="072E6632"/>
    <w:rsid w:val="0C9E653D"/>
    <w:rsid w:val="0DB43078"/>
    <w:rsid w:val="0EEE7EF6"/>
    <w:rsid w:val="18EA5435"/>
    <w:rsid w:val="1DEA52D0"/>
    <w:rsid w:val="20EC2AB9"/>
    <w:rsid w:val="215522C4"/>
    <w:rsid w:val="28BC6E0A"/>
    <w:rsid w:val="28C702FD"/>
    <w:rsid w:val="29AD60F9"/>
    <w:rsid w:val="3967346D"/>
    <w:rsid w:val="39802AD6"/>
    <w:rsid w:val="3B8D2FE0"/>
    <w:rsid w:val="4CC0130B"/>
    <w:rsid w:val="59241226"/>
    <w:rsid w:val="61FD597C"/>
    <w:rsid w:val="65AB5C14"/>
    <w:rsid w:val="68101D73"/>
    <w:rsid w:val="6C7752EF"/>
    <w:rsid w:val="746319B9"/>
    <w:rsid w:val="7C3D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013B0-8BA5-49D4-B84A-38641741A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1093</Words>
  <Characters>1222</Characters>
  <Lines>9</Lines>
  <Paragraphs>2</Paragraphs>
  <TotalTime>50</TotalTime>
  <ScaleCrop>false</ScaleCrop>
  <LinksUpToDate>false</LinksUpToDate>
  <CharactersWithSpaces>1227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2016-08-29T00:46:00Z</dcterms:created>
  <dc:creator>User</dc:creator>
  <cp:lastModifiedBy>Administrator</cp:lastModifiedBy>
  <cp:lastPrinted>2022-05-13T01:30:00Z</cp:lastPrinted>
  <dcterms:modified xsi:type="dcterms:W3CDTF">2023-09-12T07:22:22Z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93C07BE445144517B822A3D886C4C90B</vt:lpwstr>
  </property>
</Properties>
</file>