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tabs>
          <w:tab w:val="left" w:pos="5880"/>
        </w:tabs>
        <w:spacing w:line="640" w:lineRule="exact"/>
        <w:ind w:left="5795" w:hanging="5817" w:hangingChars="1317"/>
        <w:jc w:val="center"/>
        <w:rPr>
          <w:rFonts w:ascii="方正大标宋简体" w:hAnsi="方正大标宋简体" w:eastAsia="方正大标宋简体" w:cs="方正大标宋简体"/>
          <w:b/>
          <w:bCs/>
          <w:sz w:val="44"/>
          <w:szCs w:val="44"/>
        </w:rPr>
      </w:pPr>
      <w:r>
        <w:rPr>
          <w:rFonts w:hint="eastAsia" w:ascii="方正大标宋简体" w:hAnsi="方正大标宋简体" w:eastAsia="方正大标宋简体" w:cs="方正大标宋简体"/>
          <w:b/>
          <w:bCs/>
          <w:sz w:val="44"/>
          <w:szCs w:val="44"/>
        </w:rPr>
        <w:t>溆浦县水运事务中心</w:t>
      </w:r>
    </w:p>
    <w:p>
      <w:pPr>
        <w:pStyle w:val="5"/>
        <w:tabs>
          <w:tab w:val="left" w:pos="5880"/>
        </w:tabs>
        <w:spacing w:line="640" w:lineRule="exact"/>
        <w:ind w:left="5795" w:hanging="5817" w:hangingChars="1317"/>
        <w:jc w:val="center"/>
        <w:rPr>
          <w:rFonts w:ascii="方正大标宋简体" w:hAnsi="方正大标宋简体" w:eastAsia="方正大标宋简体" w:cs="方正大标宋简体"/>
          <w:sz w:val="44"/>
          <w:szCs w:val="44"/>
        </w:rPr>
      </w:pPr>
      <w:r>
        <w:rPr>
          <w:rFonts w:hint="eastAsia" w:ascii="方正大标宋简体" w:hAnsi="方正大标宋简体" w:eastAsia="方正大标宋简体" w:cs="方正大标宋简体"/>
          <w:b/>
          <w:bCs/>
          <w:sz w:val="44"/>
          <w:szCs w:val="44"/>
        </w:rPr>
        <w:t>202</w:t>
      </w:r>
      <w:r>
        <w:rPr>
          <w:rFonts w:hint="eastAsia" w:ascii="方正大标宋简体" w:hAnsi="方正大标宋简体" w:eastAsia="方正大标宋简体" w:cs="方正大标宋简体"/>
          <w:b/>
          <w:bCs/>
          <w:sz w:val="44"/>
          <w:szCs w:val="44"/>
          <w:lang w:val="en-US" w:eastAsia="zh-CN"/>
        </w:rPr>
        <w:t>2</w:t>
      </w:r>
      <w:r>
        <w:rPr>
          <w:rFonts w:hint="eastAsia" w:ascii="方正大标宋简体" w:hAnsi="方正大标宋简体" w:eastAsia="方正大标宋简体" w:cs="方正大标宋简体"/>
          <w:b/>
          <w:bCs/>
          <w:sz w:val="44"/>
          <w:szCs w:val="44"/>
        </w:rPr>
        <w:t>度</w:t>
      </w:r>
      <w:r>
        <w:rPr>
          <w:rFonts w:hint="eastAsia" w:ascii="方正大标宋简体" w:hAnsi="方正大标宋简体" w:eastAsia="方正大标宋简体" w:cs="方正大标宋简体"/>
          <w:b/>
          <w:bCs/>
          <w:sz w:val="44"/>
          <w:szCs w:val="44"/>
          <w:lang w:val="en-US" w:eastAsia="zh-CN"/>
        </w:rPr>
        <w:t>部门</w:t>
      </w:r>
      <w:r>
        <w:rPr>
          <w:rFonts w:hint="eastAsia" w:ascii="方正大标宋简体" w:hAnsi="方正大标宋简体" w:eastAsia="方正大标宋简体" w:cs="方正大标宋简体"/>
          <w:b/>
          <w:bCs/>
          <w:sz w:val="44"/>
          <w:szCs w:val="44"/>
        </w:rPr>
        <w:t>整体支出绩效自评报告</w:t>
      </w:r>
    </w:p>
    <w:p>
      <w:pPr>
        <w:pStyle w:val="5"/>
        <w:wordWrap w:val="0"/>
        <w:spacing w:line="580" w:lineRule="exact"/>
        <w:ind w:firstLine="640" w:firstLineChars="200"/>
        <w:jc w:val="both"/>
        <w:rPr>
          <w:rFonts w:ascii="仿宋_GB2312" w:hAnsi="仿宋_GB2312" w:eastAsia="仿宋_GB2312" w:cs="仿宋_GB2312"/>
          <w:sz w:val="32"/>
          <w:szCs w:val="32"/>
        </w:rPr>
      </w:pPr>
    </w:p>
    <w:p>
      <w:pPr>
        <w:pStyle w:val="5"/>
        <w:wordWrap w:val="0"/>
        <w:spacing w:line="58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根据县财政局溆财绩函</w:t>
      </w:r>
      <w:r>
        <w:rPr>
          <w:rFonts w:hint="eastAsia" w:ascii="宋体" w:hAnsi="宋体" w:cs="宋体"/>
          <w:sz w:val="32"/>
          <w:szCs w:val="32"/>
        </w:rPr>
        <w:t>[202</w:t>
      </w:r>
      <w:r>
        <w:rPr>
          <w:rFonts w:hint="eastAsia" w:ascii="宋体" w:hAnsi="宋体" w:cs="宋体"/>
          <w:sz w:val="32"/>
          <w:szCs w:val="32"/>
          <w:lang w:val="en-US" w:eastAsia="zh-CN"/>
        </w:rPr>
        <w:t>3</w:t>
      </w:r>
      <w:r>
        <w:rPr>
          <w:rFonts w:hint="eastAsia" w:ascii="宋体" w:hAnsi="宋体" w:cs="宋体"/>
          <w:sz w:val="32"/>
          <w:szCs w:val="32"/>
        </w:rPr>
        <w:t>]</w:t>
      </w:r>
      <w:r>
        <w:rPr>
          <w:rFonts w:hint="eastAsia" w:ascii="宋体" w:hAnsi="宋体" w:cs="宋体"/>
          <w:sz w:val="32"/>
          <w:szCs w:val="32"/>
          <w:lang w:val="en-US" w:eastAsia="zh-CN"/>
        </w:rPr>
        <w:t>5</w:t>
      </w:r>
      <w:r>
        <w:rPr>
          <w:rFonts w:hint="eastAsia" w:ascii="宋体" w:hAnsi="宋体" w:cs="宋体"/>
          <w:sz w:val="32"/>
          <w:szCs w:val="32"/>
        </w:rPr>
        <w:t>号</w:t>
      </w:r>
      <w:r>
        <w:rPr>
          <w:rFonts w:hint="eastAsia" w:ascii="仿宋_GB2312" w:hAnsi="仿宋_GB2312" w:eastAsia="仿宋_GB2312" w:cs="仿宋_GB2312"/>
          <w:sz w:val="32"/>
          <w:szCs w:val="32"/>
        </w:rPr>
        <w:t>《关于开展202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度</w:t>
      </w:r>
      <w:r>
        <w:rPr>
          <w:rFonts w:hint="eastAsia" w:ascii="仿宋_GB2312" w:hAnsi="仿宋_GB2312" w:eastAsia="仿宋_GB2312" w:cs="仿宋_GB2312"/>
          <w:sz w:val="32"/>
          <w:szCs w:val="32"/>
        </w:rPr>
        <w:t>部门整体支出绩效评价工作的通知》精神，我单位对202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年度部门整体支出进行了全面的综合评价，现将有关情况汇报如下：</w:t>
      </w:r>
    </w:p>
    <w:p>
      <w:pPr>
        <w:pStyle w:val="5"/>
        <w:spacing w:line="580" w:lineRule="exact"/>
        <w:ind w:firstLine="640" w:firstLineChars="200"/>
        <w:jc w:val="both"/>
        <w:rPr>
          <w:rFonts w:ascii="黑体" w:hAnsi="黑体" w:eastAsia="黑体" w:cs="黑体"/>
          <w:b/>
          <w:bCs/>
          <w:sz w:val="32"/>
          <w:szCs w:val="32"/>
        </w:rPr>
      </w:pPr>
      <w:r>
        <w:rPr>
          <w:rFonts w:hint="eastAsia" w:ascii="黑体" w:hAnsi="黑体" w:eastAsia="黑体" w:cs="黑体"/>
          <w:sz w:val="32"/>
          <w:szCs w:val="32"/>
        </w:rPr>
        <w:t>一</w:t>
      </w:r>
      <w:r>
        <w:rPr>
          <w:rFonts w:hint="eastAsia" w:ascii="黑体" w:hAnsi="黑体" w:eastAsia="黑体" w:cs="黑体"/>
          <w:b/>
          <w:bCs/>
          <w:sz w:val="32"/>
          <w:szCs w:val="32"/>
        </w:rPr>
        <w:t>、</w:t>
      </w:r>
      <w:r>
        <w:rPr>
          <w:rFonts w:hint="eastAsia" w:ascii="黑体" w:hAnsi="黑体" w:eastAsia="黑体" w:cs="黑体"/>
          <w:sz w:val="32"/>
          <w:szCs w:val="32"/>
        </w:rPr>
        <w:t xml:space="preserve"> 部门概况</w:t>
      </w:r>
      <w:r>
        <w:rPr>
          <w:rFonts w:hint="eastAsia" w:ascii="黑体" w:hAnsi="黑体" w:eastAsia="黑体" w:cs="黑体"/>
          <w:b/>
          <w:bCs/>
          <w:sz w:val="32"/>
          <w:szCs w:val="32"/>
        </w:rPr>
        <w:t xml:space="preserve"> </w:t>
      </w:r>
    </w:p>
    <w:p>
      <w:pPr>
        <w:pStyle w:val="5"/>
        <w:spacing w:line="58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1、溆浦县水运事务中心</w:t>
      </w:r>
      <w:r>
        <w:rPr>
          <w:rFonts w:hint="eastAsia" w:ascii="仿宋_GB2312" w:hAnsi="仿宋_GB2312" w:eastAsia="仿宋_GB2312" w:cs="仿宋_GB2312"/>
          <w:sz w:val="32"/>
          <w:szCs w:val="32"/>
          <w:lang w:val="en-US" w:eastAsia="zh-CN"/>
        </w:rPr>
        <w:t>为县交通运输局所</w:t>
      </w:r>
      <w:r>
        <w:rPr>
          <w:rFonts w:hint="eastAsia" w:ascii="仿宋_GB2312" w:hAnsi="仿宋_GB2312" w:eastAsia="仿宋_GB2312" w:cs="仿宋_GB2312"/>
          <w:sz w:val="32"/>
          <w:szCs w:val="32"/>
        </w:rPr>
        <w:t>属财政全额拨款的副科级</w:t>
      </w:r>
      <w:r>
        <w:rPr>
          <w:rFonts w:hint="eastAsia" w:ascii="仿宋_GB2312" w:hAnsi="仿宋_GB2312" w:eastAsia="仿宋_GB2312" w:cs="仿宋_GB2312"/>
          <w:sz w:val="32"/>
          <w:szCs w:val="32"/>
          <w:lang w:val="en-US" w:eastAsia="zh-CN"/>
        </w:rPr>
        <w:t>公益一类</w:t>
      </w:r>
      <w:r>
        <w:rPr>
          <w:rFonts w:hint="eastAsia" w:ascii="仿宋_GB2312" w:hAnsi="仿宋_GB2312" w:eastAsia="仿宋_GB2312" w:cs="仿宋_GB2312"/>
          <w:sz w:val="32"/>
          <w:szCs w:val="32"/>
        </w:rPr>
        <w:t>事业单位</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color w:val="454545"/>
          <w:sz w:val="32"/>
          <w:szCs w:val="32"/>
        </w:rPr>
        <w:t>财务独立核算，现有编制</w:t>
      </w:r>
      <w:r>
        <w:rPr>
          <w:rFonts w:hint="eastAsia" w:ascii="仿宋_GB2312" w:hAnsi="仿宋_GB2312" w:eastAsia="仿宋_GB2312" w:cs="仿宋_GB2312"/>
          <w:color w:val="454545"/>
          <w:sz w:val="32"/>
          <w:szCs w:val="32"/>
          <w:lang w:val="en-US" w:eastAsia="zh-CN"/>
        </w:rPr>
        <w:t>10</w:t>
      </w:r>
      <w:r>
        <w:rPr>
          <w:rFonts w:hint="eastAsia" w:ascii="仿宋_GB2312" w:hAnsi="仿宋_GB2312" w:eastAsia="仿宋_GB2312" w:cs="仿宋_GB2312"/>
          <w:color w:val="454545"/>
          <w:sz w:val="32"/>
          <w:szCs w:val="32"/>
        </w:rPr>
        <w:t>人，</w:t>
      </w:r>
      <w:r>
        <w:rPr>
          <w:rFonts w:hint="eastAsia" w:ascii="仿宋_GB2312" w:hAnsi="仿宋_GB2312" w:eastAsia="仿宋_GB2312" w:cs="仿宋_GB2312"/>
          <w:sz w:val="32"/>
          <w:szCs w:val="32"/>
        </w:rPr>
        <w:t>在职人员1</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人，离退休人员</w:t>
      </w:r>
      <w:r>
        <w:rPr>
          <w:rFonts w:hint="eastAsia" w:ascii="仿宋_GB2312" w:hAnsi="仿宋_GB2312" w:eastAsia="仿宋_GB2312" w:cs="仿宋_GB2312"/>
          <w:color w:val="000000" w:themeColor="text1"/>
          <w:sz w:val="32"/>
          <w:szCs w:val="32"/>
          <w:shd w:val="clear" w:color="auto" w:fill="auto"/>
          <w:lang w:val="en-US" w:eastAsia="zh-CN"/>
        </w:rPr>
        <w:t>8</w:t>
      </w:r>
      <w:r>
        <w:rPr>
          <w:rFonts w:hint="eastAsia" w:ascii="仿宋_GB2312" w:hAnsi="仿宋_GB2312" w:eastAsia="仿宋_GB2312" w:cs="仿宋_GB2312"/>
          <w:sz w:val="32"/>
          <w:szCs w:val="32"/>
        </w:rPr>
        <w:t>人，主要负责全县水上交通安全监督、对辖区内小型客渡船检验，发证、组织船员培训及考试、航道航标设置及维护、负责对水路运输及运输服务和企业、运输船舶开业审批，维护全县水路运输秩序、负责对全县运营船舶燃油补贴的审批等工作职能。内设</w:t>
      </w:r>
      <w:r>
        <w:rPr>
          <w:rFonts w:hint="eastAsia" w:ascii="仿宋_GB2312" w:hAnsi="仿宋_GB2312" w:eastAsia="仿宋_GB2312" w:cs="仿宋_GB2312"/>
          <w:color w:val="000000" w:themeColor="text1"/>
          <w:sz w:val="32"/>
          <w:szCs w:val="32"/>
          <w:lang w:val="en-US" w:eastAsia="zh-CN"/>
        </w:rPr>
        <w:t>5</w:t>
      </w:r>
      <w:r>
        <w:rPr>
          <w:rFonts w:hint="eastAsia" w:ascii="仿宋_GB2312" w:hAnsi="仿宋_GB2312" w:eastAsia="仿宋_GB2312" w:cs="仿宋_GB2312"/>
          <w:sz w:val="32"/>
          <w:szCs w:val="32"/>
        </w:rPr>
        <w:t>个股室，分别为办公室、安全</w:t>
      </w:r>
      <w:r>
        <w:rPr>
          <w:rFonts w:hint="eastAsia" w:ascii="仿宋_GB2312" w:hAnsi="仿宋_GB2312" w:eastAsia="仿宋_GB2312" w:cs="仿宋_GB2312"/>
          <w:sz w:val="32"/>
          <w:szCs w:val="32"/>
          <w:lang w:val="en-US" w:eastAsia="zh-CN"/>
        </w:rPr>
        <w:t>应急室</w:t>
      </w:r>
      <w:r>
        <w:rPr>
          <w:rFonts w:hint="eastAsia" w:ascii="仿宋_GB2312" w:hAnsi="仿宋_GB2312" w:eastAsia="仿宋_GB2312" w:cs="仿宋_GB2312"/>
          <w:sz w:val="32"/>
          <w:szCs w:val="32"/>
        </w:rPr>
        <w:t>、船检</w:t>
      </w:r>
      <w:r>
        <w:rPr>
          <w:rFonts w:hint="eastAsia" w:ascii="仿宋_GB2312" w:hAnsi="仿宋_GB2312" w:eastAsia="仿宋_GB2312" w:cs="仿宋_GB2312"/>
          <w:sz w:val="32"/>
          <w:szCs w:val="32"/>
          <w:lang w:val="en-US" w:eastAsia="zh-CN"/>
        </w:rPr>
        <w:t>船员事务室</w:t>
      </w:r>
      <w:r>
        <w:rPr>
          <w:rFonts w:hint="eastAsia" w:ascii="仿宋_GB2312" w:hAnsi="仿宋_GB2312" w:eastAsia="仿宋_GB2312" w:cs="仿宋_GB2312"/>
          <w:sz w:val="32"/>
          <w:szCs w:val="32"/>
        </w:rPr>
        <w:t>、港</w:t>
      </w:r>
      <w:r>
        <w:rPr>
          <w:rFonts w:hint="eastAsia" w:ascii="仿宋_GB2312" w:hAnsi="仿宋_GB2312" w:eastAsia="仿宋_GB2312" w:cs="仿宋_GB2312"/>
          <w:sz w:val="32"/>
          <w:szCs w:val="32"/>
          <w:lang w:val="en-US" w:eastAsia="zh-CN"/>
        </w:rPr>
        <w:t>航事务室</w:t>
      </w:r>
      <w:r>
        <w:rPr>
          <w:rFonts w:hint="eastAsia" w:ascii="仿宋_GB2312" w:hAnsi="仿宋_GB2312" w:eastAsia="仿宋_GB2312" w:cs="仿宋_GB2312"/>
          <w:sz w:val="32"/>
          <w:szCs w:val="32"/>
        </w:rPr>
        <w:t>、航</w:t>
      </w:r>
      <w:r>
        <w:rPr>
          <w:rFonts w:hint="eastAsia" w:ascii="仿宋_GB2312" w:hAnsi="仿宋_GB2312" w:eastAsia="仿宋_GB2312" w:cs="仿宋_GB2312"/>
          <w:sz w:val="32"/>
          <w:szCs w:val="32"/>
          <w:lang w:val="en-US" w:eastAsia="zh-CN"/>
        </w:rPr>
        <w:t>道和水运发展事务室</w:t>
      </w:r>
      <w:r>
        <w:rPr>
          <w:rFonts w:hint="eastAsia" w:ascii="仿宋_GB2312" w:hAnsi="仿宋_GB2312" w:eastAsia="仿宋_GB2312" w:cs="仿宋_GB2312"/>
          <w:sz w:val="32"/>
          <w:szCs w:val="32"/>
        </w:rPr>
        <w:t xml:space="preserve">。 </w:t>
      </w:r>
    </w:p>
    <w:p>
      <w:pPr>
        <w:pStyle w:val="5"/>
        <w:spacing w:line="580" w:lineRule="exact"/>
        <w:ind w:firstLine="640" w:firstLineChars="200"/>
        <w:jc w:val="both"/>
        <w:rPr>
          <w:rFonts w:ascii="仿宋_GB2312" w:hAnsi="仿宋_GB2312" w:eastAsia="仿宋_GB2312" w:cs="仿宋_GB2312"/>
          <w:color w:val="010101"/>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color w:val="010101"/>
          <w:sz w:val="32"/>
          <w:szCs w:val="32"/>
        </w:rPr>
        <w:t>202</w:t>
      </w:r>
      <w:r>
        <w:rPr>
          <w:rFonts w:hint="eastAsia" w:ascii="仿宋_GB2312" w:hAnsi="仿宋_GB2312" w:eastAsia="仿宋_GB2312" w:cs="仿宋_GB2312"/>
          <w:color w:val="010101"/>
          <w:sz w:val="32"/>
          <w:szCs w:val="32"/>
          <w:lang w:val="en-US" w:eastAsia="zh-CN"/>
        </w:rPr>
        <w:t>2</w:t>
      </w:r>
      <w:r>
        <w:rPr>
          <w:rFonts w:hint="eastAsia" w:ascii="仿宋_GB2312" w:hAnsi="仿宋_GB2312" w:eastAsia="仿宋_GB2312" w:cs="仿宋_GB2312"/>
          <w:color w:val="010101"/>
          <w:sz w:val="32"/>
          <w:szCs w:val="32"/>
        </w:rPr>
        <w:t>年度重点工作计划</w:t>
      </w:r>
    </w:p>
    <w:p>
      <w:pPr>
        <w:pStyle w:val="5"/>
        <w:spacing w:line="580" w:lineRule="exact"/>
        <w:ind w:firstLine="640" w:firstLineChars="200"/>
        <w:jc w:val="both"/>
        <w:rPr>
          <w:rFonts w:ascii="仿宋_GB2312" w:hAnsi="仿宋_GB2312" w:eastAsia="仿宋_GB2312" w:cs="仿宋_GB2312"/>
          <w:color w:val="010101"/>
          <w:sz w:val="32"/>
          <w:szCs w:val="32"/>
        </w:rPr>
      </w:pPr>
      <w:r>
        <w:rPr>
          <w:rFonts w:hint="eastAsia" w:ascii="仿宋_GB2312" w:hAnsi="仿宋_GB2312" w:eastAsia="仿宋_GB2312" w:cs="仿宋_GB2312"/>
          <w:color w:val="010101"/>
          <w:sz w:val="32"/>
          <w:szCs w:val="32"/>
        </w:rPr>
        <w:t>本中心在202</w:t>
      </w:r>
      <w:r>
        <w:rPr>
          <w:rFonts w:hint="eastAsia" w:ascii="仿宋_GB2312" w:hAnsi="仿宋_GB2312" w:eastAsia="仿宋_GB2312" w:cs="仿宋_GB2312"/>
          <w:color w:val="010101"/>
          <w:sz w:val="32"/>
          <w:szCs w:val="32"/>
          <w:lang w:val="en-US" w:eastAsia="zh-CN"/>
        </w:rPr>
        <w:t>2</w:t>
      </w:r>
      <w:r>
        <w:rPr>
          <w:rFonts w:hint="eastAsia" w:ascii="仿宋_GB2312" w:hAnsi="仿宋_GB2312" w:eastAsia="仿宋_GB2312" w:cs="仿宋_GB2312"/>
          <w:color w:val="010101"/>
          <w:sz w:val="32"/>
          <w:szCs w:val="32"/>
        </w:rPr>
        <w:t>年年初召开全体干部职工会议上领导指出，各股室要做好各自业务，对年初制定的工作计划要按时按量完成。</w:t>
      </w:r>
    </w:p>
    <w:p>
      <w:pPr>
        <w:pStyle w:val="5"/>
        <w:numPr>
          <w:ilvl w:val="0"/>
          <w:numId w:val="1"/>
        </w:numPr>
        <w:spacing w:line="580" w:lineRule="exact"/>
        <w:ind w:firstLine="640" w:firstLineChars="200"/>
        <w:jc w:val="both"/>
        <w:rPr>
          <w:rFonts w:ascii="仿宋_GB2312" w:hAnsi="仿宋_GB2312" w:eastAsia="仿宋_GB2312" w:cs="仿宋_GB2312"/>
          <w:color w:val="010101"/>
          <w:sz w:val="32"/>
          <w:szCs w:val="32"/>
        </w:rPr>
      </w:pPr>
      <w:r>
        <w:rPr>
          <w:rFonts w:hint="eastAsia" w:ascii="仿宋_GB2312" w:hAnsi="仿宋_GB2312" w:eastAsia="仿宋_GB2312" w:cs="仿宋_GB2312"/>
          <w:color w:val="010101"/>
          <w:sz w:val="32"/>
          <w:szCs w:val="32"/>
        </w:rPr>
        <w:t>船舶船员股按计划完成客渡船船员安全知识强化培训及基本安全知识培训和船员考试组织工作</w:t>
      </w:r>
    </w:p>
    <w:p>
      <w:pPr>
        <w:pStyle w:val="5"/>
        <w:numPr>
          <w:ilvl w:val="0"/>
          <w:numId w:val="1"/>
        </w:numPr>
        <w:spacing w:line="58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color w:val="010101"/>
          <w:sz w:val="32"/>
          <w:szCs w:val="32"/>
        </w:rPr>
        <w:t>船检股完成小型船舶检验年审工作</w:t>
      </w:r>
    </w:p>
    <w:p>
      <w:pPr>
        <w:pStyle w:val="5"/>
        <w:numPr>
          <w:ilvl w:val="0"/>
          <w:numId w:val="1"/>
        </w:numPr>
        <w:spacing w:line="58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color w:val="010101"/>
          <w:sz w:val="32"/>
          <w:szCs w:val="32"/>
        </w:rPr>
        <w:t>港行股完成运营船舶燃油补贴审查和发放工作</w:t>
      </w:r>
    </w:p>
    <w:p>
      <w:pPr>
        <w:pStyle w:val="5"/>
        <w:numPr>
          <w:ilvl w:val="0"/>
          <w:numId w:val="1"/>
        </w:numPr>
        <w:spacing w:line="58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color w:val="010101"/>
          <w:sz w:val="32"/>
          <w:szCs w:val="32"/>
        </w:rPr>
        <w:t>航政股要做好航标维护</w:t>
      </w:r>
      <w:r>
        <w:rPr>
          <w:rFonts w:hint="eastAsia" w:ascii="仿宋_GB2312" w:hAnsi="仿宋_GB2312" w:eastAsia="仿宋_GB2312" w:cs="仿宋_GB2312"/>
          <w:sz w:val="32"/>
          <w:szCs w:val="32"/>
        </w:rPr>
        <w:t>、</w:t>
      </w:r>
      <w:r>
        <w:rPr>
          <w:rFonts w:hint="eastAsia" w:ascii="仿宋_GB2312" w:hAnsi="仿宋_GB2312" w:eastAsia="仿宋_GB2312" w:cs="仿宋_GB2312"/>
          <w:color w:val="010101"/>
          <w:sz w:val="32"/>
          <w:szCs w:val="32"/>
        </w:rPr>
        <w:t>安全巡航</w:t>
      </w:r>
      <w:r>
        <w:rPr>
          <w:rFonts w:hint="eastAsia" w:ascii="仿宋_GB2312" w:hAnsi="仿宋_GB2312" w:eastAsia="仿宋_GB2312" w:cs="仿宋_GB2312"/>
          <w:sz w:val="32"/>
          <w:szCs w:val="32"/>
        </w:rPr>
        <w:t>等日常工作</w:t>
      </w:r>
    </w:p>
    <w:p>
      <w:pPr>
        <w:pStyle w:val="5"/>
        <w:numPr>
          <w:ilvl w:val="0"/>
          <w:numId w:val="1"/>
        </w:numPr>
        <w:spacing w:line="58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安全监督股要做好平时的安全监督工作</w:t>
      </w:r>
    </w:p>
    <w:p>
      <w:pPr>
        <w:pStyle w:val="5"/>
        <w:spacing w:line="580" w:lineRule="exact"/>
        <w:ind w:firstLine="640" w:firstLineChars="200"/>
        <w:jc w:val="both"/>
        <w:rPr>
          <w:rFonts w:ascii="仿宋_GB2312" w:hAnsi="仿宋_GB2312" w:eastAsia="仿宋_GB2312" w:cs="仿宋_GB2312"/>
          <w:color w:val="010101"/>
          <w:sz w:val="32"/>
          <w:szCs w:val="32"/>
          <w:shd w:val="clear" w:color="auto" w:fill="FFFFFF"/>
        </w:rPr>
      </w:pPr>
      <w:r>
        <w:rPr>
          <w:rFonts w:hint="eastAsia" w:ascii="仿宋_GB2312" w:hAnsi="仿宋_GB2312" w:eastAsia="仿宋_GB2312" w:cs="仿宋_GB2312"/>
          <w:color w:val="010101"/>
          <w:sz w:val="32"/>
          <w:szCs w:val="32"/>
          <w:shd w:val="clear" w:color="auto" w:fill="FFFFFF"/>
        </w:rPr>
        <w:t xml:space="preserve">⑹  </w:t>
      </w:r>
      <w:r>
        <w:rPr>
          <w:rFonts w:hint="eastAsia" w:ascii="仿宋_GB2312" w:hAnsi="仿宋_GB2312" w:eastAsia="仿宋_GB2312" w:cs="仿宋_GB2312"/>
          <w:sz w:val="32"/>
          <w:szCs w:val="32"/>
        </w:rPr>
        <w:t>视频监控中心要加强视频监控日常工作</w:t>
      </w:r>
    </w:p>
    <w:p>
      <w:pPr>
        <w:pStyle w:val="5"/>
        <w:wordWrap w:val="0"/>
        <w:spacing w:line="580" w:lineRule="exact"/>
        <w:ind w:firstLine="640" w:firstLineChars="200"/>
        <w:jc w:val="both"/>
        <w:rPr>
          <w:rFonts w:ascii="黑体" w:hAnsi="黑体" w:eastAsia="黑体" w:cs="黑体"/>
          <w:bCs/>
          <w:sz w:val="32"/>
          <w:szCs w:val="32"/>
        </w:rPr>
      </w:pPr>
      <w:r>
        <w:rPr>
          <w:rFonts w:hint="eastAsia" w:ascii="黑体" w:hAnsi="黑体" w:eastAsia="黑体" w:cs="黑体"/>
          <w:bCs/>
          <w:sz w:val="32"/>
          <w:szCs w:val="32"/>
        </w:rPr>
        <w:t>二、部门整体支出管理及使用情况</w:t>
      </w:r>
    </w:p>
    <w:p>
      <w:pPr>
        <w:widowControl/>
        <w:overflowPunct w:val="0"/>
        <w:spacing w:line="580" w:lineRule="exact"/>
        <w:ind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（一）基本支出情况</w:t>
      </w:r>
    </w:p>
    <w:p>
      <w:pPr>
        <w:pStyle w:val="5"/>
        <w:autoSpaceDN w:val="0"/>
        <w:spacing w:line="580" w:lineRule="exact"/>
        <w:ind w:firstLine="640" w:firstLineChars="200"/>
        <w:jc w:val="both"/>
        <w:rPr>
          <w:rFonts w:ascii="仿宋_GB2312" w:hAnsi="仿宋_GB2312" w:eastAsia="仿宋_GB2312" w:cs="仿宋_GB2312"/>
          <w:color w:val="010101"/>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年度基本支出</w:t>
      </w:r>
      <w:r>
        <w:rPr>
          <w:rFonts w:hint="eastAsia" w:ascii="仿宋_GB2312" w:hAnsi="仿宋_GB2312" w:eastAsia="仿宋_GB2312" w:cs="仿宋_GB2312"/>
          <w:color w:val="010101"/>
          <w:sz w:val="32"/>
          <w:szCs w:val="32"/>
          <w:lang w:val="en-US" w:eastAsia="zh-CN"/>
        </w:rPr>
        <w:t>172.73</w:t>
      </w:r>
      <w:r>
        <w:rPr>
          <w:rFonts w:hint="eastAsia" w:ascii="仿宋_GB2312" w:hAnsi="仿宋_GB2312" w:eastAsia="仿宋_GB2312" w:cs="仿宋_GB2312"/>
          <w:color w:val="010101"/>
          <w:sz w:val="32"/>
          <w:szCs w:val="32"/>
        </w:rPr>
        <w:t>万元。</w:t>
      </w:r>
      <w:r>
        <w:rPr>
          <w:rFonts w:hint="eastAsia" w:ascii="仿宋_GB2312" w:hAnsi="仿宋_GB2312" w:eastAsia="仿宋_GB2312" w:cs="仿宋_GB2312"/>
          <w:sz w:val="32"/>
          <w:szCs w:val="32"/>
        </w:rPr>
        <w:t>主要是为保障机构正常运转、完成日常工作任务而发生的支出，</w:t>
      </w:r>
      <w:r>
        <w:rPr>
          <w:rFonts w:hint="eastAsia" w:ascii="仿宋_GB2312" w:hAnsi="仿宋_GB2312" w:eastAsia="仿宋_GB2312" w:cs="仿宋_GB2312"/>
          <w:color w:val="010101"/>
          <w:sz w:val="32"/>
          <w:szCs w:val="32"/>
        </w:rPr>
        <w:t>按经济科目分类</w:t>
      </w:r>
      <w:r>
        <w:rPr>
          <w:rFonts w:hint="eastAsia" w:ascii="仿宋_GB2312" w:hAnsi="仿宋_GB2312" w:eastAsia="仿宋_GB2312" w:cs="仿宋_GB2312"/>
          <w:sz w:val="32"/>
          <w:szCs w:val="32"/>
        </w:rPr>
        <w:t>主要包括：</w:t>
      </w:r>
      <w:r>
        <w:rPr>
          <w:rFonts w:hint="eastAsia" w:ascii="仿宋_GB2312" w:hAnsi="仿宋_GB2312" w:eastAsia="仿宋_GB2312" w:cs="仿宋_GB2312"/>
          <w:color w:val="010101"/>
          <w:sz w:val="32"/>
          <w:szCs w:val="32"/>
        </w:rPr>
        <w:t>工资福利支出</w:t>
      </w:r>
      <w:r>
        <w:rPr>
          <w:rFonts w:hint="eastAsia" w:ascii="仿宋_GB2312" w:hAnsi="仿宋_GB2312" w:eastAsia="仿宋_GB2312" w:cs="仿宋_GB2312"/>
          <w:color w:val="010101"/>
          <w:sz w:val="32"/>
          <w:szCs w:val="32"/>
          <w:lang w:val="en-US" w:eastAsia="zh-CN"/>
        </w:rPr>
        <w:t>138.28</w:t>
      </w:r>
      <w:r>
        <w:rPr>
          <w:rFonts w:hint="eastAsia" w:ascii="仿宋_GB2312" w:hAnsi="仿宋_GB2312" w:eastAsia="仿宋_GB2312" w:cs="仿宋_GB2312"/>
          <w:color w:val="010101"/>
          <w:sz w:val="32"/>
          <w:szCs w:val="32"/>
        </w:rPr>
        <w:t>万元、商品和服务支出</w:t>
      </w:r>
      <w:r>
        <w:rPr>
          <w:rFonts w:hint="eastAsia" w:ascii="仿宋_GB2312" w:hAnsi="仿宋_GB2312" w:eastAsia="仿宋_GB2312" w:cs="仿宋_GB2312"/>
          <w:color w:val="010101"/>
          <w:sz w:val="32"/>
          <w:szCs w:val="32"/>
          <w:lang w:val="en-US" w:eastAsia="zh-CN"/>
        </w:rPr>
        <w:t>11.67</w:t>
      </w:r>
      <w:r>
        <w:rPr>
          <w:rFonts w:hint="eastAsia" w:ascii="仿宋_GB2312" w:hAnsi="仿宋_GB2312" w:eastAsia="仿宋_GB2312" w:cs="仿宋_GB2312"/>
          <w:color w:val="010101"/>
          <w:sz w:val="32"/>
          <w:szCs w:val="32"/>
        </w:rPr>
        <w:t>万元</w:t>
      </w:r>
      <w:r>
        <w:rPr>
          <w:rFonts w:hint="eastAsia" w:ascii="仿宋_GB2312" w:hAnsi="仿宋_GB2312" w:eastAsia="仿宋_GB2312" w:cs="仿宋_GB2312"/>
          <w:color w:val="010101"/>
          <w:sz w:val="32"/>
          <w:szCs w:val="32"/>
          <w:lang w:eastAsia="zh-CN"/>
        </w:rPr>
        <w:t>、对个人和家庭补助支出</w:t>
      </w:r>
      <w:r>
        <w:rPr>
          <w:rFonts w:hint="eastAsia" w:ascii="仿宋_GB2312" w:hAnsi="仿宋_GB2312" w:eastAsia="仿宋_GB2312" w:cs="仿宋_GB2312"/>
          <w:color w:val="010101"/>
          <w:sz w:val="32"/>
          <w:szCs w:val="32"/>
          <w:lang w:val="en-US" w:eastAsia="zh-CN"/>
        </w:rPr>
        <w:t>22.78万元</w:t>
      </w:r>
      <w:r>
        <w:rPr>
          <w:rFonts w:hint="eastAsia" w:ascii="仿宋_GB2312" w:hAnsi="仿宋_GB2312" w:eastAsia="仿宋_GB2312" w:cs="仿宋_GB2312"/>
          <w:color w:val="010101"/>
          <w:sz w:val="32"/>
          <w:szCs w:val="32"/>
        </w:rPr>
        <w:t>。</w:t>
      </w:r>
      <w:r>
        <w:rPr>
          <w:rFonts w:hint="eastAsia" w:ascii="仿宋_GB2312" w:hAnsi="仿宋_GB2312" w:eastAsia="仿宋_GB2312" w:cs="仿宋_GB2312"/>
          <w:color w:val="010101"/>
          <w:sz w:val="32"/>
          <w:szCs w:val="32"/>
          <w:lang w:eastAsia="zh-CN"/>
        </w:rPr>
        <w:t>公用经费中的办公费、印刷费支出</w:t>
      </w:r>
      <w:r>
        <w:rPr>
          <w:rFonts w:hint="eastAsia" w:ascii="仿宋_GB2312" w:hAnsi="仿宋_GB2312" w:eastAsia="仿宋_GB2312" w:cs="仿宋_GB2312"/>
          <w:color w:val="010101"/>
          <w:sz w:val="32"/>
          <w:szCs w:val="32"/>
          <w:lang w:val="en-US" w:eastAsia="zh-CN"/>
        </w:rPr>
        <w:t>1.98万元，水费、电费、差旅费支出3万元。</w:t>
      </w:r>
    </w:p>
    <w:p>
      <w:pPr>
        <w:widowControl/>
        <w:overflowPunct w:val="0"/>
        <w:autoSpaceDN w:val="0"/>
        <w:spacing w:line="580" w:lineRule="exact"/>
        <w:ind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（二）项目支出情况</w:t>
      </w:r>
    </w:p>
    <w:p>
      <w:pPr>
        <w:pStyle w:val="5"/>
        <w:wordWrap w:val="0"/>
        <w:autoSpaceDN w:val="0"/>
        <w:spacing w:line="580" w:lineRule="exact"/>
        <w:ind w:firstLine="640" w:firstLineChars="200"/>
        <w:jc w:val="both"/>
        <w:rPr>
          <w:rFonts w:hint="eastAsia" w:ascii="仿宋_GB2312" w:hAnsi="仿宋_GB2312" w:eastAsia="仿宋_GB2312" w:cs="仿宋_GB2312"/>
          <w:color w:val="010101"/>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年度项目支出</w:t>
      </w:r>
      <w:r>
        <w:rPr>
          <w:rFonts w:hint="eastAsia" w:ascii="仿宋_GB2312" w:hAnsi="仿宋_GB2312" w:eastAsia="仿宋_GB2312" w:cs="仿宋_GB2312"/>
          <w:sz w:val="32"/>
          <w:szCs w:val="32"/>
          <w:lang w:val="en-US" w:eastAsia="zh-CN"/>
        </w:rPr>
        <w:t>212.73</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。其中商品服务支出</w:t>
      </w:r>
      <w:r>
        <w:rPr>
          <w:rFonts w:hint="eastAsia" w:ascii="仿宋_GB2312" w:hAnsi="仿宋_GB2312" w:eastAsia="仿宋_GB2312" w:cs="仿宋_GB2312"/>
          <w:sz w:val="32"/>
          <w:szCs w:val="32"/>
          <w:lang w:val="en-US" w:eastAsia="zh-CN"/>
        </w:rPr>
        <w:t>61.48万元，其中航道养护费17万元、船舶油料费11.68万元、视频租赁费11.32万元、签单员工资及大桥维护费21.4万元；其他支出151.25万元，中包括省拨船舶燃油补助105.42万元和省拨码头改建款45.83万元。</w:t>
      </w:r>
    </w:p>
    <w:p>
      <w:pPr>
        <w:widowControl/>
        <w:overflowPunct w:val="0"/>
        <w:spacing w:line="580" w:lineRule="exact"/>
        <w:ind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（三）三公经费情况</w:t>
      </w:r>
    </w:p>
    <w:p>
      <w:pPr>
        <w:pStyle w:val="5"/>
        <w:wordWrap w:val="0"/>
        <w:spacing w:line="580" w:lineRule="exact"/>
        <w:ind w:firstLine="640" w:firstLineChars="200"/>
        <w:jc w:val="both"/>
        <w:rPr>
          <w:rFonts w:hint="eastAsia" w:ascii="仿宋_GB2312" w:hAnsi="仿宋_GB2312" w:eastAsia="仿宋_GB2312" w:cs="仿宋_GB2312"/>
          <w:color w:val="010101"/>
          <w:sz w:val="32"/>
          <w:szCs w:val="32"/>
        </w:rPr>
      </w:pPr>
      <w:r>
        <w:rPr>
          <w:rFonts w:hint="eastAsia" w:ascii="仿宋_GB2312" w:hAnsi="仿宋_GB2312" w:eastAsia="仿宋_GB2312" w:cs="仿宋_GB2312"/>
          <w:color w:val="010101"/>
          <w:sz w:val="32"/>
          <w:szCs w:val="32"/>
        </w:rPr>
        <w:t>全年决算支出“三公”经费中公务接待费</w:t>
      </w:r>
      <w:r>
        <w:rPr>
          <w:rFonts w:hint="eastAsia" w:ascii="仿宋_GB2312" w:hAnsi="仿宋_GB2312" w:eastAsia="仿宋_GB2312" w:cs="仿宋_GB2312"/>
          <w:color w:val="010101"/>
          <w:sz w:val="32"/>
          <w:szCs w:val="32"/>
          <w:lang w:val="en-US" w:eastAsia="zh-CN"/>
        </w:rPr>
        <w:t>0</w:t>
      </w:r>
      <w:r>
        <w:rPr>
          <w:rFonts w:hint="eastAsia" w:ascii="仿宋_GB2312" w:hAnsi="仿宋_GB2312" w:eastAsia="仿宋_GB2312" w:cs="仿宋_GB2312"/>
          <w:color w:val="010101"/>
          <w:sz w:val="32"/>
          <w:szCs w:val="32"/>
        </w:rPr>
        <w:t>万元。</w:t>
      </w:r>
    </w:p>
    <w:p>
      <w:pPr>
        <w:pStyle w:val="5"/>
        <w:numPr>
          <w:ilvl w:val="0"/>
          <w:numId w:val="2"/>
        </w:numPr>
        <w:spacing w:line="580" w:lineRule="exact"/>
        <w:ind w:firstLine="640" w:firstLineChars="200"/>
        <w:jc w:val="both"/>
        <w:rPr>
          <w:rFonts w:ascii="黑体" w:hAnsi="黑体" w:eastAsia="黑体" w:cs="黑体"/>
          <w:sz w:val="32"/>
          <w:szCs w:val="32"/>
        </w:rPr>
      </w:pPr>
      <w:r>
        <w:rPr>
          <w:rFonts w:hint="eastAsia" w:ascii="黑体" w:hAnsi="黑体" w:eastAsia="黑体" w:cs="黑体"/>
          <w:sz w:val="32"/>
          <w:szCs w:val="32"/>
          <w:lang w:eastAsia="zh-CN"/>
        </w:rPr>
        <w:t>部门专项组织实施情况</w:t>
      </w:r>
    </w:p>
    <w:p>
      <w:pPr>
        <w:pStyle w:val="5"/>
        <w:numPr>
          <w:numId w:val="0"/>
        </w:numPr>
        <w:spacing w:line="580" w:lineRule="exact"/>
        <w:ind w:firstLine="64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专项组织及管理情况分析，我单位</w:t>
      </w:r>
      <w:r>
        <w:rPr>
          <w:rFonts w:hint="eastAsia" w:ascii="仿宋_GB2312" w:hAnsi="仿宋_GB2312" w:eastAsia="仿宋_GB2312" w:cs="仿宋_GB2312"/>
          <w:sz w:val="32"/>
          <w:szCs w:val="32"/>
          <w:lang w:val="en-US" w:eastAsia="zh-CN"/>
        </w:rPr>
        <w:t>4个项目属延续专项，主要用于签单发航员工资、视频监控租赁、航道养护、船舶油料费支出，单位领导班子成员和股室负责人员进行把关，任务完成合格后由相关股室上报，单位负责人审核，分管财务领导同意开支。严格按照相关规定对专项资金进行管理和使用，做到专款专用，无任何截留、挤占、挪用等违规违纪行为。</w:t>
      </w:r>
    </w:p>
    <w:p>
      <w:pPr>
        <w:pStyle w:val="5"/>
        <w:numPr>
          <w:numId w:val="0"/>
        </w:numPr>
        <w:spacing w:line="580" w:lineRule="exact"/>
        <w:ind w:firstLine="640"/>
        <w:jc w:val="both"/>
        <w:rPr>
          <w:rFonts w:ascii="黑体" w:hAnsi="黑体" w:eastAsia="黑体" w:cs="黑体"/>
          <w:sz w:val="32"/>
          <w:szCs w:val="32"/>
        </w:rPr>
      </w:pPr>
      <w:r>
        <w:rPr>
          <w:rFonts w:hint="eastAsia" w:ascii="黑体" w:hAnsi="黑体" w:eastAsia="黑体" w:cs="黑体"/>
          <w:sz w:val="32"/>
          <w:szCs w:val="32"/>
          <w:lang w:eastAsia="zh-CN"/>
        </w:rPr>
        <w:t>四</w:t>
      </w:r>
      <w:r>
        <w:rPr>
          <w:rFonts w:hint="eastAsia" w:ascii="黑体" w:hAnsi="黑体" w:eastAsia="黑体" w:cs="黑体"/>
          <w:sz w:val="32"/>
          <w:szCs w:val="32"/>
        </w:rPr>
        <w:t>、资产管理情况</w:t>
      </w:r>
    </w:p>
    <w:p>
      <w:pPr>
        <w:pStyle w:val="5"/>
        <w:overflowPunct w:val="0"/>
        <w:spacing w:line="61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年末，我中心固定资产为11.</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万元，其中，房屋及构筑物0万元，通用设备</w:t>
      </w:r>
      <w:r>
        <w:rPr>
          <w:rFonts w:hint="eastAsia" w:ascii="仿宋_GB2312" w:hAnsi="仿宋_GB2312" w:eastAsia="仿宋_GB2312" w:cs="仿宋_GB2312"/>
          <w:sz w:val="32"/>
          <w:szCs w:val="32"/>
          <w:lang w:val="en-US" w:eastAsia="zh-CN"/>
        </w:rPr>
        <w:t>9.68</w:t>
      </w:r>
      <w:r>
        <w:rPr>
          <w:rFonts w:hint="eastAsia" w:ascii="仿宋_GB2312" w:hAnsi="仿宋_GB2312" w:eastAsia="仿宋_GB2312" w:cs="仿宋_GB2312"/>
          <w:sz w:val="32"/>
          <w:szCs w:val="32"/>
        </w:rPr>
        <w:t>万元，专用设备0万元，家具、用具、装具等1.82万元。</w:t>
      </w:r>
    </w:p>
    <w:p>
      <w:pPr>
        <w:pStyle w:val="5"/>
        <w:wordWrap w:val="0"/>
        <w:spacing w:line="580" w:lineRule="exact"/>
        <w:ind w:firstLine="640" w:firstLineChars="200"/>
        <w:jc w:val="both"/>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10101"/>
          <w:sz w:val="32"/>
          <w:szCs w:val="32"/>
        </w:rPr>
        <w:t>为加强处机关国有资产管理，提高资产使用效益，依据《行政事业单位国有资产管理办法》，我中心制定了《溆浦县地方海事处资产管理制度》，资产要专人管理，要全部清理登记在册，确保国有资产的不流失和使用效益，损坏、丢失、报废按制度处置。</w:t>
      </w:r>
    </w:p>
    <w:p>
      <w:pPr>
        <w:pStyle w:val="5"/>
        <w:spacing w:line="580" w:lineRule="exact"/>
        <w:ind w:firstLine="640" w:firstLineChars="200"/>
        <w:jc w:val="both"/>
        <w:rPr>
          <w:rFonts w:ascii="黑体" w:hAnsi="黑体" w:eastAsia="黑体" w:cs="黑体"/>
          <w:sz w:val="32"/>
          <w:szCs w:val="32"/>
        </w:rPr>
      </w:pPr>
      <w:r>
        <w:rPr>
          <w:rFonts w:hint="eastAsia" w:ascii="黑体" w:hAnsi="黑体" w:eastAsia="黑体" w:cs="黑体"/>
          <w:sz w:val="32"/>
          <w:szCs w:val="32"/>
          <w:lang w:eastAsia="zh-CN"/>
        </w:rPr>
        <w:t>五</w:t>
      </w:r>
      <w:r>
        <w:rPr>
          <w:rFonts w:hint="eastAsia" w:ascii="黑体" w:hAnsi="黑体" w:eastAsia="黑体" w:cs="黑体"/>
          <w:sz w:val="32"/>
          <w:szCs w:val="32"/>
        </w:rPr>
        <w:t>、部门整体支出绩效情况分析</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（一）职责履行</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年各股室按年初制定的计划，按时完成了各项工作。</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1、船员培训工作。县海事处向市海事局申请，由长沙金</w:t>
      </w:r>
      <w:r>
        <w:rPr>
          <w:rFonts w:hint="eastAsia" w:ascii="仿宋_GB2312" w:hAnsi="仿宋_GB2312" w:eastAsia="仿宋_GB2312" w:cs="仿宋_GB2312"/>
          <w:sz w:val="32"/>
          <w:szCs w:val="32"/>
          <w:lang w:eastAsia="zh-CN"/>
        </w:rPr>
        <w:t>舟</w:t>
      </w:r>
      <w:r>
        <w:rPr>
          <w:rFonts w:hint="eastAsia" w:ascii="仿宋_GB2312" w:hAnsi="仿宋_GB2312" w:eastAsia="仿宋_GB2312" w:cs="仿宋_GB2312"/>
          <w:sz w:val="32"/>
          <w:szCs w:val="32"/>
        </w:rPr>
        <w:t>驾校对我辖区船员进行了船员培训，共有</w:t>
      </w:r>
      <w:r>
        <w:rPr>
          <w:rFonts w:hint="eastAsia" w:ascii="仿宋_GB2312" w:hAnsi="仿宋_GB2312" w:eastAsia="仿宋_GB2312" w:cs="仿宋_GB2312"/>
          <w:color w:val="000000" w:themeColor="text1"/>
          <w:sz w:val="32"/>
          <w:szCs w:val="32"/>
          <w:lang w:val="en-US" w:eastAsia="zh-CN"/>
        </w:rPr>
        <w:t>30</w:t>
      </w:r>
      <w:r>
        <w:rPr>
          <w:rFonts w:hint="eastAsia" w:ascii="仿宋_GB2312" w:hAnsi="仿宋_GB2312" w:eastAsia="仿宋_GB2312" w:cs="仿宋_GB2312"/>
          <w:sz w:val="32"/>
          <w:szCs w:val="32"/>
        </w:rPr>
        <w:t>名船员参加培训，合格率达到了100%。</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2、船舶检验工作。全年共检验</w:t>
      </w:r>
      <w:r>
        <w:rPr>
          <w:rFonts w:hint="eastAsia" w:ascii="仿宋_GB2312" w:hAnsi="仿宋_GB2312" w:eastAsia="仿宋_GB2312" w:cs="仿宋_GB2312"/>
          <w:color w:val="000000" w:themeColor="text1"/>
          <w:sz w:val="32"/>
          <w:szCs w:val="32"/>
          <w:lang w:val="en-US" w:eastAsia="zh-CN"/>
        </w:rPr>
        <w:t>59</w:t>
      </w:r>
      <w:r>
        <w:rPr>
          <w:rFonts w:hint="eastAsia" w:ascii="仿宋_GB2312" w:hAnsi="仿宋_GB2312" w:eastAsia="仿宋_GB2312" w:cs="仿宋_GB2312"/>
          <w:sz w:val="32"/>
          <w:szCs w:val="32"/>
        </w:rPr>
        <w:t>艘小型船舶，检验率达到了100%。</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3、运营船舶燃油补贴工作。在202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年前对辖区内</w:t>
      </w:r>
      <w:r>
        <w:rPr>
          <w:rFonts w:hint="eastAsia" w:ascii="仿宋_GB2312" w:hAnsi="仿宋_GB2312" w:eastAsia="仿宋_GB2312" w:cs="仿宋_GB2312"/>
          <w:color w:val="000000" w:themeColor="text1"/>
          <w:sz w:val="32"/>
          <w:szCs w:val="32"/>
          <w:lang w:val="en-US" w:eastAsia="zh-CN"/>
        </w:rPr>
        <w:t>31</w:t>
      </w:r>
      <w:r>
        <w:rPr>
          <w:rFonts w:hint="eastAsia" w:ascii="仿宋_GB2312" w:hAnsi="仿宋_GB2312" w:eastAsia="仿宋_GB2312" w:cs="仿宋_GB2312"/>
          <w:sz w:val="32"/>
          <w:szCs w:val="32"/>
        </w:rPr>
        <w:t>艘运营船舶的燃油费补贴按财政发放的金额全额全部发给了船员，发放率达到100％。</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w:t>
      </w:r>
      <w:r>
        <w:rPr>
          <w:rFonts w:hint="eastAsia" w:ascii="宋体" w:hAnsi="宋体" w:cs="宋体"/>
          <w:sz w:val="32"/>
          <w:szCs w:val="32"/>
        </w:rPr>
        <w:t>、</w:t>
      </w:r>
      <w:r>
        <w:rPr>
          <w:rFonts w:hint="eastAsia" w:ascii="仿宋_GB2312" w:hAnsi="仿宋_GB2312" w:eastAsia="仿宋_GB2312" w:cs="仿宋_GB2312"/>
          <w:sz w:val="32"/>
          <w:szCs w:val="32"/>
        </w:rPr>
        <w:t>航道养护工作。加强航道养护和航标维护工作，保障航道畅通。</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w:t>
      </w:r>
      <w:r>
        <w:rPr>
          <w:rFonts w:hint="eastAsia" w:ascii="宋体" w:hAnsi="宋体" w:cs="宋体"/>
          <w:sz w:val="32"/>
          <w:szCs w:val="32"/>
        </w:rPr>
        <w:t>、</w:t>
      </w:r>
      <w:r>
        <w:rPr>
          <w:rFonts w:hint="eastAsia" w:ascii="仿宋_GB2312" w:hAnsi="仿宋_GB2312" w:eastAsia="仿宋_GB2312" w:cs="仿宋_GB2312"/>
          <w:sz w:val="32"/>
          <w:szCs w:val="32"/>
        </w:rPr>
        <w:t>日常安全巡航工作。在巡航过程中如发现船舶有违章行为及时处理。</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（二）履职效益</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保障了船舶航行的安全和群众出行的安全，做好了水上综治维稳工作。</w:t>
      </w:r>
    </w:p>
    <w:p>
      <w:pPr>
        <w:pStyle w:val="5"/>
        <w:spacing w:line="580" w:lineRule="exact"/>
        <w:ind w:firstLine="640" w:firstLineChars="200"/>
        <w:jc w:val="both"/>
        <w:rPr>
          <w:rFonts w:ascii="黑体" w:hAnsi="黑体" w:eastAsia="黑体" w:cs="黑体"/>
          <w:sz w:val="32"/>
          <w:szCs w:val="32"/>
        </w:rPr>
      </w:pPr>
      <w:r>
        <w:rPr>
          <w:rFonts w:hint="eastAsia" w:ascii="黑体" w:hAnsi="黑体" w:eastAsia="黑体" w:cs="黑体"/>
          <w:sz w:val="32"/>
          <w:szCs w:val="32"/>
          <w:lang w:eastAsia="zh-CN"/>
        </w:rPr>
        <w:t>六</w:t>
      </w:r>
      <w:r>
        <w:rPr>
          <w:rFonts w:hint="eastAsia" w:ascii="黑体" w:hAnsi="黑体" w:eastAsia="黑体" w:cs="黑体"/>
          <w:sz w:val="32"/>
          <w:szCs w:val="32"/>
        </w:rPr>
        <w:t>、存在的主要问题</w:t>
      </w:r>
    </w:p>
    <w:p>
      <w:pPr>
        <w:pStyle w:val="5"/>
        <w:shd w:val="clear" w:color="auto" w:fill="FFFFFF"/>
        <w:wordWrap w:val="0"/>
        <w:spacing w:line="580" w:lineRule="exact"/>
        <w:ind w:firstLine="640" w:firstLineChars="200"/>
        <w:jc w:val="both"/>
        <w:rPr>
          <w:rStyle w:val="17"/>
          <w:rFonts w:ascii="仿宋_GB2312" w:hAnsi="仿宋_GB2312" w:eastAsia="仿宋_GB2312" w:cs="仿宋_GB2312"/>
          <w:b w:val="0"/>
          <w:bCs/>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color w:val="010101"/>
          <w:sz w:val="32"/>
          <w:szCs w:val="32"/>
          <w:shd w:val="clear" w:color="auto" w:fill="FFFFFF"/>
        </w:rPr>
        <w:t xml:space="preserve"> </w:t>
      </w:r>
      <w:r>
        <w:rPr>
          <w:rFonts w:hint="eastAsia" w:ascii="仿宋_GB2312" w:hAnsi="仿宋_GB2312" w:eastAsia="仿宋_GB2312" w:cs="仿宋_GB2312"/>
          <w:sz w:val="32"/>
          <w:szCs w:val="32"/>
        </w:rPr>
        <w:t>预算不够精细</w:t>
      </w:r>
      <w:r>
        <w:rPr>
          <w:rFonts w:hint="eastAsia" w:ascii="仿宋_GB2312" w:hAnsi="仿宋_GB2312" w:eastAsia="仿宋_GB2312" w:cs="仿宋_GB2312"/>
          <w:color w:val="010101"/>
          <w:sz w:val="32"/>
          <w:szCs w:val="32"/>
          <w:shd w:val="clear" w:color="auto" w:fill="FFFFFF"/>
        </w:rPr>
        <w:t>， 预算执行中，存在预算子项调剂现象。</w:t>
      </w:r>
    </w:p>
    <w:p>
      <w:pPr>
        <w:pStyle w:val="5"/>
        <w:shd w:val="clear" w:color="auto" w:fill="FFFFFF"/>
        <w:wordWrap w:val="0"/>
        <w:spacing w:line="580" w:lineRule="exact"/>
        <w:ind w:firstLine="640" w:firstLineChars="200"/>
        <w:jc w:val="both"/>
        <w:rPr>
          <w:rStyle w:val="17"/>
          <w:rFonts w:ascii="仿宋_GB2312" w:hAnsi="仿宋_GB2312" w:eastAsia="仿宋_GB2312" w:cs="仿宋_GB2312"/>
          <w:b w:val="0"/>
          <w:bCs/>
          <w:sz w:val="32"/>
          <w:szCs w:val="32"/>
        </w:rPr>
      </w:pPr>
      <w:r>
        <w:rPr>
          <w:rFonts w:hint="eastAsia" w:ascii="仿宋_GB2312" w:hAnsi="仿宋_GB2312" w:eastAsia="仿宋_GB2312" w:cs="仿宋_GB2312"/>
          <w:sz w:val="32"/>
          <w:szCs w:val="32"/>
        </w:rPr>
        <w:t>2、</w:t>
      </w:r>
      <w:r>
        <w:rPr>
          <w:rStyle w:val="17"/>
          <w:rFonts w:hint="eastAsia" w:ascii="仿宋_GB2312" w:hAnsi="仿宋_GB2312" w:eastAsia="仿宋_GB2312" w:cs="仿宋_GB2312"/>
          <w:b w:val="0"/>
          <w:bCs/>
          <w:sz w:val="32"/>
          <w:szCs w:val="32"/>
        </w:rPr>
        <w:t>财务人员专业知识</w:t>
      </w:r>
      <w:r>
        <w:rPr>
          <w:rFonts w:hint="eastAsia" w:ascii="仿宋_GB2312" w:hAnsi="仿宋_GB2312" w:eastAsia="仿宋_GB2312" w:cs="仿宋_GB2312"/>
          <w:bCs/>
          <w:color w:val="010101"/>
          <w:sz w:val="32"/>
          <w:szCs w:val="32"/>
          <w:shd w:val="clear" w:color="auto" w:fill="FFFFFF"/>
        </w:rPr>
        <w:t>不够熟悉</w:t>
      </w:r>
      <w:r>
        <w:rPr>
          <w:rStyle w:val="17"/>
          <w:rFonts w:hint="eastAsia" w:ascii="仿宋_GB2312" w:hAnsi="仿宋_GB2312" w:eastAsia="仿宋_GB2312" w:cs="仿宋_GB2312"/>
          <w:b w:val="0"/>
          <w:bCs/>
          <w:sz w:val="32"/>
          <w:szCs w:val="32"/>
        </w:rPr>
        <w:t>，有待提高。</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3、财务管理制度还须完善。</w:t>
      </w:r>
    </w:p>
    <w:p>
      <w:pPr>
        <w:pStyle w:val="5"/>
        <w:spacing w:line="580" w:lineRule="exact"/>
        <w:ind w:firstLine="640" w:firstLineChars="200"/>
        <w:jc w:val="both"/>
        <w:rPr>
          <w:rFonts w:ascii="黑体" w:hAnsi="黑体" w:eastAsia="黑体" w:cs="黑体"/>
          <w:sz w:val="32"/>
          <w:szCs w:val="32"/>
        </w:rPr>
      </w:pPr>
      <w:r>
        <w:rPr>
          <w:rFonts w:hint="eastAsia" w:ascii="黑体" w:hAnsi="黑体" w:eastAsia="黑体" w:cs="黑体"/>
          <w:sz w:val="32"/>
          <w:szCs w:val="32"/>
          <w:lang w:eastAsia="zh-CN"/>
        </w:rPr>
        <w:t>七</w:t>
      </w:r>
      <w:bookmarkStart w:id="0" w:name="_GoBack"/>
      <w:bookmarkEnd w:id="0"/>
      <w:r>
        <w:rPr>
          <w:rFonts w:hint="eastAsia" w:ascii="黑体" w:hAnsi="黑体" w:eastAsia="黑体" w:cs="黑体"/>
          <w:sz w:val="32"/>
          <w:szCs w:val="32"/>
        </w:rPr>
        <w:t>、建议</w:t>
      </w:r>
    </w:p>
    <w:p>
      <w:pPr>
        <w:pStyle w:val="5"/>
        <w:wordWrap w:val="0"/>
        <w:spacing w:line="580" w:lineRule="exact"/>
        <w:ind w:firstLine="640" w:firstLineChars="200"/>
        <w:jc w:val="both"/>
        <w:rPr>
          <w:rFonts w:ascii="仿宋_GB2312" w:hAnsi="仿宋_GB2312" w:eastAsia="仿宋_GB2312" w:cs="仿宋_GB2312"/>
          <w:color w:val="010101"/>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color w:val="010101"/>
          <w:sz w:val="32"/>
          <w:szCs w:val="32"/>
        </w:rPr>
        <w:t>将进一步重视预算的工作，科学合理编制预算，严格执行预算，提高预算的精确度，提高财政资金使用率。</w:t>
      </w:r>
    </w:p>
    <w:p>
      <w:pPr>
        <w:pStyle w:val="5"/>
        <w:wordWrap w:val="0"/>
        <w:spacing w:line="58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color w:val="010101"/>
          <w:sz w:val="32"/>
          <w:szCs w:val="32"/>
        </w:rPr>
        <w:t>加强</w:t>
      </w:r>
      <w:r>
        <w:rPr>
          <w:rStyle w:val="17"/>
          <w:rFonts w:hint="eastAsia" w:ascii="仿宋_GB2312" w:hAnsi="仿宋_GB2312" w:eastAsia="仿宋_GB2312" w:cs="仿宋_GB2312"/>
          <w:b w:val="0"/>
          <w:sz w:val="32"/>
          <w:szCs w:val="32"/>
        </w:rPr>
        <w:t>财务人员专业知识培训，提高财务人员业务知识。</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3、加强财务管理，严把支出关，严格执行财务管理制度。</w:t>
      </w:r>
    </w:p>
    <w:sectPr>
      <w:pgSz w:w="11906" w:h="16838"/>
      <w:pgMar w:top="2154" w:right="1814" w:bottom="1701" w:left="1814"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大标宋简体">
    <w:altName w:val="宋体"/>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新宋体">
    <w:panose1 w:val="02010609030101010101"/>
    <w:charset w:val="86"/>
    <w:family w:val="auto"/>
    <w:pitch w:val="default"/>
    <w:sig w:usb0="00000003" w:usb1="288F0000" w:usb2="00000006" w:usb3="00000000" w:csb0="00040001" w:csb1="00000000"/>
  </w:font>
  <w:font w:name="方正小标宋简体">
    <w:panose1 w:val="03000509000000000000"/>
    <w:charset w:val="86"/>
    <w:family w:val="auto"/>
    <w:pitch w:val="default"/>
    <w:sig w:usb0="00000001" w:usb1="080E0000" w:usb2="00000000" w:usb3="00000000" w:csb0="00040000" w:csb1="00000000"/>
  </w:font>
  <w:font w:name="Batang">
    <w:panose1 w:val="02030600000101010101"/>
    <w:charset w:val="81"/>
    <w:family w:val="auto"/>
    <w:pitch w:val="default"/>
    <w:sig w:usb0="B00002AF" w:usb1="69D77CFB" w:usb2="00000030" w:usb3="00000000" w:csb0="4008009F" w:csb1="DFD70000"/>
  </w:font>
  <w:font w:name="BatangChe">
    <w:panose1 w:val="02030609000101010101"/>
    <w:charset w:val="81"/>
    <w:family w:val="auto"/>
    <w:pitch w:val="default"/>
    <w:sig w:usb0="B00002AF" w:usb1="69D77CFB" w:usb2="00000030" w:usb3="00000000" w:csb0="4008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420852"/>
    <w:multiLevelType w:val="singleLevel"/>
    <w:tmpl w:val="5D420852"/>
    <w:lvl w:ilvl="0" w:tentative="0">
      <w:start w:val="1"/>
      <w:numFmt w:val="decimal"/>
      <w:lvlText w:val="(%1)"/>
      <w:lvlJc w:val="left"/>
      <w:pPr>
        <w:tabs>
          <w:tab w:val="left" w:pos="312"/>
        </w:tabs>
      </w:pPr>
      <w:rPr>
        <w:rFonts w:cs="Times New Roman"/>
      </w:rPr>
    </w:lvl>
  </w:abstractNum>
  <w:abstractNum w:abstractNumId="1">
    <w:nsid w:val="64897CD7"/>
    <w:multiLevelType w:val="singleLevel"/>
    <w:tmpl w:val="64897CD7"/>
    <w:lvl w:ilvl="0" w:tentative="0">
      <w:start w:val="3"/>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NotTrackMoves/>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72352"/>
    <w:rsid w:val="00196142"/>
    <w:rsid w:val="00350B2A"/>
    <w:rsid w:val="00380745"/>
    <w:rsid w:val="00404668"/>
    <w:rsid w:val="00431EFA"/>
    <w:rsid w:val="0058238C"/>
    <w:rsid w:val="005C13B6"/>
    <w:rsid w:val="006B346E"/>
    <w:rsid w:val="00704F88"/>
    <w:rsid w:val="0071529A"/>
    <w:rsid w:val="008C5847"/>
    <w:rsid w:val="0094518B"/>
    <w:rsid w:val="00972352"/>
    <w:rsid w:val="009C7A21"/>
    <w:rsid w:val="00AD43D6"/>
    <w:rsid w:val="00BD3800"/>
    <w:rsid w:val="00BF51C8"/>
    <w:rsid w:val="00C234AD"/>
    <w:rsid w:val="00C70522"/>
    <w:rsid w:val="00DB6CA5"/>
    <w:rsid w:val="01104FA4"/>
    <w:rsid w:val="03F1630C"/>
    <w:rsid w:val="05003BC2"/>
    <w:rsid w:val="055D19AD"/>
    <w:rsid w:val="079B43EA"/>
    <w:rsid w:val="0C290EC3"/>
    <w:rsid w:val="0E8E0B6C"/>
    <w:rsid w:val="16D17E28"/>
    <w:rsid w:val="178250A0"/>
    <w:rsid w:val="1858413D"/>
    <w:rsid w:val="190C3BB7"/>
    <w:rsid w:val="192E63A8"/>
    <w:rsid w:val="1BFF7048"/>
    <w:rsid w:val="1F15037A"/>
    <w:rsid w:val="20A60249"/>
    <w:rsid w:val="2348535B"/>
    <w:rsid w:val="24050F3D"/>
    <w:rsid w:val="2418256F"/>
    <w:rsid w:val="25EC6A20"/>
    <w:rsid w:val="282518DC"/>
    <w:rsid w:val="291839AF"/>
    <w:rsid w:val="2BB868D6"/>
    <w:rsid w:val="2C276488"/>
    <w:rsid w:val="2CDD1580"/>
    <w:rsid w:val="2FA4153B"/>
    <w:rsid w:val="300F45A8"/>
    <w:rsid w:val="3A2F72BD"/>
    <w:rsid w:val="3E6F0BD1"/>
    <w:rsid w:val="3E9A6C4C"/>
    <w:rsid w:val="47001FEF"/>
    <w:rsid w:val="470C0167"/>
    <w:rsid w:val="47865F85"/>
    <w:rsid w:val="4A1D0930"/>
    <w:rsid w:val="4C8178B4"/>
    <w:rsid w:val="4D2D39DB"/>
    <w:rsid w:val="52654868"/>
    <w:rsid w:val="528534D9"/>
    <w:rsid w:val="54EF0711"/>
    <w:rsid w:val="54FE1DD5"/>
    <w:rsid w:val="56330B5C"/>
    <w:rsid w:val="57184563"/>
    <w:rsid w:val="575228BA"/>
    <w:rsid w:val="581308C9"/>
    <w:rsid w:val="5FA476CB"/>
    <w:rsid w:val="5FF655D8"/>
    <w:rsid w:val="619F2EEB"/>
    <w:rsid w:val="63D21895"/>
    <w:rsid w:val="64242FA7"/>
    <w:rsid w:val="66127E30"/>
    <w:rsid w:val="67DF41B2"/>
    <w:rsid w:val="68E35E73"/>
    <w:rsid w:val="76B03261"/>
    <w:rsid w:val="77FC2C44"/>
    <w:rsid w:val="784C378F"/>
    <w:rsid w:val="78924CF8"/>
    <w:rsid w:val="78FB3CAD"/>
    <w:rsid w:val="7C1F1186"/>
    <w:rsid w:val="7CD309D7"/>
    <w:rsid w:val="7E235CEC"/>
    <w:rsid w:val="7E78342C"/>
    <w:rsid w:val="7F8D60D7"/>
  </w:rsids>
  <m:mathPr>
    <m:lMargin m:val="0"/>
    <m:mathFont m:val="Cambria Math"/>
    <m:rMargin m:val="0"/>
    <m:wrapIndent m:val="1440"/>
    <m:brkBin m:val="before"/>
    <m:brkBinSub m:val="--"/>
    <m:defJc m:val="centerGroup"/>
    <m:intLim m:val="subSup"/>
    <m:naryLim m:val="undOvr"/>
    <m:smallFrac m:val="0"/>
    <m:dispDef/>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nhideWhenUsed="0" w:uiPriority="99" w:semiHidden="0" w:name="heading 4"/>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uiPriority="99" w:name="Document Map"/>
    <w:lsdException w:uiPriority="99" w:name="Plain Text"/>
    <w:lsdException w:uiPriority="99" w:name="E-mail Signature"/>
    <w:lsdException w:qFormat="1" w:unhideWhenUsed="0" w:uiPriority="99" w:semiHidden="0" w:name="Normal (Web)"/>
    <w:lsdException w:qFormat="1" w:unhideWhenUsed="0" w:uiPriority="99" w:semiHidden="0" w:name="HTML Acronym"/>
    <w:lsdException w:uiPriority="99"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uiPriority="99" w:name="HTML Keyboard"/>
    <w:lsdException w:uiPriority="99" w:name="HTML Preformatted"/>
    <w:lsdException w:uiPriority="99" w:name="HTML Sample"/>
    <w:lsdException w:uiPriority="99" w:name="HTML Typewriter"/>
    <w:lsdException w:qFormat="1" w:unhideWhenUsed="0" w:uiPriority="99" w:semiHidden="0"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4"/>
    <w:basedOn w:val="1"/>
    <w:next w:val="1"/>
    <w:link w:val="17"/>
    <w:qFormat/>
    <w:uiPriority w:val="99"/>
    <w:pPr>
      <w:keepNext/>
      <w:keepLines/>
      <w:spacing w:line="372" w:lineRule="auto"/>
      <w:outlineLvl w:val="3"/>
    </w:pPr>
    <w:rPr>
      <w:rFonts w:ascii="Arial" w:hAnsi="Arial" w:eastAsia="黑体"/>
      <w:b/>
      <w:kern w:val="0"/>
      <w:sz w:val="28"/>
      <w:szCs w:val="20"/>
    </w:rPr>
  </w:style>
  <w:style w:type="character" w:default="1" w:styleId="6">
    <w:name w:val="Default Paragraph Font"/>
    <w:unhideWhenUsed/>
    <w:qFormat/>
    <w:uiPriority w:val="1"/>
  </w:style>
  <w:style w:type="table" w:default="1" w:styleId="16">
    <w:name w:val="Normal Table"/>
    <w:unhideWhenUsed/>
    <w:qFormat/>
    <w:uiPriority w:val="99"/>
    <w:tblPr>
      <w:tblLayout w:type="fixed"/>
      <w:tblCellMar>
        <w:top w:w="0" w:type="dxa"/>
        <w:left w:w="108" w:type="dxa"/>
        <w:bottom w:w="0" w:type="dxa"/>
        <w:right w:w="108" w:type="dxa"/>
      </w:tblCellMar>
    </w:tblPr>
  </w:style>
  <w:style w:type="paragraph" w:styleId="3">
    <w:name w:val="footer"/>
    <w:basedOn w:val="1"/>
    <w:link w:val="23"/>
    <w:unhideWhenUsed/>
    <w:qFormat/>
    <w:uiPriority w:val="99"/>
    <w:pPr>
      <w:tabs>
        <w:tab w:val="center" w:pos="4153"/>
        <w:tab w:val="right" w:pos="8306"/>
      </w:tabs>
      <w:snapToGrid w:val="0"/>
      <w:jc w:val="left"/>
    </w:pPr>
    <w:rPr>
      <w:sz w:val="18"/>
      <w:szCs w:val="18"/>
    </w:rPr>
  </w:style>
  <w:style w:type="paragraph" w:styleId="4">
    <w:name w:val="header"/>
    <w:basedOn w:val="1"/>
    <w:link w:val="22"/>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jc w:val="left"/>
    </w:pPr>
    <w:rPr>
      <w:rFonts w:ascii="Arial" w:hAnsi="Arial"/>
      <w:color w:val="333333"/>
      <w:kern w:val="0"/>
      <w:sz w:val="18"/>
      <w:szCs w:val="18"/>
    </w:rPr>
  </w:style>
  <w:style w:type="character" w:styleId="7">
    <w:name w:val="Strong"/>
    <w:basedOn w:val="6"/>
    <w:qFormat/>
    <w:uiPriority w:val="99"/>
    <w:rPr>
      <w:rFonts w:cs="Times New Roman"/>
      <w:b/>
    </w:rPr>
  </w:style>
  <w:style w:type="character" w:styleId="8">
    <w:name w:val="FollowedHyperlink"/>
    <w:basedOn w:val="6"/>
    <w:qFormat/>
    <w:uiPriority w:val="99"/>
    <w:rPr>
      <w:rFonts w:cs="Times New Roman"/>
      <w:color w:val="800080"/>
      <w:u w:val="none"/>
    </w:rPr>
  </w:style>
  <w:style w:type="character" w:styleId="9">
    <w:name w:val="Emphasis"/>
    <w:basedOn w:val="6"/>
    <w:qFormat/>
    <w:uiPriority w:val="99"/>
    <w:rPr>
      <w:rFonts w:cs="Times New Roman"/>
    </w:rPr>
  </w:style>
  <w:style w:type="character" w:styleId="10">
    <w:name w:val="HTML Definition"/>
    <w:basedOn w:val="6"/>
    <w:qFormat/>
    <w:uiPriority w:val="99"/>
    <w:rPr>
      <w:rFonts w:cs="Times New Roman"/>
    </w:rPr>
  </w:style>
  <w:style w:type="character" w:styleId="11">
    <w:name w:val="HTML Acronym"/>
    <w:basedOn w:val="6"/>
    <w:qFormat/>
    <w:uiPriority w:val="99"/>
    <w:rPr>
      <w:rFonts w:cs="Times New Roman"/>
    </w:rPr>
  </w:style>
  <w:style w:type="character" w:styleId="12">
    <w:name w:val="HTML Variable"/>
    <w:basedOn w:val="6"/>
    <w:qFormat/>
    <w:uiPriority w:val="99"/>
    <w:rPr>
      <w:rFonts w:cs="Times New Roman"/>
    </w:rPr>
  </w:style>
  <w:style w:type="character" w:styleId="13">
    <w:name w:val="Hyperlink"/>
    <w:basedOn w:val="6"/>
    <w:qFormat/>
    <w:uiPriority w:val="99"/>
    <w:rPr>
      <w:rFonts w:cs="Times New Roman"/>
      <w:color w:val="0000FF"/>
      <w:u w:val="none"/>
    </w:rPr>
  </w:style>
  <w:style w:type="character" w:styleId="14">
    <w:name w:val="HTML Code"/>
    <w:basedOn w:val="6"/>
    <w:qFormat/>
    <w:uiPriority w:val="99"/>
    <w:rPr>
      <w:rFonts w:ascii="Arial" w:hAnsi="Arial" w:cs="Arial"/>
      <w:color w:val="333333"/>
      <w:sz w:val="18"/>
      <w:szCs w:val="18"/>
    </w:rPr>
  </w:style>
  <w:style w:type="character" w:styleId="15">
    <w:name w:val="HTML Cite"/>
    <w:basedOn w:val="6"/>
    <w:qFormat/>
    <w:uiPriority w:val="99"/>
    <w:rPr>
      <w:rFonts w:cs="Times New Roman"/>
    </w:rPr>
  </w:style>
  <w:style w:type="character" w:customStyle="1" w:styleId="17">
    <w:name w:val="标题 4 Char"/>
    <w:basedOn w:val="6"/>
    <w:link w:val="2"/>
    <w:qFormat/>
    <w:locked/>
    <w:uiPriority w:val="99"/>
    <w:rPr>
      <w:rFonts w:ascii="Arial" w:hAnsi="Arial" w:eastAsia="黑体"/>
      <w:b/>
      <w:sz w:val="28"/>
    </w:rPr>
  </w:style>
  <w:style w:type="character" w:customStyle="1" w:styleId="18">
    <w:name w:val="span-hover12"/>
    <w:basedOn w:val="6"/>
    <w:qFormat/>
    <w:uiPriority w:val="99"/>
    <w:rPr>
      <w:rFonts w:cs="Times New Roman"/>
    </w:rPr>
  </w:style>
  <w:style w:type="character" w:customStyle="1" w:styleId="19">
    <w:name w:val="span-bg"/>
    <w:basedOn w:val="6"/>
    <w:qFormat/>
    <w:uiPriority w:val="99"/>
    <w:rPr>
      <w:rFonts w:cs="Times New Roman"/>
    </w:rPr>
  </w:style>
  <w:style w:type="character" w:customStyle="1" w:styleId="20">
    <w:name w:val="span-hover"/>
    <w:basedOn w:val="6"/>
    <w:qFormat/>
    <w:uiPriority w:val="99"/>
    <w:rPr>
      <w:rFonts w:cs="Times New Roman"/>
    </w:rPr>
  </w:style>
  <w:style w:type="character" w:customStyle="1" w:styleId="21">
    <w:name w:val="span-bg12"/>
    <w:basedOn w:val="6"/>
    <w:qFormat/>
    <w:uiPriority w:val="99"/>
    <w:rPr>
      <w:rFonts w:cs="Times New Roman"/>
    </w:rPr>
  </w:style>
  <w:style w:type="character" w:customStyle="1" w:styleId="22">
    <w:name w:val="页眉 Char"/>
    <w:basedOn w:val="6"/>
    <w:link w:val="4"/>
    <w:semiHidden/>
    <w:qFormat/>
    <w:uiPriority w:val="99"/>
    <w:rPr>
      <w:kern w:val="2"/>
      <w:sz w:val="18"/>
      <w:szCs w:val="18"/>
    </w:rPr>
  </w:style>
  <w:style w:type="character" w:customStyle="1" w:styleId="23">
    <w:name w:val="页脚 Char"/>
    <w:basedOn w:val="6"/>
    <w:link w:val="3"/>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294</Words>
  <Characters>1678</Characters>
  <Lines>13</Lines>
  <Paragraphs>3</Paragraphs>
  <ScaleCrop>false</ScaleCrop>
  <LinksUpToDate>false</LinksUpToDate>
  <CharactersWithSpaces>1969</CharactersWithSpaces>
  <Application>WPS Office_10.1.0.6207_F1E327BC-269C-435d-A152-05C5408002CA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2021-06-28T07:19:00Z</cp:lastPrinted>
  <dcterms:modified xsi:type="dcterms:W3CDTF">2023-06-14T09:17:52Z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2052-10.1.0.6207</vt:lpwstr>
  </property>
</Properties>
</file>