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溆浦县村镇规划建设事务中心</w:t>
      </w:r>
    </w:p>
    <w:p>
      <w:pPr>
        <w:spacing w:line="640" w:lineRule="exact"/>
        <w:jc w:val="center"/>
        <w:rPr>
          <w:rFonts w:ascii="方正大标宋简体" w:hAnsi="方正大标宋简体" w:eastAsia="方正大标宋简体" w:cs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202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  <w:lang w:val="en-US" w:eastAsia="zh-CN"/>
        </w:rPr>
        <w:t>2</w:t>
      </w:r>
      <w:r>
        <w:rPr>
          <w:rFonts w:hint="eastAsia" w:ascii="方正大标宋简体" w:hAnsi="方正大标宋简体" w:eastAsia="方正大标宋简体" w:cs="方正大标宋简体"/>
          <w:sz w:val="44"/>
          <w:szCs w:val="44"/>
        </w:rPr>
        <w:t>年整体支出绩效自评报告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根据县财政局《关于开展202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年度部门整体支出绩效</w:t>
      </w:r>
    </w:p>
    <w:p>
      <w:pPr>
        <w:spacing w:line="580" w:lineRule="exact"/>
        <w:ind w:left="0" w:leftChars="0" w:firstLine="0" w:firstLineChars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评价工作的通知》精神，我单位对202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年度整体支出进行了全面的综合评价，现将有关情况汇报如下：</w:t>
      </w:r>
    </w:p>
    <w:p>
      <w:pPr>
        <w:spacing w:line="580" w:lineRule="exact"/>
        <w:ind w:firstLine="643" w:firstLineChars="200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一、部门概况</w:t>
      </w:r>
    </w:p>
    <w:p>
      <w:pPr>
        <w:spacing w:line="640" w:lineRule="exact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 xml:space="preserve"> 本单位是差额拨款事业单位，属于</w:t>
      </w:r>
      <w:r>
        <w:rPr>
          <w:rFonts w:hint="eastAsia" w:ascii="宋体" w:hAnsi="宋体" w:eastAsia="宋体" w:cs="宋体"/>
          <w:sz w:val="32"/>
          <w:szCs w:val="32"/>
        </w:rPr>
        <w:t>自然资源局二级机</w:t>
      </w:r>
      <w:r>
        <w:rPr>
          <w:rFonts w:hint="eastAsia" w:ascii="宋体" w:hAnsi="宋体" w:eastAsia="宋体" w:cs="宋体"/>
          <w:kern w:val="0"/>
          <w:sz w:val="32"/>
          <w:szCs w:val="32"/>
        </w:rPr>
        <w:t>构，核定编制数6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32"/>
          <w:szCs w:val="32"/>
        </w:rPr>
        <w:t>名，事业编制人数6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32"/>
          <w:szCs w:val="32"/>
        </w:rPr>
        <w:t>人。</w:t>
      </w:r>
    </w:p>
    <w:p>
      <w:pPr>
        <w:widowControl/>
        <w:shd w:val="clear" w:color="auto" w:fill="FFFFFF"/>
        <w:wordWrap w:val="0"/>
        <w:spacing w:line="580" w:lineRule="exact"/>
        <w:ind w:firstLine="640" w:firstLineChars="200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年本单位编制了整体支出绩效目标表部门整体支出</w:t>
      </w:r>
      <w:r>
        <w:rPr>
          <w:rFonts w:hint="eastAsia" w:ascii="宋体" w:hAnsi="宋体" w:eastAsia="宋体" w:cs="宋体"/>
          <w:kern w:val="0"/>
          <w:sz w:val="32"/>
          <w:szCs w:val="32"/>
        </w:rPr>
        <w:t>目标：</w:t>
      </w:r>
    </w:p>
    <w:p>
      <w:pPr>
        <w:widowControl/>
        <w:shd w:val="clear" w:color="auto" w:fill="FFFFFF"/>
        <w:wordWrap w:val="0"/>
        <w:spacing w:line="580" w:lineRule="exact"/>
        <w:ind w:firstLine="640" w:firstLineChars="200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目标1：保证人员经费及办公经费的支付。</w:t>
      </w:r>
    </w:p>
    <w:p>
      <w:pPr>
        <w:widowControl/>
        <w:shd w:val="clear" w:color="auto" w:fill="FFFFFF"/>
        <w:wordWrap w:val="0"/>
        <w:spacing w:line="580" w:lineRule="exact"/>
        <w:ind w:firstLine="640" w:firstLineChars="200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目标2：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做好</w:t>
      </w:r>
      <w:r>
        <w:rPr>
          <w:rFonts w:hint="eastAsia" w:ascii="宋体" w:hAnsi="宋体" w:eastAsia="宋体" w:cs="宋体"/>
          <w:kern w:val="0"/>
          <w:sz w:val="32"/>
          <w:szCs w:val="32"/>
        </w:rPr>
        <w:t>县城及镇规划区、乡集镇规划区以外的农村住房建设的规划、农用地转用管理及服务工作;</w:t>
      </w:r>
    </w:p>
    <w:p>
      <w:pPr>
        <w:widowControl/>
        <w:shd w:val="clear" w:color="auto" w:fill="FFFFFF"/>
        <w:wordWrap w:val="0"/>
        <w:spacing w:line="580" w:lineRule="exact"/>
        <w:ind w:firstLine="640" w:firstLineChars="200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目标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做好</w:t>
      </w:r>
      <w:r>
        <w:rPr>
          <w:rFonts w:hint="eastAsia" w:ascii="宋体" w:hAnsi="宋体" w:eastAsia="宋体" w:cs="宋体"/>
          <w:kern w:val="0"/>
          <w:sz w:val="32"/>
          <w:szCs w:val="32"/>
        </w:rPr>
        <w:t>县自然资源局乡村振兴相关工作;</w:t>
      </w:r>
    </w:p>
    <w:p>
      <w:pPr>
        <w:widowControl/>
        <w:shd w:val="clear" w:color="auto" w:fill="FFFFFF"/>
        <w:wordWrap w:val="0"/>
        <w:spacing w:line="580" w:lineRule="exact"/>
        <w:ind w:firstLine="640" w:firstLineChars="200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目标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/>
        </w:rPr>
        <w:t>：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32"/>
          <w:szCs w:val="32"/>
        </w:rPr>
        <w:t>协助国土空间规划股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做好</w:t>
      </w:r>
      <w:r>
        <w:rPr>
          <w:rFonts w:hint="eastAsia" w:ascii="宋体" w:hAnsi="宋体" w:eastAsia="宋体" w:cs="宋体"/>
          <w:kern w:val="0"/>
          <w:sz w:val="32"/>
          <w:szCs w:val="32"/>
        </w:rPr>
        <w:t xml:space="preserve">编制村庄规划工作;    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32"/>
          <w:szCs w:val="32"/>
        </w:rPr>
        <w:t>目标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32"/>
          <w:szCs w:val="32"/>
        </w:rPr>
        <w:t>：完成县委县政府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及</w:t>
      </w:r>
      <w:r>
        <w:rPr>
          <w:rFonts w:hint="eastAsia" w:ascii="宋体" w:hAnsi="宋体" w:eastAsia="宋体" w:cs="宋体"/>
          <w:kern w:val="0"/>
          <w:sz w:val="32"/>
          <w:szCs w:val="32"/>
        </w:rPr>
        <w:t xml:space="preserve">局党组交办的其他工作。   </w:t>
      </w:r>
      <w:r>
        <w:rPr>
          <w:rFonts w:hint="eastAsia" w:ascii="宋体" w:hAnsi="宋体" w:cs="宋体"/>
          <w:kern w:val="0"/>
          <w:sz w:val="32"/>
          <w:szCs w:val="32"/>
          <w:lang w:val="en-US" w:eastAsia="zh-CN"/>
        </w:rPr>
        <w:t xml:space="preserve">   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32"/>
          <w:szCs w:val="32"/>
        </w:rPr>
        <w:t xml:space="preserve"> </w:t>
      </w:r>
      <w:r>
        <w:rPr>
          <w:rFonts w:hint="eastAsia" w:ascii="宋体" w:hAnsi="宋体" w:eastAsia="宋体" w:cs="宋体"/>
          <w:b/>
          <w:sz w:val="32"/>
          <w:szCs w:val="32"/>
        </w:rPr>
        <w:t>二、部门整体支出管理及使用情况</w:t>
      </w:r>
    </w:p>
    <w:p>
      <w:pPr>
        <w:spacing w:line="580" w:lineRule="exact"/>
        <w:ind w:firstLine="640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Cs/>
          <w:kern w:val="0"/>
          <w:sz w:val="32"/>
          <w:szCs w:val="32"/>
        </w:rPr>
        <w:t>本单位全年支出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>882.57</w:t>
      </w:r>
      <w:r>
        <w:rPr>
          <w:rFonts w:hint="eastAsia" w:ascii="宋体" w:hAnsi="宋体" w:eastAsia="宋体" w:cs="宋体"/>
          <w:bCs/>
          <w:kern w:val="0"/>
          <w:sz w:val="32"/>
          <w:szCs w:val="32"/>
        </w:rPr>
        <w:t>万元。</w:t>
      </w:r>
      <w:r>
        <w:rPr>
          <w:rFonts w:hint="eastAsia" w:ascii="宋体" w:hAnsi="宋体" w:eastAsia="宋体" w:cs="宋体"/>
          <w:kern w:val="0"/>
          <w:sz w:val="32"/>
          <w:szCs w:val="32"/>
        </w:rPr>
        <w:t>公共财政拨款支出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 xml:space="preserve">       688.47</w:t>
      </w:r>
      <w:r>
        <w:rPr>
          <w:rFonts w:hint="eastAsia" w:ascii="宋体" w:hAnsi="宋体" w:eastAsia="宋体" w:cs="宋体"/>
          <w:kern w:val="0"/>
          <w:sz w:val="32"/>
          <w:szCs w:val="32"/>
        </w:rPr>
        <w:t>万元，占全年支出的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>78</w:t>
      </w:r>
      <w:r>
        <w:rPr>
          <w:rFonts w:hint="eastAsia" w:ascii="宋体" w:hAnsi="宋体" w:eastAsia="宋体" w:cs="宋体"/>
          <w:kern w:val="0"/>
          <w:sz w:val="32"/>
          <w:szCs w:val="32"/>
        </w:rPr>
        <w:t>%，其他拨款支出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>194.11</w:t>
      </w:r>
      <w:r>
        <w:rPr>
          <w:rFonts w:hint="eastAsia" w:ascii="宋体" w:hAnsi="宋体" w:eastAsia="宋体" w:cs="宋体"/>
          <w:kern w:val="0"/>
          <w:sz w:val="32"/>
          <w:szCs w:val="32"/>
        </w:rPr>
        <w:t>万元，占全年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>22</w:t>
      </w:r>
      <w:r>
        <w:rPr>
          <w:rFonts w:hint="eastAsia" w:ascii="宋体" w:hAnsi="宋体" w:eastAsia="宋体" w:cs="宋体"/>
          <w:kern w:val="0"/>
          <w:sz w:val="32"/>
          <w:szCs w:val="32"/>
        </w:rPr>
        <w:t>%。</w:t>
      </w:r>
    </w:p>
    <w:p>
      <w:pPr>
        <w:widowControl/>
        <w:tabs>
          <w:tab w:val="left" w:pos="312"/>
        </w:tabs>
        <w:spacing w:line="580" w:lineRule="exact"/>
        <w:ind w:firstLine="640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按支出经济分类：基本支出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>843.02</w:t>
      </w:r>
      <w:r>
        <w:rPr>
          <w:rFonts w:hint="eastAsia" w:ascii="宋体" w:hAnsi="宋体" w:eastAsia="宋体" w:cs="宋体"/>
          <w:kern w:val="0"/>
          <w:sz w:val="32"/>
          <w:szCs w:val="32"/>
        </w:rPr>
        <w:t>万元，占比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>100</w:t>
      </w:r>
      <w:r>
        <w:rPr>
          <w:rFonts w:hint="eastAsia" w:ascii="宋体" w:hAnsi="宋体" w:eastAsia="宋体" w:cs="宋体"/>
          <w:kern w:val="0"/>
          <w:sz w:val="32"/>
          <w:szCs w:val="32"/>
        </w:rPr>
        <w:t>%。①工资福利支出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>751.39</w:t>
      </w:r>
      <w:r>
        <w:rPr>
          <w:rFonts w:hint="eastAsia" w:ascii="宋体" w:hAnsi="宋体" w:eastAsia="宋体" w:cs="宋体"/>
          <w:kern w:val="0"/>
          <w:sz w:val="32"/>
          <w:szCs w:val="32"/>
        </w:rPr>
        <w:t>万元，占比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>89.13</w:t>
      </w:r>
      <w:r>
        <w:rPr>
          <w:rFonts w:hint="eastAsia" w:ascii="宋体" w:hAnsi="宋体" w:eastAsia="宋体" w:cs="宋体"/>
          <w:kern w:val="0"/>
          <w:sz w:val="32"/>
          <w:szCs w:val="32"/>
        </w:rPr>
        <w:t>%，比上年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增多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 xml:space="preserve">       64.70</w:t>
      </w:r>
      <w:r>
        <w:rPr>
          <w:rFonts w:hint="eastAsia" w:ascii="宋体" w:hAnsi="宋体" w:eastAsia="宋体" w:cs="宋体"/>
          <w:kern w:val="0"/>
          <w:sz w:val="32"/>
          <w:szCs w:val="32"/>
        </w:rPr>
        <w:t>万元，主要是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工作</w:t>
      </w:r>
      <w:r>
        <w:rPr>
          <w:rFonts w:hint="eastAsia" w:ascii="宋体" w:hAnsi="宋体" w:eastAsia="宋体" w:cs="宋体"/>
          <w:kern w:val="0"/>
          <w:sz w:val="32"/>
          <w:szCs w:val="32"/>
        </w:rPr>
        <w:t>人员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工资增加</w:t>
      </w:r>
      <w:r>
        <w:rPr>
          <w:rFonts w:hint="eastAsia" w:ascii="宋体" w:hAnsi="宋体" w:eastAsia="宋体" w:cs="宋体"/>
          <w:kern w:val="0"/>
          <w:sz w:val="32"/>
          <w:szCs w:val="32"/>
        </w:rPr>
        <w:t>。②商品服务支出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>77.46</w:t>
      </w:r>
      <w:r>
        <w:rPr>
          <w:rFonts w:hint="eastAsia" w:ascii="宋体" w:hAnsi="宋体" w:eastAsia="宋体" w:cs="宋体"/>
          <w:kern w:val="0"/>
          <w:sz w:val="32"/>
          <w:szCs w:val="32"/>
        </w:rPr>
        <w:t>万元，占比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 xml:space="preserve">9.19 </w:t>
      </w:r>
      <w:r>
        <w:rPr>
          <w:rFonts w:hint="eastAsia" w:ascii="宋体" w:hAnsi="宋体" w:eastAsia="宋体" w:cs="宋体"/>
          <w:kern w:val="0"/>
          <w:sz w:val="32"/>
          <w:szCs w:val="32"/>
        </w:rPr>
        <w:t>%，比上年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减少</w:t>
      </w:r>
      <w:r>
        <w:rPr>
          <w:rFonts w:hint="eastAsia" w:ascii="宋体" w:hAnsi="宋体" w:eastAsia="宋体" w:cs="宋体"/>
          <w:bCs/>
          <w:kern w:val="0"/>
          <w:sz w:val="32"/>
          <w:szCs w:val="32"/>
          <w:u w:val="none"/>
          <w:lang w:val="en-US" w:eastAsia="zh-CN"/>
        </w:rPr>
        <w:t>29.95</w:t>
      </w:r>
      <w:r>
        <w:rPr>
          <w:rFonts w:hint="eastAsia" w:ascii="宋体" w:hAnsi="宋体" w:eastAsia="宋体" w:cs="宋体"/>
          <w:kern w:val="0"/>
          <w:sz w:val="32"/>
          <w:szCs w:val="32"/>
        </w:rPr>
        <w:t>万元，主要是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公用经费减少</w:t>
      </w:r>
      <w:r>
        <w:rPr>
          <w:rFonts w:hint="eastAsia" w:ascii="宋体" w:hAnsi="宋体" w:eastAsia="宋体" w:cs="宋体"/>
          <w:kern w:val="0"/>
          <w:sz w:val="32"/>
          <w:szCs w:val="32"/>
        </w:rPr>
        <w:t>。③对个人和家庭补助支出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12.99</w:t>
      </w:r>
      <w:r>
        <w:rPr>
          <w:rFonts w:hint="eastAsia" w:ascii="宋体" w:hAnsi="宋体" w:eastAsia="宋体" w:cs="宋体"/>
          <w:kern w:val="0"/>
          <w:sz w:val="32"/>
          <w:szCs w:val="32"/>
        </w:rPr>
        <w:t>万元，占比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 xml:space="preserve">1.54 </w:t>
      </w:r>
      <w:r>
        <w:rPr>
          <w:rFonts w:hint="eastAsia" w:ascii="宋体" w:hAnsi="宋体" w:eastAsia="宋体" w:cs="宋体"/>
          <w:kern w:val="0"/>
          <w:sz w:val="32"/>
          <w:szCs w:val="32"/>
        </w:rPr>
        <w:t>%，比上年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减少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>14.63</w:t>
      </w:r>
      <w:r>
        <w:rPr>
          <w:rFonts w:hint="eastAsia" w:ascii="宋体" w:hAnsi="宋体" w:eastAsia="宋体" w:cs="宋体"/>
          <w:kern w:val="0"/>
          <w:sz w:val="32"/>
          <w:szCs w:val="32"/>
        </w:rPr>
        <w:t>万元，主要是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工作人员福利待遇减少</w:t>
      </w:r>
      <w:r>
        <w:rPr>
          <w:rFonts w:hint="eastAsia" w:ascii="宋体" w:hAnsi="宋体" w:eastAsia="宋体" w:cs="宋体"/>
          <w:kern w:val="0"/>
          <w:sz w:val="32"/>
          <w:szCs w:val="32"/>
        </w:rPr>
        <w:t>。其他支出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1.18</w:t>
      </w:r>
      <w:r>
        <w:rPr>
          <w:rFonts w:hint="eastAsia" w:ascii="宋体" w:hAnsi="宋体" w:eastAsia="宋体" w:cs="宋体"/>
          <w:kern w:val="0"/>
          <w:sz w:val="32"/>
          <w:szCs w:val="32"/>
        </w:rPr>
        <w:t>万元，占比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0.14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kern w:val="0"/>
          <w:sz w:val="32"/>
          <w:szCs w:val="32"/>
        </w:rPr>
        <w:t>%，比上年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增多</w:t>
      </w:r>
      <w:r>
        <w:rPr>
          <w:rFonts w:hint="eastAsia" w:ascii="宋体" w:hAnsi="宋体" w:eastAsia="宋体" w:cs="宋体"/>
          <w:bCs/>
          <w:kern w:val="0"/>
          <w:sz w:val="32"/>
          <w:szCs w:val="32"/>
          <w:lang w:val="en-US" w:eastAsia="zh-CN"/>
        </w:rPr>
        <w:t>1.03</w:t>
      </w:r>
      <w:r>
        <w:rPr>
          <w:rFonts w:hint="eastAsia" w:ascii="宋体" w:hAnsi="宋体" w:eastAsia="宋体" w:cs="宋体"/>
          <w:kern w:val="0"/>
          <w:sz w:val="32"/>
          <w:szCs w:val="32"/>
        </w:rPr>
        <w:t>万元，主要是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固定资产</w:t>
      </w:r>
      <w:r>
        <w:rPr>
          <w:rFonts w:hint="eastAsia" w:ascii="宋体" w:hAnsi="宋体" w:eastAsia="宋体" w:cs="宋体"/>
          <w:kern w:val="0"/>
          <w:sz w:val="32"/>
          <w:szCs w:val="32"/>
        </w:rPr>
        <w:t>增加。</w:t>
      </w:r>
    </w:p>
    <w:p>
      <w:pPr>
        <w:widowControl/>
        <w:spacing w:line="580" w:lineRule="exact"/>
        <w:ind w:left="64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三、资产管理情况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固定资产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58.26</w:t>
      </w:r>
      <w:r>
        <w:rPr>
          <w:rFonts w:hint="eastAsia" w:ascii="宋体" w:hAnsi="宋体" w:eastAsia="宋体" w:cs="宋体"/>
          <w:sz w:val="32"/>
          <w:szCs w:val="32"/>
        </w:rPr>
        <w:t>万元，已全部清理登记在册，安排专人管理，确保国有资产的不流失和使用效益，损坏、丢失、报废按制度处置。单位固定资产包括房屋21万元，通用设备21.0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7</w:t>
      </w:r>
      <w:r>
        <w:rPr>
          <w:rFonts w:hint="eastAsia" w:ascii="宋体" w:hAnsi="宋体" w:eastAsia="宋体" w:cs="宋体"/>
          <w:sz w:val="32"/>
          <w:szCs w:val="32"/>
        </w:rPr>
        <w:t>万元，专用设备12.44万元，家具及用具3.12万元，本部门固定资产全部由本单位统一管理。</w:t>
      </w:r>
    </w:p>
    <w:p>
      <w:pPr>
        <w:overflowPunct w:val="0"/>
        <w:spacing w:line="580" w:lineRule="exact"/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四、部门整体支出绩效情况分析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202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32"/>
          <w:szCs w:val="32"/>
        </w:rPr>
        <w:t>年，根据年初工作要点和重点性工作，积极履职，强化收支管理，建立健全内部管理制度，理顺内部管理流程，部门整体支出管理情况得到了提升，较好地完成了年度工作目标。</w:t>
      </w:r>
    </w:p>
    <w:p>
      <w:pPr>
        <w:overflowPunct w:val="0"/>
        <w:spacing w:line="580" w:lineRule="exact"/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1、社会效益。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eastAsia="宋体" w:cs="宋体"/>
          <w:kern w:val="0"/>
          <w:sz w:val="32"/>
          <w:szCs w:val="32"/>
        </w:rPr>
      </w:pPr>
      <w:r>
        <w:rPr>
          <w:rFonts w:hint="eastAsia" w:ascii="宋体" w:hAnsi="宋体" w:eastAsia="宋体" w:cs="宋体"/>
          <w:kern w:val="0"/>
          <w:sz w:val="32"/>
          <w:szCs w:val="32"/>
        </w:rPr>
        <w:t>保障县城及镇规划区、乡集镇规划区以外的农村住房建设的规划、农用地转用管理及服务工作</w:t>
      </w:r>
      <w:r>
        <w:rPr>
          <w:rFonts w:hint="eastAsia" w:ascii="宋体" w:hAnsi="宋体" w:eastAsia="宋体" w:cs="宋体"/>
          <w:kern w:val="0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32"/>
          <w:szCs w:val="32"/>
        </w:rPr>
        <w:t>技术指导等工作，保证村镇</w:t>
      </w:r>
      <w:r>
        <w:rPr>
          <w:rFonts w:hint="eastAsia" w:ascii="宋体" w:hAnsi="宋体" w:eastAsia="宋体" w:cs="宋体"/>
          <w:kern w:val="0"/>
          <w:sz w:val="32"/>
          <w:szCs w:val="32"/>
          <w:lang w:val="en-US" w:eastAsia="zh-CN"/>
        </w:rPr>
        <w:t>规划建设事务中心</w:t>
      </w:r>
      <w:r>
        <w:rPr>
          <w:rFonts w:hint="eastAsia" w:ascii="宋体" w:hAnsi="宋体" w:eastAsia="宋体" w:cs="宋体"/>
          <w:kern w:val="0"/>
          <w:sz w:val="32"/>
          <w:szCs w:val="32"/>
        </w:rPr>
        <w:t xml:space="preserve">正常工作运转。 </w:t>
      </w:r>
    </w:p>
    <w:p>
      <w:pPr>
        <w:overflowPunct w:val="0"/>
        <w:spacing w:line="580" w:lineRule="exact"/>
        <w:ind w:firstLine="643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2、行政效能。</w:t>
      </w: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2</w:t>
      </w:r>
      <w:r>
        <w:rPr>
          <w:rFonts w:hint="eastAsia" w:ascii="宋体" w:hAnsi="宋体" w:eastAsia="宋体" w:cs="宋体"/>
          <w:sz w:val="32"/>
          <w:szCs w:val="32"/>
        </w:rPr>
        <w:t>年工作中进一步强化工作措施，克服种种困难，为村镇经济建设作出贡献。</w:t>
      </w:r>
    </w:p>
    <w:p>
      <w:pPr>
        <w:overflowPunct w:val="0"/>
        <w:spacing w:line="580" w:lineRule="exact"/>
        <w:ind w:firstLine="643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3、社会公众或服务对象满意度。</w:t>
      </w:r>
      <w:r>
        <w:rPr>
          <w:rFonts w:hint="eastAsia" w:ascii="宋体" w:hAnsi="宋体" w:eastAsia="宋体" w:cs="宋体"/>
          <w:sz w:val="32"/>
          <w:szCs w:val="32"/>
        </w:rPr>
        <w:t>经向本单位服务对象的了解均对本单位的服务表示满意，满意度为96%。</w:t>
      </w:r>
    </w:p>
    <w:p>
      <w:pPr>
        <w:overflowPunct w:val="0"/>
        <w:spacing w:line="580" w:lineRule="exact"/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五、存在主要问题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1、预算不够精确，预算执行还存在偏差。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2、财务管制制度还须进一步加强。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3、财务人员专业知识需进一步提高。</w:t>
      </w:r>
    </w:p>
    <w:p>
      <w:pPr>
        <w:overflowPunct w:val="0"/>
        <w:spacing w:line="580" w:lineRule="exact"/>
        <w:ind w:firstLine="643" w:firstLineChars="200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六、改进措施和相关建议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1、要加强财务管理，严把支出关，严格执行财务管理制度，规范各项支出审核，严防超支，促进财务管理的法制化、科学化、合理化运行。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2、要加强预算管理，强化预算监督。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3、强化财务专业知识学习，提升专业素养。</w:t>
      </w:r>
    </w:p>
    <w:p>
      <w:pPr>
        <w:overflowPunct w:val="0"/>
        <w:spacing w:line="580" w:lineRule="exact"/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overflowPunct w:val="0"/>
        <w:spacing w:line="580" w:lineRule="exact"/>
        <w:ind w:left="0" w:leftChars="0" w:firstLine="4000" w:firstLineChars="1250"/>
        <w:jc w:val="center"/>
        <w:rPr>
          <w:rFonts w:hint="default" w:ascii="楷体_GB2312" w:hAnsi="华文仿宋" w:eastAsia="楷体_GB2312" w:cs="仿宋_GB2312"/>
          <w:sz w:val="32"/>
          <w:szCs w:val="32"/>
          <w:lang w:val="en-US" w:eastAsia="zh-CN"/>
        </w:rPr>
      </w:pPr>
    </w:p>
    <w:sectPr>
      <w:pgSz w:w="11906" w:h="16838"/>
      <w:pgMar w:top="2154" w:right="1814" w:bottom="1701" w:left="1814" w:header="851" w:footer="1191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MTJmYzUzYTc5MmNjNjIzMDI1ODE2Mzc2Yzc0NzgifQ=="/>
  </w:docVars>
  <w:rsids>
    <w:rsidRoot w:val="009438BC"/>
    <w:rsid w:val="000016CB"/>
    <w:rsid w:val="00006F0A"/>
    <w:rsid w:val="000153A5"/>
    <w:rsid w:val="000322AC"/>
    <w:rsid w:val="00034DA5"/>
    <w:rsid w:val="000416F9"/>
    <w:rsid w:val="00044F40"/>
    <w:rsid w:val="000553BB"/>
    <w:rsid w:val="000C4B4B"/>
    <w:rsid w:val="000E65B3"/>
    <w:rsid w:val="000E7985"/>
    <w:rsid w:val="000F1314"/>
    <w:rsid w:val="001238B0"/>
    <w:rsid w:val="00137BF5"/>
    <w:rsid w:val="001430FE"/>
    <w:rsid w:val="00157F80"/>
    <w:rsid w:val="00180CA6"/>
    <w:rsid w:val="001A4682"/>
    <w:rsid w:val="001A518C"/>
    <w:rsid w:val="001C6774"/>
    <w:rsid w:val="001C6D88"/>
    <w:rsid w:val="00216328"/>
    <w:rsid w:val="00235947"/>
    <w:rsid w:val="00257F9D"/>
    <w:rsid w:val="00275271"/>
    <w:rsid w:val="002902D8"/>
    <w:rsid w:val="002A3A25"/>
    <w:rsid w:val="002F028D"/>
    <w:rsid w:val="003107A2"/>
    <w:rsid w:val="003146A1"/>
    <w:rsid w:val="00325B32"/>
    <w:rsid w:val="00331E1A"/>
    <w:rsid w:val="003746E7"/>
    <w:rsid w:val="003C45B4"/>
    <w:rsid w:val="003C650F"/>
    <w:rsid w:val="003F256F"/>
    <w:rsid w:val="003F3832"/>
    <w:rsid w:val="003F6740"/>
    <w:rsid w:val="004108EB"/>
    <w:rsid w:val="0046751D"/>
    <w:rsid w:val="00497DEC"/>
    <w:rsid w:val="004A06F7"/>
    <w:rsid w:val="004A4D55"/>
    <w:rsid w:val="004A5C7A"/>
    <w:rsid w:val="004C40EB"/>
    <w:rsid w:val="004D281C"/>
    <w:rsid w:val="004F495E"/>
    <w:rsid w:val="004F4D43"/>
    <w:rsid w:val="00517785"/>
    <w:rsid w:val="00543B79"/>
    <w:rsid w:val="005913C2"/>
    <w:rsid w:val="005C4313"/>
    <w:rsid w:val="005C56C8"/>
    <w:rsid w:val="005D072A"/>
    <w:rsid w:val="005E3683"/>
    <w:rsid w:val="005F01E3"/>
    <w:rsid w:val="00604D0C"/>
    <w:rsid w:val="00610948"/>
    <w:rsid w:val="0061727A"/>
    <w:rsid w:val="00622EC3"/>
    <w:rsid w:val="006470E7"/>
    <w:rsid w:val="006527B6"/>
    <w:rsid w:val="00677A45"/>
    <w:rsid w:val="0068408F"/>
    <w:rsid w:val="006D1000"/>
    <w:rsid w:val="006F79FC"/>
    <w:rsid w:val="0071684C"/>
    <w:rsid w:val="00726848"/>
    <w:rsid w:val="0073239E"/>
    <w:rsid w:val="007329EF"/>
    <w:rsid w:val="00736955"/>
    <w:rsid w:val="00736EA6"/>
    <w:rsid w:val="007635FA"/>
    <w:rsid w:val="00792107"/>
    <w:rsid w:val="00795871"/>
    <w:rsid w:val="007C019E"/>
    <w:rsid w:val="007D02A2"/>
    <w:rsid w:val="007D1BD7"/>
    <w:rsid w:val="007D3E81"/>
    <w:rsid w:val="007F1E0B"/>
    <w:rsid w:val="007F41B0"/>
    <w:rsid w:val="007F7262"/>
    <w:rsid w:val="00802CAF"/>
    <w:rsid w:val="008149CF"/>
    <w:rsid w:val="00820B4C"/>
    <w:rsid w:val="0086154E"/>
    <w:rsid w:val="00873171"/>
    <w:rsid w:val="0087661D"/>
    <w:rsid w:val="008A38C4"/>
    <w:rsid w:val="008B641C"/>
    <w:rsid w:val="008B7014"/>
    <w:rsid w:val="008C053D"/>
    <w:rsid w:val="008D0C0A"/>
    <w:rsid w:val="008F2935"/>
    <w:rsid w:val="00901F4A"/>
    <w:rsid w:val="00905E34"/>
    <w:rsid w:val="00906A4F"/>
    <w:rsid w:val="00917E00"/>
    <w:rsid w:val="009438BC"/>
    <w:rsid w:val="00951281"/>
    <w:rsid w:val="00956D55"/>
    <w:rsid w:val="00960D5D"/>
    <w:rsid w:val="009717FE"/>
    <w:rsid w:val="009A2723"/>
    <w:rsid w:val="009A41C1"/>
    <w:rsid w:val="009C58CC"/>
    <w:rsid w:val="009E5030"/>
    <w:rsid w:val="00AC0F0E"/>
    <w:rsid w:val="00AC5E64"/>
    <w:rsid w:val="00AF5611"/>
    <w:rsid w:val="00B0267D"/>
    <w:rsid w:val="00B36D65"/>
    <w:rsid w:val="00BA16E6"/>
    <w:rsid w:val="00BA3501"/>
    <w:rsid w:val="00BB1EF9"/>
    <w:rsid w:val="00BB7094"/>
    <w:rsid w:val="00BE5089"/>
    <w:rsid w:val="00BF4EA2"/>
    <w:rsid w:val="00BF6B0A"/>
    <w:rsid w:val="00C129C9"/>
    <w:rsid w:val="00C25CE7"/>
    <w:rsid w:val="00CA4D98"/>
    <w:rsid w:val="00CC4743"/>
    <w:rsid w:val="00CE1E41"/>
    <w:rsid w:val="00D60E06"/>
    <w:rsid w:val="00D869D2"/>
    <w:rsid w:val="00D94453"/>
    <w:rsid w:val="00DC16F6"/>
    <w:rsid w:val="00DC3A97"/>
    <w:rsid w:val="00DF5603"/>
    <w:rsid w:val="00E84235"/>
    <w:rsid w:val="00EA0C09"/>
    <w:rsid w:val="00EB4775"/>
    <w:rsid w:val="00EB65CF"/>
    <w:rsid w:val="00EC3D75"/>
    <w:rsid w:val="00EC4D76"/>
    <w:rsid w:val="00ED63EB"/>
    <w:rsid w:val="00EE6E69"/>
    <w:rsid w:val="00EF6987"/>
    <w:rsid w:val="00F03FBB"/>
    <w:rsid w:val="00F70202"/>
    <w:rsid w:val="00F95D68"/>
    <w:rsid w:val="00FA21A4"/>
    <w:rsid w:val="00FA5A5B"/>
    <w:rsid w:val="00FC0203"/>
    <w:rsid w:val="00FD5B09"/>
    <w:rsid w:val="020F3668"/>
    <w:rsid w:val="03AC460D"/>
    <w:rsid w:val="04C17855"/>
    <w:rsid w:val="089D5D22"/>
    <w:rsid w:val="0D8653C4"/>
    <w:rsid w:val="0DB61CA5"/>
    <w:rsid w:val="147C141B"/>
    <w:rsid w:val="14B75A3F"/>
    <w:rsid w:val="152D30C6"/>
    <w:rsid w:val="18BC560B"/>
    <w:rsid w:val="195A356C"/>
    <w:rsid w:val="1C634110"/>
    <w:rsid w:val="21DB225C"/>
    <w:rsid w:val="21EE0E6B"/>
    <w:rsid w:val="23485F05"/>
    <w:rsid w:val="32B35884"/>
    <w:rsid w:val="33534FF3"/>
    <w:rsid w:val="3A934FDC"/>
    <w:rsid w:val="41D63C8E"/>
    <w:rsid w:val="45331253"/>
    <w:rsid w:val="491B4637"/>
    <w:rsid w:val="492D5640"/>
    <w:rsid w:val="51AC491B"/>
    <w:rsid w:val="52A3703F"/>
    <w:rsid w:val="53022499"/>
    <w:rsid w:val="54510503"/>
    <w:rsid w:val="55540476"/>
    <w:rsid w:val="57CF2480"/>
    <w:rsid w:val="5D59596F"/>
    <w:rsid w:val="5EC2531E"/>
    <w:rsid w:val="5FF05FBE"/>
    <w:rsid w:val="611134DF"/>
    <w:rsid w:val="630B2D6E"/>
    <w:rsid w:val="63B0632D"/>
    <w:rsid w:val="654E08EC"/>
    <w:rsid w:val="66F26394"/>
    <w:rsid w:val="69946B2B"/>
    <w:rsid w:val="6FC45690"/>
    <w:rsid w:val="71C40097"/>
    <w:rsid w:val="7BE61D92"/>
    <w:rsid w:val="7DEB62C9"/>
    <w:rsid w:val="7FBA52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2"/>
    <w:qFormat/>
    <w:locked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10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locked/>
    <w:uiPriority w:val="22"/>
    <w:rPr>
      <w:b/>
      <w:bCs/>
    </w:rPr>
  </w:style>
  <w:style w:type="character" w:customStyle="1" w:styleId="9">
    <w:name w:val="页眉 Char"/>
    <w:basedOn w:val="7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0">
    <w:name w:val="页脚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日期 Char"/>
    <w:basedOn w:val="7"/>
    <w:link w:val="3"/>
    <w:semiHidden/>
    <w:qFormat/>
    <w:uiPriority w:val="99"/>
    <w:rPr>
      <w:kern w:val="2"/>
      <w:sz w:val="21"/>
      <w:szCs w:val="22"/>
    </w:rPr>
  </w:style>
  <w:style w:type="character" w:customStyle="1" w:styleId="12">
    <w:name w:val="标题 1 Char"/>
    <w:basedOn w:val="7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  <w:rPr>
      <w:rFonts w:cs="Calibri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1071</Words>
  <Characters>1181</Characters>
  <Lines>8</Lines>
  <Paragraphs>2</Paragraphs>
  <TotalTime>9</TotalTime>
  <ScaleCrop>false</ScaleCrop>
  <LinksUpToDate>false</LinksUpToDate>
  <CharactersWithSpaces>1210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2017-12-07T03:38:00Z</dcterms:created>
  <dc:creator>Microsoft</dc:creator>
  <cp:lastModifiedBy>Administrator</cp:lastModifiedBy>
  <cp:lastPrinted>2021-04-26T03:21:00Z</cp:lastPrinted>
  <dcterms:modified xsi:type="dcterms:W3CDTF">2023-08-02T08:06:01Z</dcterms:modified>
  <dc:title>XX单位2018年部门预算编制说明</dc:title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754907EA07934817A9677A93B621CAE3</vt:lpwstr>
  </property>
</Properties>
</file>