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仿宋" w:hAnsi="仿宋" w:eastAsia="仿宋"/>
          <w:b/>
          <w:sz w:val="44"/>
          <w:szCs w:val="44"/>
        </w:rPr>
      </w:pPr>
      <w:r>
        <w:rPr>
          <w:rFonts w:hint="eastAsia" w:ascii="仿宋" w:hAnsi="仿宋" w:eastAsia="仿宋"/>
          <w:b/>
          <w:sz w:val="44"/>
          <w:szCs w:val="44"/>
          <w:lang w:eastAsia="zh-CN"/>
        </w:rPr>
        <w:t>溆浦</w:t>
      </w:r>
      <w:r>
        <w:rPr>
          <w:rFonts w:hint="eastAsia" w:ascii="仿宋" w:hAnsi="仿宋" w:eastAsia="仿宋"/>
          <w:b/>
          <w:sz w:val="44"/>
          <w:szCs w:val="44"/>
        </w:rPr>
        <w:t>县政法委202</w:t>
      </w:r>
      <w:r>
        <w:rPr>
          <w:rFonts w:hint="eastAsia" w:ascii="仿宋" w:hAnsi="仿宋" w:eastAsia="仿宋"/>
          <w:b/>
          <w:sz w:val="44"/>
          <w:szCs w:val="44"/>
          <w:lang w:val="en-US" w:eastAsia="zh-CN"/>
        </w:rPr>
        <w:t>2</w:t>
      </w:r>
      <w:r>
        <w:rPr>
          <w:rFonts w:hint="eastAsia" w:ascii="仿宋" w:hAnsi="仿宋" w:eastAsia="仿宋"/>
          <w:b/>
          <w:sz w:val="44"/>
          <w:szCs w:val="44"/>
        </w:rPr>
        <w:t>整体支出</w:t>
      </w:r>
    </w:p>
    <w:p>
      <w:pPr>
        <w:spacing w:line="640" w:lineRule="exact"/>
        <w:jc w:val="center"/>
        <w:rPr>
          <w:rFonts w:hint="eastAsia" w:ascii="仿宋" w:hAnsi="仿宋" w:eastAsia="仿宋"/>
          <w:b/>
          <w:sz w:val="44"/>
          <w:szCs w:val="44"/>
        </w:rPr>
      </w:pPr>
      <w:r>
        <w:rPr>
          <w:rFonts w:hint="eastAsia" w:ascii="仿宋" w:hAnsi="仿宋" w:eastAsia="仿宋"/>
          <w:b/>
          <w:sz w:val="44"/>
          <w:szCs w:val="44"/>
        </w:rPr>
        <w:t>绩效自评报告</w:t>
      </w:r>
    </w:p>
    <w:p>
      <w:pPr>
        <w:spacing w:line="600" w:lineRule="exact"/>
        <w:ind w:firstLine="600" w:firstLineChars="200"/>
        <w:rPr>
          <w:rFonts w:hint="eastAsia" w:ascii="仿宋" w:hAnsi="仿宋" w:eastAsia="仿宋"/>
          <w:sz w:val="30"/>
          <w:szCs w:val="30"/>
        </w:rPr>
      </w:pPr>
      <w:r>
        <w:rPr>
          <w:rFonts w:hint="eastAsia" w:ascii="仿宋" w:hAnsi="仿宋" w:eastAsia="仿宋"/>
          <w:sz w:val="30"/>
          <w:szCs w:val="30"/>
        </w:rPr>
        <w:t>根据县财政局《关于开展202</w:t>
      </w:r>
      <w:r>
        <w:rPr>
          <w:rFonts w:hint="eastAsia" w:ascii="仿宋" w:hAnsi="仿宋" w:eastAsia="仿宋"/>
          <w:sz w:val="30"/>
          <w:szCs w:val="30"/>
          <w:lang w:val="en-US" w:eastAsia="zh-CN"/>
        </w:rPr>
        <w:t>2</w:t>
      </w:r>
      <w:r>
        <w:rPr>
          <w:rFonts w:hint="eastAsia" w:ascii="仿宋" w:hAnsi="仿宋" w:eastAsia="仿宋"/>
          <w:sz w:val="30"/>
          <w:szCs w:val="30"/>
        </w:rPr>
        <w:t>年部门整体支出绩效评价工作的通知》精神，我委对202</w:t>
      </w:r>
      <w:r>
        <w:rPr>
          <w:rFonts w:hint="eastAsia" w:ascii="仿宋" w:hAnsi="仿宋" w:eastAsia="仿宋"/>
          <w:sz w:val="30"/>
          <w:szCs w:val="30"/>
          <w:lang w:val="en-US" w:eastAsia="zh-CN"/>
        </w:rPr>
        <w:t>2</w:t>
      </w:r>
      <w:r>
        <w:rPr>
          <w:rFonts w:hint="eastAsia" w:ascii="仿宋" w:hAnsi="仿宋" w:eastAsia="仿宋"/>
          <w:sz w:val="30"/>
          <w:szCs w:val="30"/>
        </w:rPr>
        <w:t>年度部门整体支出进行了全面的综合评价，现将有关情况汇报如下：</w:t>
      </w:r>
    </w:p>
    <w:p>
      <w:pPr>
        <w:spacing w:line="600" w:lineRule="exact"/>
        <w:ind w:firstLine="602" w:firstLineChars="200"/>
        <w:outlineLvl w:val="0"/>
        <w:rPr>
          <w:rFonts w:hint="eastAsia" w:ascii="仿宋" w:hAnsi="仿宋" w:eastAsia="仿宋"/>
          <w:b/>
          <w:sz w:val="30"/>
          <w:szCs w:val="30"/>
        </w:rPr>
      </w:pPr>
      <w:r>
        <w:rPr>
          <w:rFonts w:hint="eastAsia" w:ascii="仿宋" w:hAnsi="仿宋" w:eastAsia="仿宋"/>
          <w:b/>
          <w:sz w:val="30"/>
          <w:szCs w:val="30"/>
        </w:rPr>
        <w:t>一、部门概况</w:t>
      </w:r>
    </w:p>
    <w:p>
      <w:pPr>
        <w:spacing w:line="600" w:lineRule="exact"/>
        <w:ind w:firstLine="602" w:firstLineChars="200"/>
        <w:rPr>
          <w:rFonts w:hint="eastAsia" w:ascii="仿宋" w:hAnsi="仿宋" w:eastAsia="仿宋"/>
          <w:b/>
          <w:sz w:val="30"/>
          <w:szCs w:val="30"/>
        </w:rPr>
      </w:pPr>
      <w:r>
        <w:rPr>
          <w:rFonts w:hint="eastAsia" w:ascii="仿宋" w:hAnsi="仿宋" w:eastAsia="仿宋"/>
          <w:b/>
          <w:sz w:val="30"/>
          <w:szCs w:val="30"/>
        </w:rPr>
        <w:t>(一)部门基本情况</w:t>
      </w:r>
    </w:p>
    <w:p>
      <w:pPr>
        <w:spacing w:line="600" w:lineRule="exact"/>
        <w:ind w:firstLine="600" w:firstLineChars="200"/>
        <w:rPr>
          <w:rFonts w:hint="eastAsia" w:ascii="仿宋" w:hAnsi="仿宋" w:eastAsia="仿宋"/>
          <w:sz w:val="30"/>
          <w:szCs w:val="30"/>
        </w:rPr>
      </w:pPr>
      <w:r>
        <w:rPr>
          <w:rFonts w:hint="eastAsia" w:ascii="仿宋" w:hAnsi="仿宋" w:eastAsia="仿宋"/>
          <w:sz w:val="30"/>
          <w:szCs w:val="30"/>
        </w:rPr>
        <w:t>本单位属于财政拨款的行政单位，共有编制2</w:t>
      </w:r>
      <w:r>
        <w:rPr>
          <w:rFonts w:hint="eastAsia" w:ascii="仿宋" w:hAnsi="仿宋" w:eastAsia="仿宋"/>
          <w:sz w:val="30"/>
          <w:szCs w:val="30"/>
          <w:lang w:val="en-US" w:eastAsia="zh-CN"/>
        </w:rPr>
        <w:t>5</w:t>
      </w:r>
      <w:r>
        <w:rPr>
          <w:rFonts w:hint="eastAsia" w:ascii="仿宋" w:hAnsi="仿宋" w:eastAsia="仿宋"/>
          <w:sz w:val="30"/>
          <w:szCs w:val="30"/>
        </w:rPr>
        <w:t>人,其中核定行政编制16人，事业编制</w:t>
      </w:r>
      <w:r>
        <w:rPr>
          <w:rFonts w:hint="eastAsia" w:ascii="仿宋" w:hAnsi="仿宋" w:eastAsia="仿宋"/>
          <w:sz w:val="30"/>
          <w:szCs w:val="30"/>
          <w:lang w:val="en-US" w:eastAsia="zh-CN"/>
        </w:rPr>
        <w:t>9</w:t>
      </w:r>
      <w:r>
        <w:rPr>
          <w:rFonts w:hint="eastAsia" w:ascii="仿宋" w:hAnsi="仿宋" w:eastAsia="仿宋"/>
          <w:sz w:val="30"/>
          <w:szCs w:val="30"/>
        </w:rPr>
        <w:t>人；现有在职人员2</w:t>
      </w:r>
      <w:r>
        <w:rPr>
          <w:rFonts w:hint="eastAsia" w:ascii="仿宋" w:hAnsi="仿宋" w:eastAsia="仿宋"/>
          <w:sz w:val="30"/>
          <w:szCs w:val="30"/>
          <w:lang w:val="en-US" w:eastAsia="zh-CN"/>
        </w:rPr>
        <w:t>3</w:t>
      </w:r>
      <w:r>
        <w:rPr>
          <w:rFonts w:hint="eastAsia" w:ascii="仿宋" w:hAnsi="仿宋" w:eastAsia="仿宋"/>
          <w:sz w:val="30"/>
          <w:szCs w:val="30"/>
        </w:rPr>
        <w:t>人，退休人员1</w:t>
      </w:r>
      <w:r>
        <w:rPr>
          <w:rFonts w:hint="eastAsia" w:ascii="仿宋" w:hAnsi="仿宋" w:eastAsia="仿宋"/>
          <w:sz w:val="30"/>
          <w:szCs w:val="30"/>
          <w:lang w:val="en-US" w:eastAsia="zh-CN"/>
        </w:rPr>
        <w:t>2</w:t>
      </w:r>
      <w:r>
        <w:rPr>
          <w:rFonts w:hint="eastAsia" w:ascii="仿宋" w:hAnsi="仿宋" w:eastAsia="仿宋"/>
          <w:sz w:val="30"/>
          <w:szCs w:val="30"/>
        </w:rPr>
        <w:t>人。内设行政业务机构</w:t>
      </w:r>
      <w:r>
        <w:rPr>
          <w:rFonts w:hint="eastAsia" w:ascii="仿宋" w:hAnsi="仿宋" w:eastAsia="仿宋"/>
          <w:sz w:val="30"/>
          <w:szCs w:val="30"/>
          <w:lang w:val="en-US" w:eastAsia="zh-CN"/>
        </w:rPr>
        <w:t>11</w:t>
      </w:r>
      <w:r>
        <w:rPr>
          <w:rFonts w:hint="eastAsia" w:ascii="仿宋" w:hAnsi="仿宋" w:eastAsia="仿宋"/>
          <w:sz w:val="30"/>
          <w:szCs w:val="30"/>
        </w:rPr>
        <w:t>个，分别是：办公室、政工室、维稳指导办、基层社会治理办、执法监督室、政治安全办、铁护办、政策宣教办、党建办</w:t>
      </w:r>
      <w:r>
        <w:rPr>
          <w:rFonts w:hint="eastAsia" w:ascii="仿宋" w:hAnsi="仿宋" w:eastAsia="仿宋"/>
          <w:sz w:val="30"/>
          <w:szCs w:val="30"/>
          <w:lang w:val="en-US" w:eastAsia="zh-CN"/>
        </w:rPr>
        <w:t>、社会治理网格中心、法学会</w:t>
      </w:r>
      <w:r>
        <w:rPr>
          <w:rFonts w:hint="eastAsia" w:ascii="仿宋" w:hAnsi="仿宋" w:eastAsia="仿宋"/>
          <w:sz w:val="30"/>
          <w:szCs w:val="30"/>
        </w:rPr>
        <w:t>。主要职能是根据党的路线方针政策和党委的部署，研究制定贯彻落实的具体措施，统一政法各部门的思想和行动；组织、指导维护社会稳定工作，协调处理群体性事件；检查政法部门公正廉洁执法的情况，结合实际，研究制定促进公正廉洁执法的具体办法；大力支持和严格监督政法各部门依法行使职权，指导和协调政法各部门在依法相互制约的同时密切配合，督促大案要案的查处工作；组织、协调社会治安综合治理工作，落实平安建设措施，推进社会治理创新，营造安定的社会环境；组织构建大调解工作体系，排查化解矛盾隐患，指导、协调、推动政法部门做好涉法涉诉信访工作；研究加强政法队伍建设和领导班子建设的措施，协助党委及其组织部门考察、管理政法部门的领导干部；组织、推动政法部门开展党风廉政建设，协助纪检部门查处违纪违法行为；研究分析涉及政法工作的舆论情况和影响社会稳定的舆情信息，指导、协调政法综治维稳宣传和舆论引导工作；及时向党委反映政法工作的重大情况，办理党委和上级党委政法委交办的其他事项。</w:t>
      </w:r>
    </w:p>
    <w:p>
      <w:pPr>
        <w:spacing w:line="600" w:lineRule="exact"/>
        <w:ind w:firstLine="600" w:firstLineChars="200"/>
        <w:outlineLvl w:val="0"/>
        <w:rPr>
          <w:rFonts w:hint="eastAsia" w:ascii="仿宋" w:hAnsi="仿宋" w:eastAsia="仿宋"/>
          <w:b/>
          <w:sz w:val="30"/>
          <w:szCs w:val="30"/>
          <w:lang w:eastAsia="zh-CN"/>
        </w:rPr>
      </w:pPr>
      <w:r>
        <w:rPr>
          <w:rFonts w:hint="eastAsia" w:ascii="仿宋" w:hAnsi="仿宋" w:eastAsia="仿宋"/>
          <w:b w:val="0"/>
          <w:bCs/>
          <w:sz w:val="30"/>
          <w:szCs w:val="30"/>
          <w:lang w:val="en-US" w:eastAsia="zh-CN"/>
        </w:rPr>
        <w:t xml:space="preserve">  （二) </w:t>
      </w:r>
      <w:r>
        <w:rPr>
          <w:rFonts w:hint="eastAsia" w:ascii="仿宋" w:hAnsi="仿宋" w:eastAsia="仿宋"/>
          <w:b/>
          <w:sz w:val="30"/>
          <w:szCs w:val="30"/>
          <w:lang w:eastAsia="zh-CN"/>
        </w:rPr>
        <w:t>部门整体支出规模、使用方面及主要内容</w:t>
      </w:r>
    </w:p>
    <w:p>
      <w:pPr>
        <w:spacing w:line="600" w:lineRule="exact"/>
        <w:ind w:firstLine="600" w:firstLineChars="200"/>
        <w:outlineLvl w:val="0"/>
        <w:rPr>
          <w:rFonts w:hint="default" w:ascii="仿宋" w:hAnsi="仿宋" w:eastAsia="仿宋"/>
          <w:b/>
          <w:sz w:val="30"/>
          <w:szCs w:val="30"/>
          <w:lang w:val="en-US" w:eastAsia="zh-CN"/>
        </w:rPr>
      </w:pPr>
      <w:r>
        <w:rPr>
          <w:rFonts w:hint="eastAsia" w:ascii="仿宋" w:hAnsi="仿宋" w:eastAsia="仿宋"/>
          <w:b w:val="0"/>
          <w:bCs/>
          <w:sz w:val="30"/>
          <w:szCs w:val="30"/>
          <w:lang w:val="en-US" w:eastAsia="zh-CN"/>
        </w:rPr>
        <w:t xml:space="preserve"> 2022年我委部门整体支出规模617.83万元，基本建设支出541.45万元，主要用于保障人员工资、机构运转，专项支出76.38万元，主要安保维稳，社会综合治理及平安建设等方面。</w:t>
      </w:r>
    </w:p>
    <w:p>
      <w:pPr>
        <w:spacing w:line="600" w:lineRule="exact"/>
        <w:ind w:firstLine="602" w:firstLineChars="200"/>
        <w:outlineLvl w:val="0"/>
        <w:rPr>
          <w:rFonts w:hint="eastAsia" w:ascii="仿宋" w:hAnsi="仿宋" w:eastAsia="仿宋"/>
          <w:b/>
          <w:sz w:val="30"/>
          <w:szCs w:val="30"/>
        </w:rPr>
      </w:pPr>
      <w:r>
        <w:rPr>
          <w:rFonts w:hint="eastAsia" w:ascii="仿宋" w:hAnsi="仿宋" w:eastAsia="仿宋"/>
          <w:b/>
          <w:sz w:val="30"/>
          <w:szCs w:val="30"/>
        </w:rPr>
        <w:t>二、部门整体支出管理及使用情况</w:t>
      </w:r>
    </w:p>
    <w:p>
      <w:pPr>
        <w:pStyle w:val="5"/>
        <w:widowControl w:val="0"/>
        <w:overflowPunct w:val="0"/>
        <w:spacing w:before="0" w:beforeAutospacing="0" w:after="0" w:afterAutospacing="0" w:line="560" w:lineRule="exact"/>
        <w:ind w:firstLine="600" w:firstLineChars="200"/>
        <w:jc w:val="both"/>
        <w:rPr>
          <w:rFonts w:hint="default" w:ascii="仿宋" w:hAnsi="仿宋" w:eastAsia="仿宋" w:cs="仿宋_GB2312"/>
          <w:sz w:val="30"/>
          <w:szCs w:val="30"/>
          <w:lang w:val="en-US" w:eastAsia="zh-CN"/>
        </w:rPr>
      </w:pPr>
      <w:r>
        <w:rPr>
          <w:rFonts w:hint="eastAsia" w:ascii="仿宋" w:hAnsi="仿宋" w:eastAsia="仿宋" w:cs="仿宋_GB2312"/>
          <w:sz w:val="30"/>
          <w:szCs w:val="30"/>
        </w:rPr>
        <w:t>收支总体情况。收入</w:t>
      </w:r>
      <w:r>
        <w:rPr>
          <w:rFonts w:hint="eastAsia" w:ascii="仿宋" w:hAnsi="仿宋" w:eastAsia="仿宋" w:cs="仿宋_GB2312"/>
          <w:sz w:val="30"/>
          <w:szCs w:val="30"/>
          <w:lang w:eastAsia="zh-CN"/>
        </w:rPr>
        <w:t>总计</w:t>
      </w:r>
      <w:r>
        <w:rPr>
          <w:rFonts w:hint="eastAsia" w:ascii="仿宋" w:hAnsi="仿宋" w:eastAsia="仿宋" w:cs="仿宋_GB2312"/>
          <w:sz w:val="30"/>
          <w:szCs w:val="30"/>
          <w:lang w:val="en-US" w:eastAsia="zh-CN"/>
        </w:rPr>
        <w:t>617.83</w:t>
      </w:r>
      <w:r>
        <w:rPr>
          <w:rFonts w:hint="eastAsia" w:ascii="仿宋" w:hAnsi="仿宋" w:eastAsia="仿宋" w:cs="仿宋_GB2312"/>
          <w:sz w:val="30"/>
          <w:szCs w:val="30"/>
        </w:rPr>
        <w:t>万元，其中财政拨款收入</w:t>
      </w:r>
      <w:r>
        <w:rPr>
          <w:rFonts w:hint="eastAsia" w:ascii="仿宋" w:hAnsi="仿宋" w:eastAsia="仿宋" w:cs="仿宋_GB2312"/>
          <w:sz w:val="30"/>
          <w:szCs w:val="30"/>
          <w:lang w:val="en-US" w:eastAsia="zh-CN"/>
        </w:rPr>
        <w:t>547.03</w:t>
      </w:r>
      <w:r>
        <w:rPr>
          <w:rFonts w:hint="eastAsia" w:ascii="仿宋" w:hAnsi="仿宋" w:eastAsia="仿宋" w:cs="仿宋_GB2312"/>
          <w:sz w:val="30"/>
          <w:szCs w:val="30"/>
        </w:rPr>
        <w:t>万元，其他收入</w:t>
      </w:r>
      <w:r>
        <w:rPr>
          <w:rFonts w:hint="eastAsia" w:ascii="仿宋" w:hAnsi="仿宋" w:eastAsia="仿宋" w:cs="仿宋_GB2312"/>
          <w:sz w:val="30"/>
          <w:szCs w:val="30"/>
          <w:lang w:val="en-US" w:eastAsia="zh-CN"/>
        </w:rPr>
        <w:t>70.8</w:t>
      </w:r>
      <w:r>
        <w:rPr>
          <w:rFonts w:hint="eastAsia" w:ascii="仿宋" w:hAnsi="仿宋" w:eastAsia="仿宋" w:cs="仿宋_GB2312"/>
          <w:sz w:val="30"/>
          <w:szCs w:val="30"/>
        </w:rPr>
        <w:t>万元</w:t>
      </w:r>
      <w:r>
        <w:rPr>
          <w:rFonts w:hint="eastAsia" w:ascii="仿宋" w:hAnsi="仿宋" w:eastAsia="仿宋" w:cs="仿宋_GB2312"/>
          <w:sz w:val="30"/>
          <w:szCs w:val="30"/>
          <w:lang w:eastAsia="zh-CN"/>
        </w:rPr>
        <w:t>。</w:t>
      </w:r>
      <w:r>
        <w:rPr>
          <w:rFonts w:hint="eastAsia" w:ascii="仿宋" w:hAnsi="仿宋" w:eastAsia="仿宋" w:cs="仿宋_GB2312"/>
          <w:sz w:val="30"/>
          <w:szCs w:val="30"/>
        </w:rPr>
        <w:t>202</w:t>
      </w:r>
      <w:r>
        <w:rPr>
          <w:rFonts w:hint="eastAsia" w:ascii="仿宋" w:hAnsi="仿宋" w:eastAsia="仿宋" w:cs="仿宋_GB2312"/>
          <w:sz w:val="30"/>
          <w:szCs w:val="30"/>
          <w:lang w:val="en-US" w:eastAsia="zh-CN"/>
        </w:rPr>
        <w:t>1</w:t>
      </w:r>
      <w:r>
        <w:rPr>
          <w:rFonts w:hint="eastAsia" w:ascii="仿宋" w:hAnsi="仿宋" w:eastAsia="仿宋" w:cs="仿宋_GB2312"/>
          <w:sz w:val="30"/>
          <w:szCs w:val="30"/>
        </w:rPr>
        <w:t>年本年支出</w:t>
      </w:r>
      <w:r>
        <w:rPr>
          <w:rFonts w:hint="eastAsia" w:ascii="仿宋" w:hAnsi="仿宋" w:eastAsia="仿宋" w:cs="仿宋_GB2312"/>
          <w:sz w:val="30"/>
          <w:szCs w:val="30"/>
          <w:lang w:val="en-US" w:eastAsia="zh-CN"/>
        </w:rPr>
        <w:t>617.83</w:t>
      </w:r>
      <w:r>
        <w:rPr>
          <w:rFonts w:hint="eastAsia" w:ascii="仿宋" w:hAnsi="仿宋" w:eastAsia="仿宋" w:cs="仿宋_GB2312"/>
          <w:sz w:val="30"/>
          <w:szCs w:val="30"/>
        </w:rPr>
        <w:t>万元</w:t>
      </w:r>
      <w:r>
        <w:rPr>
          <w:rFonts w:hint="eastAsia" w:ascii="仿宋" w:hAnsi="仿宋" w:eastAsia="仿宋" w:cs="仿宋_GB2312"/>
          <w:sz w:val="30"/>
          <w:szCs w:val="30"/>
          <w:lang w:val="en-US" w:eastAsia="zh-CN"/>
        </w:rPr>
        <w:t>其中基本支出541.45万元，专项支出76.38万元。</w:t>
      </w:r>
    </w:p>
    <w:p>
      <w:pPr>
        <w:spacing w:line="600" w:lineRule="exact"/>
        <w:ind w:firstLine="602" w:firstLineChars="200"/>
        <w:rPr>
          <w:rFonts w:hint="eastAsia" w:ascii="仿宋" w:hAnsi="仿宋" w:eastAsia="仿宋"/>
          <w:b/>
          <w:sz w:val="30"/>
          <w:szCs w:val="30"/>
        </w:rPr>
      </w:pPr>
      <w:r>
        <w:rPr>
          <w:rFonts w:hint="eastAsia" w:ascii="仿宋" w:hAnsi="仿宋" w:eastAsia="仿宋"/>
          <w:b/>
          <w:sz w:val="30"/>
          <w:szCs w:val="30"/>
        </w:rPr>
        <w:t xml:space="preserve">（一）基本支出 </w:t>
      </w:r>
    </w:p>
    <w:p>
      <w:pPr>
        <w:spacing w:line="600" w:lineRule="exact"/>
        <w:ind w:firstLine="600" w:firstLineChars="200"/>
        <w:rPr>
          <w:rFonts w:hint="eastAsia" w:ascii="仿宋" w:hAnsi="仿宋" w:eastAsia="仿宋"/>
          <w:sz w:val="30"/>
          <w:szCs w:val="30"/>
        </w:rPr>
      </w:pPr>
      <w:r>
        <w:rPr>
          <w:rFonts w:hint="eastAsia" w:ascii="仿宋" w:hAnsi="仿宋" w:eastAsia="仿宋"/>
          <w:sz w:val="30"/>
          <w:szCs w:val="30"/>
        </w:rPr>
        <w:t>202</w:t>
      </w:r>
      <w:r>
        <w:rPr>
          <w:rFonts w:hint="eastAsia" w:ascii="仿宋" w:hAnsi="仿宋" w:eastAsia="仿宋"/>
          <w:sz w:val="30"/>
          <w:szCs w:val="30"/>
          <w:lang w:val="en-US" w:eastAsia="zh-CN"/>
        </w:rPr>
        <w:t>1</w:t>
      </w:r>
      <w:r>
        <w:rPr>
          <w:rFonts w:hint="eastAsia" w:ascii="仿宋" w:hAnsi="仿宋" w:eastAsia="仿宋"/>
          <w:sz w:val="30"/>
          <w:szCs w:val="30"/>
        </w:rPr>
        <w:t>年本年支出</w:t>
      </w:r>
      <w:r>
        <w:rPr>
          <w:rFonts w:hint="eastAsia" w:ascii="仿宋" w:hAnsi="仿宋" w:eastAsia="仿宋"/>
          <w:sz w:val="30"/>
          <w:szCs w:val="30"/>
          <w:lang w:val="en-US" w:eastAsia="zh-CN"/>
        </w:rPr>
        <w:t>617.83</w:t>
      </w:r>
      <w:r>
        <w:rPr>
          <w:rFonts w:hint="eastAsia" w:ascii="仿宋" w:hAnsi="仿宋" w:eastAsia="仿宋"/>
          <w:sz w:val="30"/>
          <w:szCs w:val="30"/>
        </w:rPr>
        <w:t>万元，其中基本支出</w:t>
      </w:r>
      <w:r>
        <w:rPr>
          <w:rFonts w:hint="eastAsia" w:ascii="仿宋" w:hAnsi="仿宋" w:eastAsia="仿宋"/>
          <w:sz w:val="30"/>
          <w:szCs w:val="30"/>
          <w:lang w:val="en-US" w:eastAsia="zh-CN"/>
        </w:rPr>
        <w:t>541.45</w:t>
      </w:r>
      <w:r>
        <w:rPr>
          <w:rFonts w:hint="eastAsia" w:ascii="仿宋" w:hAnsi="仿宋" w:eastAsia="仿宋"/>
          <w:sz w:val="30"/>
          <w:szCs w:val="30"/>
        </w:rPr>
        <w:t>万元：主要用于</w:t>
      </w:r>
      <w:r>
        <w:rPr>
          <w:rFonts w:hint="eastAsia" w:ascii="仿宋" w:hAnsi="仿宋" w:eastAsia="仿宋" w:cs="仿宋_GB2312"/>
          <w:sz w:val="30"/>
          <w:szCs w:val="30"/>
        </w:rPr>
        <w:t>保障机构正常运转、完成日常工作任务产生的支出，具体为：</w:t>
      </w:r>
      <w:r>
        <w:rPr>
          <w:rFonts w:hint="eastAsia" w:ascii="仿宋" w:hAnsi="仿宋" w:eastAsia="仿宋"/>
          <w:sz w:val="30"/>
          <w:szCs w:val="30"/>
        </w:rPr>
        <w:t>1、工资福利支出</w:t>
      </w:r>
      <w:r>
        <w:rPr>
          <w:rFonts w:hint="eastAsia" w:ascii="仿宋" w:hAnsi="仿宋" w:eastAsia="仿宋"/>
          <w:sz w:val="30"/>
          <w:szCs w:val="30"/>
          <w:lang w:val="en-US" w:eastAsia="zh-CN"/>
        </w:rPr>
        <w:t>347.52</w:t>
      </w:r>
      <w:r>
        <w:rPr>
          <w:rFonts w:hint="eastAsia" w:ascii="仿宋" w:hAnsi="仿宋" w:eastAsia="仿宋"/>
          <w:sz w:val="30"/>
          <w:szCs w:val="30"/>
        </w:rPr>
        <w:t>万元；2、商品和服务支出</w:t>
      </w:r>
      <w:r>
        <w:rPr>
          <w:rFonts w:hint="eastAsia" w:ascii="仿宋" w:hAnsi="仿宋" w:eastAsia="仿宋"/>
          <w:sz w:val="30"/>
          <w:szCs w:val="30"/>
          <w:lang w:val="en-US" w:eastAsia="zh-CN"/>
        </w:rPr>
        <w:t>174.62</w:t>
      </w:r>
      <w:r>
        <w:rPr>
          <w:rFonts w:hint="eastAsia" w:ascii="仿宋" w:hAnsi="仿宋" w:eastAsia="仿宋"/>
          <w:sz w:val="30"/>
          <w:szCs w:val="30"/>
        </w:rPr>
        <w:t>万元；3、对个人和家庭支出</w:t>
      </w:r>
      <w:r>
        <w:rPr>
          <w:rFonts w:hint="eastAsia" w:ascii="仿宋" w:hAnsi="仿宋" w:eastAsia="仿宋"/>
          <w:sz w:val="30"/>
          <w:szCs w:val="30"/>
          <w:lang w:val="en-US" w:eastAsia="zh-CN"/>
        </w:rPr>
        <w:t>1.2</w:t>
      </w:r>
      <w:r>
        <w:rPr>
          <w:rFonts w:hint="eastAsia" w:ascii="仿宋" w:hAnsi="仿宋" w:eastAsia="仿宋"/>
          <w:sz w:val="30"/>
          <w:szCs w:val="30"/>
        </w:rPr>
        <w:t>万元；</w:t>
      </w:r>
      <w:r>
        <w:rPr>
          <w:rFonts w:hint="eastAsia" w:ascii="仿宋" w:hAnsi="仿宋" w:eastAsia="仿宋"/>
          <w:sz w:val="30"/>
          <w:szCs w:val="30"/>
          <w:lang w:val="en-US" w:eastAsia="zh-CN"/>
        </w:rPr>
        <w:t>4、其他开支18.11万元；</w:t>
      </w:r>
      <w:r>
        <w:rPr>
          <w:rFonts w:hint="eastAsia" w:ascii="仿宋" w:hAnsi="仿宋" w:eastAsia="仿宋"/>
          <w:sz w:val="30"/>
          <w:szCs w:val="30"/>
        </w:rPr>
        <w:t>本年度，本单位三公经费支出</w:t>
      </w:r>
      <w:r>
        <w:rPr>
          <w:rFonts w:hint="eastAsia" w:ascii="仿宋" w:hAnsi="仿宋" w:eastAsia="仿宋"/>
          <w:sz w:val="30"/>
          <w:szCs w:val="30"/>
          <w:lang w:val="en-US" w:eastAsia="zh-CN"/>
        </w:rPr>
        <w:t>3.07</w:t>
      </w:r>
      <w:r>
        <w:rPr>
          <w:rFonts w:hint="eastAsia" w:ascii="仿宋" w:hAnsi="仿宋" w:eastAsia="仿宋"/>
          <w:sz w:val="30"/>
          <w:szCs w:val="30"/>
        </w:rPr>
        <w:t>万元，其中公务接待费开支</w:t>
      </w:r>
      <w:r>
        <w:rPr>
          <w:rFonts w:hint="eastAsia" w:ascii="仿宋" w:hAnsi="仿宋" w:eastAsia="仿宋"/>
          <w:sz w:val="30"/>
          <w:szCs w:val="30"/>
          <w:lang w:val="en-US" w:eastAsia="zh-CN"/>
        </w:rPr>
        <w:t>3.07</w:t>
      </w:r>
      <w:r>
        <w:rPr>
          <w:rFonts w:hint="eastAsia" w:ascii="仿宋" w:hAnsi="仿宋" w:eastAsia="仿宋"/>
          <w:sz w:val="30"/>
          <w:szCs w:val="30"/>
        </w:rPr>
        <w:t>万元。</w:t>
      </w:r>
    </w:p>
    <w:p>
      <w:pPr>
        <w:spacing w:line="600" w:lineRule="exact"/>
        <w:ind w:firstLine="602" w:firstLineChars="200"/>
        <w:rPr>
          <w:rFonts w:hint="eastAsia" w:ascii="仿宋" w:hAnsi="仿宋" w:eastAsia="仿宋" w:cs="宋体"/>
          <w:b/>
          <w:bCs/>
          <w:kern w:val="0"/>
          <w:sz w:val="30"/>
          <w:szCs w:val="30"/>
          <w:lang w:val="en-US" w:eastAsia="zh-CN" w:bidi="ar-SA"/>
        </w:rPr>
      </w:pPr>
      <w:r>
        <w:rPr>
          <w:rFonts w:hint="eastAsia" w:ascii="仿宋" w:hAnsi="仿宋" w:eastAsia="仿宋" w:cs="宋体"/>
          <w:b/>
          <w:bCs/>
          <w:kern w:val="0"/>
          <w:sz w:val="30"/>
          <w:szCs w:val="30"/>
          <w:lang w:val="en-US" w:eastAsia="zh-CN" w:bidi="ar-SA"/>
        </w:rPr>
        <w:t>（二）专项支出</w:t>
      </w:r>
    </w:p>
    <w:p>
      <w:pPr>
        <w:bidi w:val="0"/>
        <w:ind w:firstLine="600" w:firstLineChars="200"/>
        <w:rPr>
          <w:rFonts w:hint="default" w:ascii="仿宋" w:hAnsi="仿宋" w:eastAsia="仿宋" w:cs="宋体"/>
          <w:kern w:val="0"/>
          <w:sz w:val="30"/>
          <w:szCs w:val="30"/>
          <w:lang w:val="en-US" w:eastAsia="zh-CN" w:bidi="ar-SA"/>
        </w:rPr>
      </w:pPr>
      <w:r>
        <w:rPr>
          <w:rFonts w:hint="eastAsia" w:ascii="仿宋" w:hAnsi="仿宋" w:eastAsia="仿宋" w:cs="宋体"/>
          <w:kern w:val="0"/>
          <w:sz w:val="30"/>
          <w:szCs w:val="30"/>
          <w:lang w:val="en-US" w:eastAsia="zh-CN" w:bidi="ar-SA"/>
        </w:rPr>
        <w:t>1、专项资金落实情况:2022年，专项资金计划76.38万元，实际财政拨款收入76.38万元,资金到位率100%</w:t>
      </w:r>
    </w:p>
    <w:p>
      <w:pPr>
        <w:bidi w:val="0"/>
        <w:ind w:firstLine="600" w:firstLineChars="200"/>
        <w:rPr>
          <w:rFonts w:hint="eastAsia" w:ascii="仿宋" w:hAnsi="仿宋" w:eastAsia="仿宋" w:cs="宋体"/>
          <w:kern w:val="0"/>
          <w:sz w:val="30"/>
          <w:szCs w:val="30"/>
          <w:lang w:val="en-US" w:eastAsia="zh-CN" w:bidi="ar-SA"/>
        </w:rPr>
      </w:pPr>
      <w:r>
        <w:rPr>
          <w:rFonts w:hint="eastAsia" w:ascii="仿宋" w:hAnsi="仿宋" w:eastAsia="仿宋" w:cs="宋体"/>
          <w:kern w:val="0"/>
          <w:sz w:val="30"/>
          <w:szCs w:val="30"/>
          <w:lang w:val="en-US" w:eastAsia="zh-CN" w:bidi="ar-SA"/>
        </w:rPr>
        <w:t>2、</w:t>
      </w:r>
      <w:r>
        <w:rPr>
          <w:rFonts w:hint="eastAsia" w:ascii="仿宋" w:hAnsi="仿宋" w:eastAsia="仿宋" w:cs="宋体"/>
          <w:b/>
          <w:bCs/>
          <w:kern w:val="0"/>
          <w:sz w:val="30"/>
          <w:szCs w:val="30"/>
          <w:lang w:val="en-US" w:eastAsia="zh-CN" w:bidi="ar-SA"/>
        </w:rPr>
        <w:t>专项资金使用情况</w:t>
      </w:r>
      <w:r>
        <w:rPr>
          <w:rFonts w:hint="eastAsia" w:ascii="仿宋" w:hAnsi="仿宋" w:eastAsia="仿宋" w:cs="宋体"/>
          <w:kern w:val="0"/>
          <w:sz w:val="30"/>
          <w:szCs w:val="30"/>
          <w:lang w:val="en-US" w:eastAsia="zh-CN" w:bidi="ar-SA"/>
        </w:rPr>
        <w:t>：2022年，专项资金财政拨款76.38万元，实际使用76.38万元，资金使用率100%，用于商品和服务支出76.38万元，主要用于综治宣传和安保维稳项目。</w:t>
      </w:r>
    </w:p>
    <w:p>
      <w:pPr>
        <w:bidi w:val="0"/>
        <w:ind w:firstLine="602" w:firstLineChars="200"/>
        <w:rPr>
          <w:rFonts w:hint="eastAsia" w:ascii="仿宋" w:hAnsi="仿宋" w:eastAsia="仿宋" w:cs="仿宋_GB2312"/>
          <w:color w:val="000000"/>
          <w:sz w:val="30"/>
          <w:szCs w:val="30"/>
        </w:rPr>
      </w:pPr>
      <w:r>
        <w:rPr>
          <w:rFonts w:hint="eastAsia" w:ascii="仿宋" w:hAnsi="仿宋" w:eastAsia="仿宋" w:cs="宋体"/>
          <w:b/>
          <w:bCs/>
          <w:kern w:val="0"/>
          <w:sz w:val="30"/>
          <w:szCs w:val="30"/>
          <w:lang w:val="en-US" w:eastAsia="zh-CN" w:bidi="ar-SA"/>
        </w:rPr>
        <w:t>3、专项资金管理情况</w:t>
      </w:r>
      <w:r>
        <w:rPr>
          <w:rFonts w:hint="eastAsia" w:ascii="仿宋" w:hAnsi="仿宋" w:eastAsia="仿宋" w:cs="宋体"/>
          <w:kern w:val="0"/>
          <w:sz w:val="30"/>
          <w:szCs w:val="30"/>
          <w:lang w:val="en-US" w:eastAsia="zh-CN" w:bidi="ar-SA"/>
        </w:rPr>
        <w:t xml:space="preserve">： </w:t>
      </w:r>
      <w:r>
        <w:rPr>
          <w:rFonts w:hint="eastAsia" w:ascii="仿宋" w:hAnsi="仿宋" w:eastAsia="仿宋"/>
          <w:sz w:val="30"/>
          <w:szCs w:val="30"/>
        </w:rPr>
        <w:t>我</w:t>
      </w:r>
      <w:r>
        <w:rPr>
          <w:rFonts w:hint="eastAsia" w:ascii="仿宋" w:hAnsi="仿宋" w:eastAsia="仿宋"/>
          <w:sz w:val="30"/>
          <w:szCs w:val="30"/>
          <w:lang w:eastAsia="zh-CN"/>
        </w:rPr>
        <w:t>委</w:t>
      </w:r>
      <w:r>
        <w:rPr>
          <w:rFonts w:hint="eastAsia" w:ascii="仿宋" w:hAnsi="仿宋" w:eastAsia="仿宋"/>
          <w:sz w:val="30"/>
          <w:szCs w:val="30"/>
        </w:rPr>
        <w:t>根据法律法规，制定了一系列的财务管理制度。在资金使用上一直按照财经法规和本委财务管理制度规定以及有关专项资金管理办法的规定收支，资金拨付有完整的审批程序和手续，按照财经制度的有关要求，做到专款专用，专人保管。资金使用无截留、挤占、挪用、虚列支出情况。</w:t>
      </w:r>
      <w:r>
        <w:rPr>
          <w:rFonts w:hint="eastAsia" w:ascii="仿宋" w:hAnsi="仿宋" w:eastAsia="仿宋" w:cs="仿宋_GB2312"/>
          <w:sz w:val="30"/>
          <w:szCs w:val="30"/>
        </w:rPr>
        <w:t>明确了经费审批权限及程序，经费预算管理、财务经费管理、资产购置与处置、财务监督，开展公用经费使用监督和绩效评估，进一步落实厉行节约的各项规定，确保“三公经费”使用合理合规。上述制度规定均执行到位。</w:t>
      </w:r>
    </w:p>
    <w:p>
      <w:pPr>
        <w:tabs>
          <w:tab w:val="left" w:pos="6080"/>
        </w:tabs>
        <w:overflowPunct w:val="0"/>
        <w:spacing w:line="560" w:lineRule="exact"/>
        <w:ind w:firstLine="602" w:firstLineChars="200"/>
        <w:outlineLvl w:val="0"/>
        <w:rPr>
          <w:rFonts w:hint="eastAsia" w:ascii="仿宋" w:hAnsi="仿宋" w:eastAsia="仿宋" w:cs="仿宋_GB2312"/>
          <w:b/>
          <w:bCs/>
          <w:sz w:val="30"/>
          <w:szCs w:val="30"/>
        </w:rPr>
      </w:pPr>
      <w:bookmarkStart w:id="0" w:name="_Toc390113216"/>
      <w:r>
        <w:rPr>
          <w:rFonts w:hint="eastAsia" w:ascii="仿宋" w:hAnsi="仿宋" w:eastAsia="仿宋" w:cs="黑体"/>
          <w:b/>
          <w:bCs/>
          <w:sz w:val="30"/>
          <w:szCs w:val="30"/>
        </w:rPr>
        <w:t>三、</w:t>
      </w:r>
      <w:r>
        <w:rPr>
          <w:rFonts w:hint="eastAsia" w:ascii="仿宋" w:hAnsi="仿宋" w:eastAsia="仿宋" w:cs="黑体"/>
          <w:b/>
          <w:bCs/>
          <w:sz w:val="30"/>
          <w:szCs w:val="30"/>
          <w:lang w:eastAsia="zh-CN"/>
        </w:rPr>
        <w:t>部门专项组织实施</w:t>
      </w:r>
      <w:r>
        <w:rPr>
          <w:rFonts w:hint="eastAsia" w:ascii="仿宋" w:hAnsi="仿宋" w:eastAsia="仿宋" w:cs="黑体"/>
          <w:b/>
          <w:bCs/>
          <w:sz w:val="30"/>
          <w:szCs w:val="30"/>
        </w:rPr>
        <w:t>情况</w:t>
      </w:r>
      <w:bookmarkEnd w:id="0"/>
      <w:r>
        <w:rPr>
          <w:rFonts w:hint="eastAsia" w:ascii="仿宋" w:hAnsi="仿宋" w:eastAsia="仿宋" w:cs="仿宋_GB2312"/>
          <w:b/>
          <w:bCs/>
          <w:sz w:val="30"/>
          <w:szCs w:val="30"/>
        </w:rPr>
        <w:tab/>
      </w:r>
    </w:p>
    <w:p>
      <w:pPr>
        <w:bidi w:val="0"/>
        <w:ind w:firstLine="602" w:firstLineChars="200"/>
        <w:rPr>
          <w:rFonts w:hint="eastAsia" w:ascii="仿宋" w:hAnsi="仿宋" w:eastAsia="仿宋" w:cs="仿宋_GB2312"/>
          <w:sz w:val="30"/>
          <w:szCs w:val="30"/>
          <w:lang w:eastAsia="zh-CN"/>
        </w:rPr>
      </w:pPr>
      <w:r>
        <w:rPr>
          <w:rFonts w:hint="eastAsia" w:ascii="仿宋" w:hAnsi="仿宋" w:eastAsia="仿宋" w:cs="仿宋_GB2312"/>
          <w:b/>
          <w:bCs/>
          <w:sz w:val="30"/>
          <w:szCs w:val="30"/>
          <w:lang w:eastAsia="zh-CN"/>
        </w:rPr>
        <w:t>（一）专项组织情况</w:t>
      </w:r>
      <w:r>
        <w:rPr>
          <w:rFonts w:hint="eastAsia" w:ascii="仿宋" w:hAnsi="仿宋" w:eastAsia="仿宋" w:cs="仿宋_GB2312"/>
          <w:sz w:val="30"/>
          <w:szCs w:val="30"/>
          <w:lang w:eastAsia="zh-CN"/>
        </w:rPr>
        <w:t>：成立了专门领导小组，并制定具体工作计划和工作方案，由各股室按照按工作计划和方案开展工作，并对项目实施情况进行总结和自评，由领导小组对项目的实施情况进行检查、监督，对项目实施效果进行总结。</w:t>
      </w:r>
    </w:p>
    <w:p>
      <w:pPr>
        <w:bidi w:val="0"/>
        <w:ind w:firstLine="602" w:firstLineChars="200"/>
        <w:rPr>
          <w:rFonts w:hint="default" w:ascii="仿宋" w:hAnsi="仿宋" w:eastAsia="仿宋" w:cs="仿宋_GB2312"/>
          <w:sz w:val="30"/>
          <w:szCs w:val="30"/>
          <w:lang w:val="en-US" w:eastAsia="zh-CN"/>
        </w:rPr>
      </w:pPr>
      <w:r>
        <w:rPr>
          <w:rFonts w:hint="eastAsia" w:ascii="仿宋" w:hAnsi="仿宋" w:eastAsia="仿宋" w:cs="仿宋_GB2312"/>
          <w:b/>
          <w:bCs/>
          <w:sz w:val="30"/>
          <w:szCs w:val="30"/>
          <w:lang w:eastAsia="zh-CN"/>
        </w:rPr>
        <w:t>（二</w:t>
      </w:r>
      <w:r>
        <w:rPr>
          <w:rFonts w:hint="eastAsia" w:ascii="仿宋" w:hAnsi="仿宋" w:eastAsia="仿宋" w:cs="仿宋_GB2312"/>
          <w:b/>
          <w:bCs/>
          <w:sz w:val="30"/>
          <w:szCs w:val="30"/>
          <w:lang w:eastAsia="zh-CN"/>
        </w:rPr>
        <w:t>）、专项管理情况</w:t>
      </w:r>
      <w:r>
        <w:rPr>
          <w:rFonts w:hint="eastAsia" w:ascii="仿宋" w:hAnsi="仿宋" w:eastAsia="仿宋" w:cs="仿宋_GB2312"/>
          <w:sz w:val="30"/>
          <w:szCs w:val="30"/>
          <w:lang w:eastAsia="zh-CN"/>
        </w:rPr>
        <w:t>：为健全部门预算绩效管理体系，强化预算支出责任，提高资</w:t>
      </w:r>
      <w:r>
        <w:rPr>
          <w:rFonts w:hint="eastAsia" w:ascii="仿宋" w:hAnsi="仿宋" w:eastAsia="仿宋" w:cs="仿宋_GB2312"/>
          <w:sz w:val="30"/>
          <w:szCs w:val="30"/>
          <w:lang w:val="en-US" w:eastAsia="zh-CN"/>
        </w:rPr>
        <w:t>金使用效率，我委严格单位内控制度，严格资金使用过程规范化，对资金使用实施全过程监督。</w:t>
      </w:r>
    </w:p>
    <w:p>
      <w:pPr>
        <w:spacing w:line="600" w:lineRule="exact"/>
        <w:ind w:firstLine="602" w:firstLineChars="200"/>
        <w:outlineLvl w:val="0"/>
        <w:rPr>
          <w:rFonts w:hint="eastAsia" w:ascii="仿宋" w:hAnsi="仿宋" w:eastAsia="仿宋"/>
          <w:b/>
          <w:sz w:val="30"/>
          <w:szCs w:val="30"/>
        </w:rPr>
      </w:pPr>
      <w:r>
        <w:rPr>
          <w:rFonts w:hint="eastAsia" w:ascii="仿宋" w:hAnsi="仿宋" w:eastAsia="仿宋"/>
          <w:b/>
          <w:sz w:val="30"/>
          <w:szCs w:val="30"/>
        </w:rPr>
        <w:t>四、资产管理情况</w:t>
      </w:r>
    </w:p>
    <w:p>
      <w:pPr>
        <w:tabs>
          <w:tab w:val="left" w:pos="6080"/>
        </w:tabs>
        <w:overflowPunct w:val="0"/>
        <w:spacing w:line="560" w:lineRule="exact"/>
        <w:ind w:firstLine="600" w:firstLineChars="200"/>
        <w:outlineLvl w:val="0"/>
        <w:rPr>
          <w:rFonts w:hint="eastAsia" w:ascii="仿宋" w:hAnsi="仿宋" w:eastAsia="仿宋" w:cs="仿宋_GB2312"/>
          <w:color w:val="000000"/>
          <w:sz w:val="30"/>
          <w:szCs w:val="30"/>
        </w:rPr>
      </w:pPr>
      <w:r>
        <w:rPr>
          <w:rFonts w:hint="eastAsia" w:ascii="仿宋" w:hAnsi="仿宋" w:eastAsia="仿宋"/>
          <w:sz w:val="30"/>
          <w:szCs w:val="30"/>
        </w:rPr>
        <w:t>本年度固定资产</w:t>
      </w:r>
      <w:r>
        <w:rPr>
          <w:rFonts w:hint="eastAsia" w:ascii="仿宋" w:hAnsi="仿宋" w:eastAsia="仿宋"/>
          <w:sz w:val="30"/>
          <w:szCs w:val="30"/>
          <w:lang w:val="en-US" w:eastAsia="zh-CN"/>
        </w:rPr>
        <w:t>135</w:t>
      </w:r>
      <w:r>
        <w:rPr>
          <w:rFonts w:hint="eastAsia" w:ascii="仿宋" w:hAnsi="仿宋" w:eastAsia="仿宋"/>
          <w:sz w:val="30"/>
          <w:szCs w:val="30"/>
        </w:rPr>
        <w:t>万元，全部为在用固定资产，已全部清理登记在册，安排专人管理，确保国有资产的不流失和使用效益，</w:t>
      </w:r>
      <w:r>
        <w:rPr>
          <w:rFonts w:hint="eastAsia" w:ascii="仿宋" w:hAnsi="仿宋" w:eastAsia="仿宋" w:cs="仿宋_GB2312"/>
          <w:color w:val="000000"/>
          <w:sz w:val="30"/>
          <w:szCs w:val="30"/>
        </w:rPr>
        <w:t>资产的管理设立专门的资产管理台帐，具体工作由办公室与财务股负责，办公室负责所需资产的采购，登记，财务股负责资产的入帐、使用部门登记，对报废资产的处置经使用部门申请报办公室，由办公室跟财务股联合初核报单位负责人审核。再由财务股报县财政局资产股进行核销。</w:t>
      </w:r>
    </w:p>
    <w:p>
      <w:pPr>
        <w:spacing w:line="600" w:lineRule="exact"/>
        <w:ind w:firstLine="600" w:firstLineChars="200"/>
        <w:rPr>
          <w:rFonts w:hint="eastAsia" w:ascii="仿宋" w:hAnsi="仿宋" w:eastAsia="仿宋"/>
          <w:sz w:val="30"/>
          <w:szCs w:val="30"/>
        </w:rPr>
      </w:pPr>
      <w:r>
        <w:rPr>
          <w:rFonts w:hint="eastAsia" w:ascii="仿宋" w:hAnsi="仿宋" w:eastAsia="仿宋"/>
          <w:sz w:val="30"/>
          <w:szCs w:val="30"/>
        </w:rPr>
        <w:t>我委没有出租、出借资产，无对外投资，无担保、抵押、质押资产等事项。</w:t>
      </w:r>
    </w:p>
    <w:p>
      <w:pPr>
        <w:tabs>
          <w:tab w:val="left" w:pos="6080"/>
        </w:tabs>
        <w:overflowPunct w:val="0"/>
        <w:spacing w:line="560" w:lineRule="exact"/>
        <w:ind w:firstLine="602" w:firstLineChars="200"/>
        <w:outlineLvl w:val="0"/>
        <w:rPr>
          <w:rFonts w:hint="eastAsia" w:ascii="仿宋" w:hAnsi="仿宋" w:eastAsia="仿宋" w:cs="黑体"/>
          <w:b/>
          <w:bCs/>
          <w:sz w:val="30"/>
          <w:szCs w:val="30"/>
        </w:rPr>
      </w:pPr>
      <w:r>
        <w:rPr>
          <w:rFonts w:hint="eastAsia" w:ascii="仿宋" w:hAnsi="仿宋" w:eastAsia="仿宋" w:cs="黑体"/>
          <w:b/>
          <w:bCs/>
          <w:sz w:val="30"/>
          <w:szCs w:val="30"/>
        </w:rPr>
        <w:t>五、部门整体支出绩效情况</w:t>
      </w:r>
    </w:p>
    <w:p>
      <w:pPr>
        <w:keepNext w:val="0"/>
        <w:keepLines w:val="0"/>
        <w:pageBreakBefore w:val="0"/>
        <w:widowControl w:val="0"/>
        <w:kinsoku/>
        <w:wordWrap/>
        <w:overflowPunct/>
        <w:topLinePunct w:val="0"/>
        <w:autoSpaceDE/>
        <w:autoSpaceDN/>
        <w:bidi w:val="0"/>
        <w:adjustRightInd/>
        <w:snapToGrid/>
        <w:ind w:left="0" w:leftChars="0" w:firstLine="600" w:firstLineChars="200"/>
        <w:jc w:val="left"/>
        <w:textAlignment w:val="auto"/>
        <w:rPr>
          <w:rFonts w:hint="eastAsia" w:ascii="仿宋" w:hAnsi="仿宋" w:eastAsia="仿宋" w:cs="仿宋_GB2312"/>
          <w:sz w:val="30"/>
          <w:szCs w:val="30"/>
          <w:lang w:val="en-US" w:eastAsia="zh-CN"/>
        </w:rPr>
      </w:pPr>
      <w:r>
        <w:rPr>
          <w:rFonts w:hint="eastAsia" w:ascii="仿宋" w:hAnsi="仿宋" w:eastAsia="仿宋" w:cs="仿宋_GB2312"/>
          <w:sz w:val="30"/>
          <w:szCs w:val="30"/>
          <w:lang w:val="en-US" w:eastAsia="zh-CN"/>
        </w:rPr>
        <w:t>2022年，我委严格执行财政预算，全面完成本部门职责。</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02" w:firstLineChars="200"/>
        <w:jc w:val="left"/>
        <w:textAlignment w:val="auto"/>
        <w:rPr>
          <w:rFonts w:hint="eastAsia" w:ascii="仿宋" w:hAnsi="仿宋" w:eastAsia="仿宋" w:cs="仿宋_GB2312"/>
          <w:sz w:val="30"/>
          <w:szCs w:val="30"/>
          <w:lang w:val="en-US" w:eastAsia="zh-CN"/>
        </w:rPr>
      </w:pPr>
      <w:r>
        <w:rPr>
          <w:rFonts w:hint="eastAsia" w:ascii="仿宋" w:hAnsi="仿宋" w:eastAsia="仿宋" w:cs="仿宋_GB2312"/>
          <w:b/>
          <w:bCs/>
          <w:sz w:val="30"/>
          <w:szCs w:val="30"/>
          <w:lang w:val="en-US" w:eastAsia="zh-CN"/>
        </w:rPr>
        <w:t>经济性方面</w:t>
      </w:r>
      <w:r>
        <w:rPr>
          <w:rFonts w:hint="eastAsia" w:ascii="仿宋" w:hAnsi="仿宋" w:eastAsia="仿宋" w:cs="仿宋_GB2312"/>
          <w:sz w:val="30"/>
          <w:szCs w:val="30"/>
          <w:lang w:val="en-US" w:eastAsia="zh-CN"/>
        </w:rPr>
        <w:t>：2022年部门年度预算617.83万元，年度支出617.83万元，预算完成率100%，预算控制率达到100%,公用经费控制率和三公经费控制率均完成年初控制目标数。</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02" w:firstLineChars="200"/>
        <w:jc w:val="left"/>
        <w:textAlignment w:val="auto"/>
        <w:rPr>
          <w:rFonts w:hint="default" w:ascii="仿宋" w:hAnsi="仿宋" w:eastAsia="仿宋" w:cs="仿宋_GB2312"/>
          <w:b w:val="0"/>
          <w:bCs w:val="0"/>
          <w:sz w:val="30"/>
          <w:szCs w:val="30"/>
          <w:lang w:val="en-US" w:eastAsia="zh-CN"/>
        </w:rPr>
      </w:pPr>
      <w:r>
        <w:rPr>
          <w:rFonts w:hint="eastAsia" w:ascii="仿宋" w:hAnsi="仿宋" w:eastAsia="仿宋" w:cs="仿宋_GB2312"/>
          <w:b/>
          <w:bCs/>
          <w:sz w:val="30"/>
          <w:szCs w:val="30"/>
          <w:lang w:val="en-US" w:eastAsia="zh-CN"/>
        </w:rPr>
        <w:t>效率性方面：</w:t>
      </w:r>
      <w:r>
        <w:rPr>
          <w:rFonts w:hint="eastAsia" w:ascii="仿宋" w:hAnsi="仿宋" w:eastAsia="仿宋" w:cs="仿宋_GB2312"/>
          <w:b w:val="0"/>
          <w:bCs w:val="0"/>
          <w:sz w:val="30"/>
          <w:szCs w:val="30"/>
          <w:lang w:val="en-US" w:eastAsia="zh-CN"/>
        </w:rPr>
        <w:t>在经费使用效率上，全面完成了部门整体目标，重点工作实际完成率100%,极大保障了部门运转行政效率。保障了社会稳定，提升群众对社会满意度、安全感、幸福感。</w:t>
      </w:r>
    </w:p>
    <w:p>
      <w:pPr>
        <w:numPr>
          <w:ilvl w:val="0"/>
          <w:numId w:val="1"/>
        </w:numPr>
        <w:spacing w:line="600" w:lineRule="exact"/>
        <w:ind w:left="0" w:leftChars="0" w:firstLine="602" w:firstLineChars="200"/>
        <w:rPr>
          <w:rFonts w:hint="eastAsia" w:ascii="仿宋" w:hAnsi="仿宋" w:eastAsia="仿宋" w:cs="Times New Roman"/>
          <w:sz w:val="30"/>
          <w:szCs w:val="30"/>
          <w:lang w:val="en-US" w:eastAsia="zh-CN"/>
        </w:rPr>
      </w:pPr>
      <w:r>
        <w:rPr>
          <w:rFonts w:hint="eastAsia" w:ascii="仿宋" w:hAnsi="仿宋" w:eastAsia="仿宋" w:cs="仿宋_GB2312"/>
          <w:b/>
          <w:bCs/>
          <w:sz w:val="30"/>
          <w:szCs w:val="30"/>
          <w:lang w:val="en-US" w:eastAsia="zh-CN"/>
        </w:rPr>
        <w:t>有效性方面</w:t>
      </w:r>
      <w:r>
        <w:rPr>
          <w:rFonts w:hint="eastAsia" w:ascii="仿宋" w:hAnsi="仿宋" w:eastAsia="仿宋" w:cs="仿宋_GB2312"/>
          <w:sz w:val="30"/>
          <w:szCs w:val="30"/>
          <w:lang w:val="en-US" w:eastAsia="zh-CN"/>
        </w:rPr>
        <w:t>：确保国家</w:t>
      </w:r>
      <w:r>
        <w:rPr>
          <w:rFonts w:hint="eastAsia" w:ascii="仿宋" w:hAnsi="仿宋" w:eastAsia="仿宋" w:cs="Times New Roman"/>
          <w:sz w:val="30"/>
          <w:szCs w:val="30"/>
          <w:lang w:val="en-US" w:eastAsia="zh-CN"/>
        </w:rPr>
        <w:t>政治安全、国家安全人民防线和反邪教工作；落实了信访维稳工作抓好了积案化解工作；</w:t>
      </w:r>
      <w:r>
        <w:rPr>
          <w:rFonts w:hint="eastAsia" w:ascii="仿宋" w:hAnsi="仿宋" w:eastAsia="仿宋" w:cs="Times New Roman"/>
          <w:b w:val="0"/>
          <w:bCs w:val="0"/>
          <w:sz w:val="30"/>
          <w:szCs w:val="30"/>
          <w:lang w:val="en-US" w:eastAsia="zh-CN"/>
        </w:rPr>
        <w:t>夯实基层社会治理体系、积极推进平安溆浦建设；</w:t>
      </w:r>
      <w:r>
        <w:rPr>
          <w:rFonts w:hint="eastAsia" w:ascii="仿宋" w:hAnsi="仿宋" w:eastAsia="仿宋" w:cs="Times New Roman"/>
          <w:sz w:val="30"/>
          <w:szCs w:val="30"/>
          <w:lang w:val="en-US" w:eastAsia="zh-CN"/>
        </w:rPr>
        <w:t>一体推进了“三源共治”。建成县级社会矛盾纠纷调处化解中心及乡镇、村（社区）矛盾纠纷调处化解站（室）438个；推进扫黑除恶常态化；持续推进“十无”创建活动；深入开展综治大走访活动，制作平安建设宣传片，做到平安建设人人参与、人人共享；</w:t>
      </w:r>
    </w:p>
    <w:p>
      <w:pPr>
        <w:numPr>
          <w:ilvl w:val="0"/>
          <w:numId w:val="1"/>
        </w:numPr>
        <w:spacing w:line="600" w:lineRule="exact"/>
        <w:ind w:left="0" w:leftChars="0" w:firstLine="602" w:firstLineChars="200"/>
        <w:rPr>
          <w:rFonts w:hint="eastAsia" w:ascii="仿宋" w:hAnsi="仿宋" w:eastAsia="仿宋" w:cs="Times New Roman"/>
          <w:sz w:val="30"/>
          <w:szCs w:val="30"/>
          <w:lang w:val="en-US" w:eastAsia="zh-CN"/>
        </w:rPr>
      </w:pPr>
      <w:r>
        <w:rPr>
          <w:rFonts w:hint="eastAsia" w:ascii="仿宋" w:hAnsi="仿宋" w:eastAsia="仿宋" w:cs="Times New Roman"/>
          <w:b/>
          <w:bCs/>
          <w:sz w:val="30"/>
          <w:szCs w:val="30"/>
          <w:lang w:val="en-US" w:eastAsia="zh-CN"/>
        </w:rPr>
        <w:t>可持续性方面</w:t>
      </w:r>
      <w:r>
        <w:rPr>
          <w:rFonts w:hint="eastAsia" w:ascii="仿宋" w:hAnsi="仿宋" w:eastAsia="仿宋" w:cs="Times New Roman"/>
          <w:sz w:val="30"/>
          <w:szCs w:val="30"/>
          <w:lang w:val="en-US" w:eastAsia="zh-CN"/>
        </w:rPr>
        <w:t>：持续推进平安溆浦建设，继续</w:t>
      </w:r>
      <w:r>
        <w:rPr>
          <w:rFonts w:hint="eastAsia" w:ascii="仿宋" w:hAnsi="仿宋" w:eastAsia="仿宋" w:cs="Times New Roman"/>
          <w:b w:val="0"/>
          <w:bCs w:val="0"/>
          <w:sz w:val="30"/>
          <w:szCs w:val="30"/>
          <w:lang w:val="en-US" w:eastAsia="zh-CN"/>
        </w:rPr>
        <w:t>推进深化政法改革，加快推进法治溆浦建设</w:t>
      </w:r>
      <w:r>
        <w:rPr>
          <w:rFonts w:hint="eastAsia" w:ascii="仿宋" w:hAnsi="仿宋" w:eastAsia="仿宋" w:cs="Times New Roman"/>
          <w:sz w:val="30"/>
          <w:szCs w:val="30"/>
          <w:lang w:val="en-US" w:eastAsia="zh-CN"/>
        </w:rPr>
        <w:t>。全面推动公安机关办案提质增效、法院聚焦民生案件审理、检察院聚焦“四大检察”职能履行。</w:t>
      </w:r>
    </w:p>
    <w:p>
      <w:pPr>
        <w:spacing w:line="600" w:lineRule="exact"/>
        <w:ind w:firstLine="602" w:firstLineChars="200"/>
        <w:rPr>
          <w:rFonts w:hint="eastAsia" w:ascii="仿宋" w:hAnsi="仿宋" w:eastAsia="仿宋" w:cs="Times New Roman"/>
          <w:b/>
          <w:bCs/>
          <w:sz w:val="30"/>
          <w:szCs w:val="30"/>
        </w:rPr>
      </w:pPr>
      <w:r>
        <w:rPr>
          <w:rFonts w:hint="eastAsia" w:ascii="仿宋" w:hAnsi="仿宋" w:eastAsia="仿宋" w:cs="Times New Roman"/>
          <w:b/>
          <w:bCs/>
          <w:sz w:val="30"/>
          <w:szCs w:val="30"/>
          <w:lang w:eastAsia="zh-CN"/>
        </w:rPr>
        <w:t>六</w:t>
      </w:r>
      <w:r>
        <w:rPr>
          <w:rFonts w:hint="eastAsia" w:ascii="仿宋" w:hAnsi="仿宋" w:eastAsia="仿宋" w:cs="Times New Roman"/>
          <w:b/>
          <w:bCs/>
          <w:sz w:val="30"/>
          <w:szCs w:val="30"/>
        </w:rPr>
        <w:t>、存在主要问题</w:t>
      </w:r>
    </w:p>
    <w:p>
      <w:pPr>
        <w:spacing w:line="600" w:lineRule="exact"/>
        <w:ind w:firstLine="600" w:firstLineChars="200"/>
        <w:rPr>
          <w:rFonts w:hint="eastAsia" w:ascii="仿宋" w:hAnsi="仿宋" w:eastAsia="仿宋" w:cs="Times New Roman"/>
          <w:sz w:val="30"/>
          <w:szCs w:val="30"/>
        </w:rPr>
      </w:pPr>
      <w:r>
        <w:rPr>
          <w:rFonts w:hint="eastAsia" w:ascii="仿宋" w:hAnsi="仿宋" w:eastAsia="仿宋" w:cs="Times New Roman"/>
          <w:sz w:val="30"/>
          <w:szCs w:val="30"/>
        </w:rPr>
        <w:t>1、预算不够精确，预算执行还存在偏差。</w:t>
      </w:r>
    </w:p>
    <w:p>
      <w:pPr>
        <w:spacing w:line="600" w:lineRule="exact"/>
        <w:ind w:firstLine="600" w:firstLineChars="200"/>
        <w:rPr>
          <w:rFonts w:hint="eastAsia" w:ascii="仿宋" w:hAnsi="仿宋" w:eastAsia="仿宋" w:cs="Times New Roman"/>
          <w:sz w:val="30"/>
          <w:szCs w:val="30"/>
        </w:rPr>
      </w:pPr>
      <w:r>
        <w:rPr>
          <w:rFonts w:hint="eastAsia" w:ascii="仿宋" w:hAnsi="仿宋" w:eastAsia="仿宋" w:cs="Times New Roman"/>
          <w:sz w:val="30"/>
          <w:szCs w:val="30"/>
        </w:rPr>
        <w:t>2、基层</w:t>
      </w:r>
      <w:r>
        <w:rPr>
          <w:rFonts w:hint="eastAsia" w:ascii="仿宋" w:hAnsi="仿宋" w:eastAsia="仿宋" w:cs="Times New Roman"/>
          <w:sz w:val="30"/>
          <w:szCs w:val="30"/>
          <w:lang w:eastAsia="zh-CN"/>
        </w:rPr>
        <w:t>治理</w:t>
      </w:r>
      <w:r>
        <w:rPr>
          <w:rFonts w:hint="eastAsia" w:ascii="仿宋" w:hAnsi="仿宋" w:eastAsia="仿宋" w:cs="Times New Roman"/>
          <w:sz w:val="30"/>
          <w:szCs w:val="30"/>
        </w:rPr>
        <w:t>基础建设还存在薄弱环节。</w:t>
      </w:r>
    </w:p>
    <w:p>
      <w:pPr>
        <w:spacing w:line="600" w:lineRule="exact"/>
        <w:ind w:firstLine="600" w:firstLineChars="200"/>
        <w:rPr>
          <w:rFonts w:hint="eastAsia" w:ascii="仿宋" w:hAnsi="仿宋" w:eastAsia="仿宋" w:cs="Times New Roman"/>
          <w:sz w:val="30"/>
          <w:szCs w:val="30"/>
        </w:rPr>
      </w:pPr>
      <w:r>
        <w:rPr>
          <w:rFonts w:hint="eastAsia" w:ascii="仿宋" w:hAnsi="仿宋" w:eastAsia="仿宋" w:cs="Times New Roman"/>
          <w:sz w:val="30"/>
          <w:szCs w:val="30"/>
        </w:rPr>
        <w:t>3、当年的财务不能真实的反映单位的财务状况:单位是财务结算日期的差别，财务以公历年结算上报，而实际工作中以农历年结算；</w:t>
      </w:r>
    </w:p>
    <w:p>
      <w:pPr>
        <w:spacing w:line="600" w:lineRule="exact"/>
        <w:ind w:firstLine="602" w:firstLineChars="200"/>
        <w:rPr>
          <w:rFonts w:hint="eastAsia" w:ascii="仿宋" w:hAnsi="仿宋" w:eastAsia="仿宋" w:cs="Times New Roman"/>
          <w:b/>
          <w:bCs/>
          <w:sz w:val="30"/>
          <w:szCs w:val="30"/>
        </w:rPr>
      </w:pPr>
      <w:r>
        <w:rPr>
          <w:rFonts w:hint="eastAsia" w:ascii="仿宋" w:hAnsi="仿宋" w:eastAsia="仿宋" w:cs="Times New Roman"/>
          <w:b/>
          <w:bCs/>
          <w:sz w:val="30"/>
          <w:szCs w:val="30"/>
          <w:lang w:eastAsia="zh-CN"/>
        </w:rPr>
        <w:t>七</w:t>
      </w:r>
      <w:r>
        <w:rPr>
          <w:rFonts w:hint="eastAsia" w:ascii="仿宋" w:hAnsi="仿宋" w:eastAsia="仿宋" w:cs="Times New Roman"/>
          <w:b/>
          <w:bCs/>
          <w:sz w:val="30"/>
          <w:szCs w:val="30"/>
        </w:rPr>
        <w:t>、改进措施和相关建议</w:t>
      </w:r>
    </w:p>
    <w:p>
      <w:pPr>
        <w:spacing w:line="600" w:lineRule="exact"/>
        <w:ind w:firstLine="600" w:firstLineChars="200"/>
        <w:rPr>
          <w:rFonts w:hint="eastAsia" w:ascii="仿宋" w:hAnsi="仿宋" w:eastAsia="仿宋" w:cs="Times New Roman"/>
          <w:sz w:val="30"/>
          <w:szCs w:val="30"/>
        </w:rPr>
      </w:pPr>
      <w:r>
        <w:rPr>
          <w:rFonts w:hint="eastAsia" w:ascii="仿宋" w:hAnsi="仿宋" w:eastAsia="仿宋" w:cs="Times New Roman"/>
          <w:sz w:val="30"/>
          <w:szCs w:val="30"/>
        </w:rPr>
        <w:t>一是要加强财务管理，严把支出关，严格执行财务管理制度，规范各项支出审核，严防超支，促进财务管理的法制化、科学化、合理化运行。希望将网格化服务费用列入预算，提高网格员待遇</w:t>
      </w:r>
    </w:p>
    <w:p>
      <w:pPr>
        <w:spacing w:line="600" w:lineRule="exact"/>
        <w:ind w:firstLine="600" w:firstLineChars="200"/>
        <w:rPr>
          <w:rFonts w:hint="eastAsia" w:ascii="仿宋" w:hAnsi="仿宋" w:eastAsia="仿宋" w:cs="Times New Roman"/>
          <w:sz w:val="30"/>
          <w:szCs w:val="30"/>
        </w:rPr>
      </w:pPr>
      <w:r>
        <w:rPr>
          <w:rFonts w:hint="eastAsia" w:ascii="仿宋" w:hAnsi="仿宋" w:eastAsia="仿宋" w:cs="Times New Roman"/>
          <w:sz w:val="30"/>
          <w:szCs w:val="30"/>
        </w:rPr>
        <w:t>二是强化财务专业知识学习，提升专业素养。</w:t>
      </w:r>
    </w:p>
    <w:p>
      <w:pPr>
        <w:spacing w:line="600" w:lineRule="exact"/>
        <w:ind w:firstLine="600" w:firstLineChars="200"/>
        <w:rPr>
          <w:rFonts w:hint="eastAsia" w:ascii="仿宋" w:hAnsi="仿宋" w:eastAsia="仿宋" w:cs="Times New Roman"/>
          <w:sz w:val="30"/>
          <w:szCs w:val="30"/>
        </w:rPr>
      </w:pPr>
      <w:r>
        <w:rPr>
          <w:rFonts w:hint="eastAsia" w:ascii="仿宋" w:hAnsi="仿宋" w:eastAsia="仿宋" w:cs="Times New Roman"/>
          <w:sz w:val="30"/>
          <w:szCs w:val="30"/>
          <w:lang w:eastAsia="zh-CN"/>
        </w:rPr>
        <w:t>三是做到预算更为精细准确。</w:t>
      </w:r>
      <w:bookmarkStart w:id="1" w:name="_GoBack"/>
      <w:bookmarkEnd w:id="1"/>
    </w:p>
    <w:sectPr>
      <w:headerReference r:id="rId3" w:type="default"/>
      <w:footerReference r:id="rId4" w:type="default"/>
      <w:footerReference r:id="rId5" w:type="even"/>
      <w:pgSz w:w="11906" w:h="16838"/>
      <w:pgMar w:top="2155" w:right="1814" w:bottom="1701" w:left="181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- 2 -</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91648A"/>
    <w:multiLevelType w:val="singleLevel"/>
    <w:tmpl w:val="DF91648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YWQyYjJmYmJlNjdjMDM2NTFkZTc2NjZiOGNkNDgifQ=="/>
  </w:docVars>
  <w:rsids>
    <w:rsidRoot w:val="00000000"/>
    <w:rsid w:val="0E5C05EF"/>
    <w:rsid w:val="13222CAF"/>
    <w:rsid w:val="1B297916"/>
    <w:rsid w:val="21E82C0B"/>
    <w:rsid w:val="23D02D5C"/>
    <w:rsid w:val="3DBD7EB3"/>
    <w:rsid w:val="53823146"/>
    <w:rsid w:val="570628D9"/>
    <w:rsid w:val="6A57332F"/>
    <w:rsid w:val="76703705"/>
    <w:rsid w:val="7B9255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Heading1"/>
    <w:basedOn w:val="1"/>
    <w:next w:val="1"/>
    <w:qFormat/>
    <w:uiPriority w:val="0"/>
    <w:pPr>
      <w:keepNext/>
      <w:keepLines/>
      <w:spacing w:before="340" w:after="330" w:line="576" w:lineRule="auto"/>
      <w:textAlignment w:val="baseline"/>
    </w:pPr>
    <w:rPr>
      <w:rFonts w:ascii="Calibri" w:hAnsi="Calibri"/>
      <w:b/>
      <w:kern w:val="44"/>
      <w:sz w:val="4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cs="宋体"/>
      <w:kern w:val="0"/>
      <w:sz w:val="24"/>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2337</Words>
  <Characters>2496</Characters>
  <Lines>0</Lines>
  <Paragraphs>0</Paragraphs>
  <TotalTime>215</TotalTime>
  <ScaleCrop>false</ScaleCrop>
  <LinksUpToDate>false</LinksUpToDate>
  <CharactersWithSpaces>2503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2023-03-14T02:31:00Z</dcterms:created>
  <dc:creator>Administrator</dc:creator>
  <cp:lastModifiedBy>龙神</cp:lastModifiedBy>
  <cp:lastPrinted>2023-05-24T01:58:25Z</cp:lastPrinted>
  <dcterms:modified xsi:type="dcterms:W3CDTF">2023-05-24T01:58:41Z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D4EEAE86C50D4497B56F1A9AE0FD7A89</vt:lpwstr>
  </property>
</Properties>
</file>